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MANUSCRIPT</w:t>
      </w:r>
      <w:r>
        <w:t xml:space="preserve"> </w:t>
      </w:r>
      <w:r>
        <w:t xml:space="preserve">TITLE</w:t>
      </w:r>
    </w:p>
    <w:p>
      <w:pPr>
        <w:pStyle w:val="Author"/>
      </w:pPr>
      <w:r>
        <w:t xml:space="preserve">Ming</w:t>
      </w:r>
      <w:r>
        <w:t xml:space="preserve"> </w:t>
      </w:r>
      <w:r>
        <w:t xml:space="preserve">Su</w:t>
      </w:r>
      <w:r>
        <w:rPr>
          <w:vertAlign w:val="superscript"/>
        </w:rPr>
        <w:t xml:space="preserve">1</w:t>
      </w:r>
      <w:r>
        <w:rPr>
          <w:vertAlign w:val="superscript"/>
        </w:rPr>
        <w:t xml:space="preserve">,</w:t>
      </w:r>
      <w:r>
        <w:rPr>
          <w:vertAlign w:val="superscript"/>
        </w:rPr>
        <w:t xml:space="preserve">2</w:t>
      </w:r>
      <w:r>
        <w:t xml:space="preserve">,</w:t>
      </w:r>
      <w:r>
        <w:t xml:space="preserve"> </w:t>
      </w:r>
      <w:r>
        <w:t xml:space="preserve">and</w:t>
      </w:r>
      <w:r>
        <w:t xml:space="preserve"> </w:t>
      </w:r>
      <w:r>
        <w:t xml:space="preserve">Min</w:t>
      </w:r>
      <w:r>
        <w:t xml:space="preserve"> </w:t>
      </w:r>
      <w:r>
        <w:t xml:space="preserve">Yang</w:t>
      </w:r>
      <w:r>
        <w:rPr>
          <w:vertAlign w:val="superscript"/>
        </w:rPr>
        <w:t xml:space="preserve">1</w:t>
      </w:r>
      <w:r>
        <w:rPr>
          <w:vertAlign w:val="superscript"/>
        </w:rPr>
        <w:t xml:space="preserve">,</w:t>
      </w:r>
      <w:r>
        <w:rPr>
          <w:vertAlign w:val="superscript"/>
        </w:rPr>
        <w:t xml:space="preserve">2</w:t>
      </w:r>
      <w:r>
        <w:rPr>
          <w:vertAlign w:val="superscript"/>
        </w:rPr>
        <w:t xml:space="preserve">,</w:t>
      </w:r>
      <w:r>
        <w:rPr>
          <w:vertAlign w:val="superscript"/>
        </w:rPr>
        <w:t xml:space="preserve">✉</w:t>
      </w:r>
    </w:p>
    <w:p>
      <w:pPr>
        <w:pStyle w:val="Date"/>
      </w:pPr>
      <w:r>
        <w:t xml:space="preserve">2024-10-13</w:t>
      </w:r>
    </w:p>
    <w:p>
      <w:pPr>
        <w:pStyle w:val="AbstractTitle"/>
      </w:pPr>
      <w:r>
        <w:t xml:space="preserve">Abstract</w:t>
      </w:r>
    </w:p>
    <w:p>
      <w:pPr>
        <w:pStyle w:val="Abstract"/>
      </w:pPr>
      <w:r>
        <w:t xml:space="preserve">ABSTRACT</w:t>
      </w:r>
    </w:p>
    <w:p>
      <w:pPr>
        <w:pStyle w:val="FirstParagraph"/>
      </w:pPr>
      <w:r>
        <w:rPr>
          <w:vertAlign w:val="superscript"/>
        </w:rPr>
        <w:t xml:space="preserve">1</w:t>
      </w:r>
      <w:r>
        <w:t xml:space="preserve"> </w:t>
      </w:r>
      <w:r>
        <w:t xml:space="preserve">State Key Laboratory of Environmental Aquatic Chemistry, Research Center for Eco-Environmental Sciences, Chinese Academy of Sciences</w:t>
      </w:r>
      <w:r>
        <w:br/>
      </w:r>
      <w:r>
        <w:rPr>
          <w:vertAlign w:val="superscript"/>
        </w:rPr>
        <w:t xml:space="preserve">2</w:t>
      </w:r>
      <w:r>
        <w:t xml:space="preserve"> </w:t>
      </w:r>
      <w:r>
        <w:t xml:space="preserve">University of Chinese Academy of Sciences</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 Yang &lt;yangmin@rcees.ac.cn&gt;</w:t>
        </w:r>
      </w:hyperlink>
    </w:p>
    <w:bookmarkStart w:id="21" w:name="introduction"/>
    <w:p>
      <w:pPr>
        <w:pStyle w:val="Heading1"/>
      </w:pPr>
      <w:r>
        <w:t xml:space="preserve">Introduction</w:t>
      </w:r>
    </w:p>
    <w:p>
      <w:pPr>
        <w:pStyle w:val="FirstParagraph"/>
      </w:pPr>
      <w:r>
        <w:t xml:space="preserve">为什么做这个东西，做这个东西的意义</w:t>
      </w:r>
    </w:p>
    <w:p>
      <w:pPr>
        <w:pStyle w:val="BodyText"/>
      </w:pPr>
      <w:r>
        <w:t xml:space="preserve">别人怎么做的，别人为什么没能完成，别人做到了那些程度，</w:t>
      </w:r>
    </w:p>
    <w:p>
      <w:pPr>
        <w:pStyle w:val="BodyText"/>
      </w:pPr>
      <w:r>
        <w:t xml:space="preserve">我们怎么做的，不同在哪</w:t>
      </w:r>
    </w:p>
    <w:p>
      <w:pPr>
        <w:pStyle w:val="BodyText"/>
      </w:pPr>
      <w:r>
        <w:t xml:space="preserve">TBD</w:t>
      </w:r>
    </w:p>
    <w:bookmarkEnd w:id="21"/>
    <w:bookmarkStart w:id="27" w:name="materials-and-methods"/>
    <w:p>
      <w:pPr>
        <w:pStyle w:val="Heading1"/>
      </w:pPr>
      <w:r>
        <w:t xml:space="preserve">Materials and Methods</w:t>
      </w:r>
    </w:p>
    <w:bookmarkStart w:id="22" w:name="study-sites"/>
    <w:p>
      <w:pPr>
        <w:pStyle w:val="Heading2"/>
      </w:pPr>
      <w:r>
        <w:t xml:space="preserve">Study sites</w:t>
      </w:r>
    </w:p>
    <w:p>
      <w:pPr>
        <w:pStyle w:val="FirstParagraph"/>
      </w:pPr>
      <w:r>
        <w:t xml:space="preserve">TBD</w:t>
      </w:r>
    </w:p>
    <w:bookmarkEnd w:id="22"/>
    <w:bookmarkStart w:id="23" w:name="sampling-procedure"/>
    <w:p>
      <w:pPr>
        <w:pStyle w:val="Heading2"/>
      </w:pPr>
      <w:r>
        <w:t xml:space="preserve">Sampling procedure</w:t>
      </w:r>
    </w:p>
    <w:p>
      <w:pPr>
        <w:pStyle w:val="FirstParagraph"/>
      </w:pPr>
      <w:r>
        <w:t xml:space="preserve">TBD</w:t>
      </w:r>
    </w:p>
    <w:bookmarkEnd w:id="23"/>
    <w:bookmarkStart w:id="24" w:name="laboratory-water-quality-analysis"/>
    <w:p>
      <w:pPr>
        <w:pStyle w:val="Heading2"/>
      </w:pPr>
      <w:r>
        <w:t xml:space="preserve">Laboratory water quality analysis</w:t>
      </w:r>
    </w:p>
    <w:p>
      <w:pPr>
        <w:pStyle w:val="FirstParagraph"/>
      </w:pPr>
      <w:r>
        <w:t xml:space="preserve">TBD</w:t>
      </w:r>
    </w:p>
    <w:bookmarkEnd w:id="24"/>
    <w:bookmarkStart w:id="25" w:name="phytoplankton-quantification"/>
    <w:p>
      <w:pPr>
        <w:pStyle w:val="Heading2"/>
      </w:pPr>
      <w:r>
        <w:t xml:space="preserve">Phytoplankton quantification</w:t>
      </w:r>
    </w:p>
    <w:p>
      <w:pPr>
        <w:pStyle w:val="FirstParagraph"/>
      </w:pPr>
      <w:r>
        <w:t xml:space="preserve">TBD</w:t>
      </w:r>
    </w:p>
    <w:bookmarkEnd w:id="25"/>
    <w:bookmarkStart w:id="26" w:name="data-analysis"/>
    <w:p>
      <w:pPr>
        <w:pStyle w:val="Heading2"/>
      </w:pPr>
      <w:r>
        <w:t xml:space="preserve">Data analysis</w:t>
      </w:r>
    </w:p>
    <w:p>
      <w:pPr>
        <w:pStyle w:val="FirstParagraph"/>
      </w:pPr>
      <w:r>
        <w:t xml:space="preserve">TBD</w:t>
      </w:r>
    </w:p>
    <w:p>
      <w:pPr>
        <w:pStyle w:val="BodyText"/>
      </w:pPr>
      <m:oMathPara>
        <m:oMathParaPr>
          <m:jc m:val="center"/>
        </m:oMathParaPr>
        <m:oMath>
          <m:r>
            <m:t>N</m:t>
          </m:r>
          <m:d>
            <m:dPr>
              <m:begChr m:val="("/>
              <m:endChr m:val=")"/>
              <m:sep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r>
            <m:t> </m:t>
          </m:r>
          <m:d>
            <m:dPr>
              <m:begChr m:val="("/>
              <m:endChr m:val=")"/>
              <m:sepChr m:val=""/>
              <m:grow/>
            </m:dPr>
            <m:e>
              <m:r>
                <m:t>1</m:t>
              </m:r>
            </m:e>
          </m:d>
        </m:oMath>
      </m:oMathPara>
    </w:p>
    <w:p>
      <w:pPr>
        <w:pStyle w:val="FirstParagraph"/>
      </w:pPr>
      <w:r>
        <w:t xml:space="preserve">$$d2t = 1 - bT\left( \frac{N(t)}{K} \right)^{`} = 1 - bT\frac{are^{rt}}{e^{2rt} + {2ae}^{rt} + a^{2}}\quad\quad(2)$$</w:t>
      </w:r>
    </w:p>
    <w:p>
      <w:pPr>
        <w:pStyle w:val="FirstParagraph"/>
      </w:pPr>
      <m:oMathPara>
        <m:oMathParaPr>
          <m:jc m:val="center"/>
        </m:oMathParaPr>
        <m:oMath>
          <m:r>
            <m:t>d</m:t>
          </m:r>
          <m:r>
            <m:t>2</m:t>
          </m:r>
          <m:r>
            <m:t>t</m:t>
          </m:r>
          <m:r>
            <m:rPr>
              <m:sty m:val="p"/>
            </m:rPr>
            <m:t>=</m:t>
          </m:r>
          <m:f>
            <m:fPr>
              <m:type m:val="bar"/>
            </m:fPr>
            <m:num>
              <m:r>
                <m:t>1</m:t>
              </m:r>
            </m:num>
            <m:den>
              <m:r>
                <m:t>2</m:t>
              </m:r>
            </m:den>
          </m:f>
          <m:r>
            <m:rPr>
              <m:sty m:val="p"/>
            </m:rPr>
            <m:t>+</m:t>
          </m:r>
          <m:f>
            <m:fPr>
              <m:type m:val="bar"/>
            </m:fPr>
            <m:num>
              <m:r>
                <m:t>K</m:t>
              </m:r>
              <m:r>
                <m:rPr>
                  <m:sty m:val="p"/>
                </m:rPr>
                <m:t>−</m:t>
              </m:r>
              <m:r>
                <m:t>N</m:t>
              </m:r>
              <m:d>
                <m:dPr>
                  <m:begChr m:val="("/>
                  <m:endChr m:val=")"/>
                  <m:sepChr m:val=""/>
                  <m:grow/>
                </m:dPr>
                <m:e>
                  <m:r>
                    <m:t>t</m:t>
                  </m:r>
                </m:e>
              </m:d>
            </m:num>
            <m:den>
              <m:r>
                <m:t>K</m:t>
              </m:r>
            </m:den>
          </m:f>
          <m:r>
            <m:t>c</m:t>
          </m:r>
          <m:r>
            <m:rPr>
              <m:sty m:val="p"/>
            </m:rPr>
            <m:t>+</m:t>
          </m:r>
          <m:r>
            <m:t>d</m:t>
          </m:r>
          <m:r>
            <m:t> </m:t>
          </m:r>
          <m:r>
            <m:t> </m:t>
          </m:r>
          <m:d>
            <m:dPr>
              <m:begChr m:val="("/>
              <m:endChr m:val=")"/>
              <m:sepChr m:val=""/>
              <m:grow/>
            </m:dPr>
            <m:e>
              <m:r>
                <m:t>3</m:t>
              </m:r>
            </m:e>
          </m:d>
        </m:oMath>
      </m:oMathPara>
    </w:p>
    <w:p>
      <w:pPr>
        <w:pStyle w:val="FirstParagraph"/>
      </w:pPr>
      <w:r>
        <w:t xml:space="preserve">Where.</w:t>
      </w:r>
    </w:p>
    <w:bookmarkEnd w:id="26"/>
    <w:bookmarkEnd w:id="27"/>
    <w:bookmarkStart w:id="31" w:name="results"/>
    <w:p>
      <w:pPr>
        <w:pStyle w:val="Heading1"/>
      </w:pPr>
      <w:r>
        <w:t xml:space="preserve">Results</w:t>
      </w:r>
    </w:p>
    <w:bookmarkStart w:id="28" w:name="X344ff3f668c1e4ad127367ff55f5eb7c9079800"/>
    <w:p>
      <w:pPr>
        <w:pStyle w:val="Heading2"/>
      </w:pPr>
      <w:r>
        <w:t xml:space="preserve">The characteristic changes in odor production during the growth of odor-producing algae</w:t>
      </w:r>
    </w:p>
    <w:p>
      <w:pPr>
        <w:pStyle w:val="FirstParagraph"/>
      </w:pPr>
      <w:r>
        <w:t xml:space="preserve">A strain of</w:t>
      </w:r>
      <w:r>
        <w:t xml:space="preserve"> </w:t>
      </w:r>
      <w:r>
        <w:rPr>
          <w:i/>
          <w:iCs/>
        </w:rPr>
        <w:t xml:space="preserve">Pseudanabaena</w:t>
      </w:r>
      <w:r>
        <w:t xml:space="preserve"> </w:t>
      </w:r>
      <w:r>
        <w:t xml:space="preserve">and a strain of</w:t>
      </w:r>
      <w:r>
        <w:t xml:space="preserve"> </w:t>
      </w:r>
      <w:r>
        <w:rPr>
          <w:i/>
          <w:iCs/>
        </w:rPr>
        <w:t xml:space="preserve">Planktothrix</w:t>
      </w:r>
      <w:r>
        <w:t xml:space="preserve"> </w:t>
      </w:r>
      <w:r>
        <w:t xml:space="preserve">were selected for laboratory cultivation under various environmental conditions. For</w:t>
      </w:r>
      <w:r>
        <w:t xml:space="preserve"> </w:t>
      </w:r>
      <w:r>
        <w:rPr>
          <w:i/>
          <w:iCs/>
        </w:rPr>
        <w:t xml:space="preserve">Pseudanabaena</w:t>
      </w:r>
      <w:r>
        <w:t xml:space="preserve">, five different light intensity gradients were applied. Under the intermediate three light intensities, both cell growth and geosmin production exhibited similar trends. After a brief lag phase, the cells entered a logarithmic growth phase for approximately 10 days, followed by a stationary phase. The production of geosmin was also correlated with the cell growth stage. When the cells were in the logarithmic phase and the cell density N(t)&lt;K/2, the concentrations of tMIB and dMIB increased gradually, remaining relatively low, and the ratio of dMIB to tMIB (d2t) decreased continuously to its minimum. Once the cell density N(t)&gt;K/2, both tMIB and dMIB concentrations rose sharply until they began to decline at the end of the stationary phase, while d2t increased from its minimum and remained stable for a period of time.</w:t>
      </w:r>
    </w:p>
    <w:p>
      <w:pPr>
        <w:pStyle w:val="BodyText"/>
      </w:pPr>
      <w:r>
        <w:t xml:space="preserve">At the lowest light intensity of 5 μmol m⁻² s⁻¹, the growth of</w:t>
      </w:r>
      <w:r>
        <w:t xml:space="preserve"> </w:t>
      </w:r>
      <w:r>
        <w:rPr>
          <w:i/>
          <w:iCs/>
        </w:rPr>
        <w:t xml:space="preserve">Pseudanabaena</w:t>
      </w:r>
      <w:r>
        <w:t xml:space="preserve"> </w:t>
      </w:r>
      <w:r>
        <w:t xml:space="preserve">cells was unstable, with cell density initially decreasing before gradually recovering to its initial value, a pattern mirrored in the tMIB concentration. Similarly, under the highest light intensity of 250 μmol m⁻² s⁻¹, the cell density also showed an initial decline followed by an increase. However, in contrast to the lowest light intensity, the maximum carrying capacity 𝐾 under the highest light intensity was significantly larger.</w:t>
      </w:r>
    </w:p>
    <w:p>
      <w:pPr>
        <w:pStyle w:val="BodyText"/>
      </w:pPr>
      <w:r>
        <w:t xml:space="preserve">（把几个培养条件放在同一张图里？）</w:t>
      </w:r>
    </w:p>
    <w:bookmarkEnd w:id="28"/>
    <w:bookmarkStart w:id="29" w:name="Xea1a7d05fce77b3a2ae6a94ac0ee52b244ce33e"/>
    <w:p>
      <w:pPr>
        <w:pStyle w:val="Heading2"/>
      </w:pPr>
      <w:r>
        <w:t xml:space="preserve">Construction of model between the cultured algae growth and d2t change</w:t>
      </w:r>
    </w:p>
    <w:p>
      <w:pPr>
        <w:pStyle w:val="FirstParagraph"/>
      </w:pPr>
      <w:r>
        <w:t xml:space="preserve">In the indoor cultivation experiments, it was observed that the production of geosmin by the cyanobacteria might be related to the cell growth stage. To further explore and verify this relationship, a model was developed to describe the correlation between cell growth and geosmin production. dMIB represents dissolved MIB, which indicates the MIB excreted by the cyanobacteria and dissolved into the water, primarily due to cell apoptosis and lysis (ref). tMIB represents the total MIB, which is the sum of dissolved MIB and intracellular MIB.</w:t>
      </w:r>
    </w:p>
    <w:p>
      <w:pPr>
        <w:pStyle w:val="BodyText"/>
      </w:pPr>
      <w:r>
        <w:t xml:space="preserve">On one hand, d2t is an olfactory index that represents the ratio of dissolved MIB to total MIB in the solution. On the other hand, changes in d2t can reflect the proportion of cells at different growth stages.</w:t>
      </w:r>
    </w:p>
    <w:p>
      <w:pPr>
        <w:pStyle w:val="BodyText"/>
      </w:pPr>
      <w:r>
        <w:t xml:space="preserve">Using Equation (1), the cell growth data under various environmental conditions were fitted with a logistic curve, yielding the initial cell density N0, carrying capacity K, and intrinsic growth rate r. These values, along with 𝑁0, 𝐾, 𝑟, d2t, and 𝑡, were then substituted into Equations (2) and (3). Linear regression was applied to estimate the model parameters 𝑏, 𝑐 and 𝑑, as well as their statistical significance. Subsequently, for environmental conditions with varying intrinsic growth rates 𝑟, the model can simulate potential trends in cell growth and geosmin production by adjusting r to reflect different environmental conditions.</w:t>
      </w:r>
    </w:p>
    <w:p>
      <w:pPr>
        <w:pStyle w:val="BodyText"/>
      </w:pPr>
      <w:r>
        <w:t xml:space="preserve">Table 1 The parameters of the cell Logistics growth curve</w:t>
      </w:r>
    </w:p>
    <w:p>
      <w:pPr>
        <w:pStyle w:val="TableCaption"/>
      </w:pPr>
      <w:r>
        <w:t xml:space="preserve">Table 1 Summary of the P. raciborskii culture experiment results (\tau (d): the duration of cell number increases; N^*: the maximum cell density;^ c^*_{MIB}: the maximum MIB concentration; k_{MIB}: the decay rates of MIB concentration under different HRT conditions)</w:t>
      </w:r>
    </w:p>
    <w:tbl>
      <w:tblPr>
        <w:tblStyle w:val="Table"/>
        <w:tblW w:type="pct" w:w="4902"/>
        <w:tblLayout w:type="fixed"/>
        <w:tblLook w:firstRow="1" w:lastRow="0" w:firstColumn="0" w:lastColumn="0" w:noHBand="0" w:noVBand="0" w:val="0020"/>
        <w:tblCaption w:val="Table 1 Summary of the P. raciborskii culture experiment results (\tau (d): the duration of cell number increases; N^*: the maximum cell density;^ c^*_{MIB}: the maximum MIB concentration; k_{MIB}: the decay rates of MIB concentration under different HRT conditions)"/>
      </w:tblPr>
      <w:tblGrid>
        <w:gridCol w:w="776"/>
        <w:gridCol w:w="776"/>
        <w:gridCol w:w="1087"/>
        <w:gridCol w:w="1087"/>
        <w:gridCol w:w="543"/>
        <w:gridCol w:w="698"/>
        <w:gridCol w:w="698"/>
        <w:gridCol w:w="698"/>
        <w:gridCol w:w="698"/>
        <w:gridCol w:w="698"/>
      </w:tblGrid>
      <w:tr>
        <w:trPr>
          <w:tblHeader w:val="on"/>
        </w:trPr>
        <w:tc>
          <w:tcPr/>
          <w:p>
            <w:pPr>
              <w:pStyle w:val="Compact"/>
              <w:jc w:val="left"/>
            </w:pPr>
            <w:r>
              <w:t xml:space="preserve">PPF</w:t>
            </w:r>
          </w:p>
        </w:tc>
        <w:tc>
          <w:tcPr/>
          <w:p>
            <w:pPr>
              <w:pStyle w:val="Compact"/>
              <w:jc w:val="left"/>
            </w:pPr>
            <w:r>
              <w:t xml:space="preserve">r</w:t>
            </w:r>
          </w:p>
        </w:tc>
        <w:tc>
          <w:tcPr/>
          <w:p>
            <w:pPr>
              <w:pStyle w:val="Compact"/>
              <w:jc w:val="left"/>
            </w:pPr>
            <w:r>
              <w:t xml:space="preserve">N0</w:t>
            </w:r>
          </w:p>
        </w:tc>
        <w:tc>
          <w:tcPr/>
          <w:p>
            <w:pPr>
              <w:pStyle w:val="Compact"/>
              <w:jc w:val="left"/>
            </w:pPr>
            <w:r>
              <w:t xml:space="preserve">K</w:t>
            </w:r>
          </w:p>
        </w:tc>
        <w:tc>
          <w:tcPr/>
          <w:p>
            <w:pPr>
              <w:pStyle w:val="Compact"/>
              <w:jc w:val="left"/>
            </w:pPr>
            <w:r>
              <w:t xml:space="preserve">b</w:t>
            </w:r>
          </w:p>
        </w:tc>
        <w:tc>
          <w:tcPr/>
          <w:p>
            <w:pPr>
              <w:pStyle w:val="Compact"/>
              <w:jc w:val="left"/>
            </w:pPr>
            <w:r>
              <w:t xml:space="preserve">signif</w:t>
            </w:r>
          </w:p>
        </w:tc>
        <w:tc>
          <w:tcPr/>
          <w:p>
            <w:pPr>
              <w:pStyle w:val="Compact"/>
              <w:jc w:val="left"/>
            </w:pPr>
            <w:r>
              <w:t xml:space="preserve">c</w:t>
            </w:r>
          </w:p>
        </w:tc>
        <w:tc>
          <w:tcPr/>
          <w:p>
            <w:pPr>
              <w:pStyle w:val="Compact"/>
              <w:jc w:val="left"/>
            </w:pPr>
            <w:r>
              <w:t xml:space="preserve">signif</w:t>
            </w:r>
          </w:p>
        </w:tc>
        <w:tc>
          <w:tcPr/>
          <w:p>
            <w:pPr>
              <w:pStyle w:val="Compact"/>
              <w:jc w:val="left"/>
            </w:pPr>
            <w:r>
              <w:t xml:space="preserve">d</w:t>
            </w:r>
          </w:p>
        </w:tc>
        <w:tc>
          <w:tcPr/>
          <w:p>
            <w:pPr>
              <w:pStyle w:val="Compact"/>
              <w:jc w:val="left"/>
            </w:pPr>
            <w:r>
              <w:t xml:space="preserve">signif</w:t>
            </w:r>
          </w:p>
        </w:tc>
      </w:tr>
      <w:tr>
        <w:tc>
          <w:tcPr/>
          <w:p>
            <w:pPr>
              <w:pStyle w:val="Compact"/>
              <w:jc w:val="left"/>
            </w:pPr>
            <w:r>
              <w:t xml:space="preserve">5</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17</w:t>
            </w:r>
          </w:p>
        </w:tc>
        <w:tc>
          <w:tcPr/>
          <w:p>
            <w:pPr>
              <w:pStyle w:val="Compact"/>
              <w:jc w:val="left"/>
            </w:pPr>
            <w:r>
              <w:t xml:space="preserve">0.19</w:t>
            </w:r>
          </w:p>
        </w:tc>
        <w:tc>
          <w:tcPr/>
          <w:p>
            <w:pPr>
              <w:pStyle w:val="Compact"/>
              <w:jc w:val="left"/>
            </w:pPr>
            <w:r>
              <w:t xml:space="preserve">0.44</w:t>
            </w:r>
          </w:p>
        </w:tc>
        <w:tc>
          <w:tcPr/>
          <w:p>
            <w:pPr>
              <w:pStyle w:val="Compact"/>
              <w:jc w:val="left"/>
            </w:pPr>
            <w:r>
              <w:t xml:space="preserve">15</w:t>
            </w:r>
          </w:p>
        </w:tc>
        <w:tc>
          <w:tcPr/>
          <w:p>
            <w:pPr>
              <w:pStyle w:val="Compact"/>
              <w:jc w:val="left"/>
            </w:pPr>
            <w:r>
              <w:t xml:space="preserve">5.3</w:t>
            </w:r>
          </w:p>
        </w:tc>
        <w:tc>
          <w:tcPr/>
          <w:p>
            <w:pPr>
              <w:pStyle w:val="Compact"/>
              <w:jc w:val="left"/>
            </w:pPr>
            <w:r>
              <w:t xml:space="preserve">***</w:t>
            </w:r>
          </w:p>
        </w:tc>
        <w:tc>
          <w:tcPr/>
          <w:p>
            <w:pPr>
              <w:pStyle w:val="Compact"/>
              <w:jc w:val="left"/>
            </w:pPr>
            <w:r>
              <w:t xml:space="preserve">0.042</w:t>
            </w:r>
          </w:p>
        </w:tc>
        <w:tc>
          <w:tcPr/>
          <w:p>
            <w:pPr>
              <w:pStyle w:val="Compact"/>
              <w:jc w:val="left"/>
            </w:pPr>
            <w:r>
              <w:t xml:space="preserve">ns</w:t>
            </w:r>
          </w:p>
        </w:tc>
        <w:tc>
          <w:tcPr/>
          <w:p>
            <w:pPr>
              <w:pStyle w:val="Compact"/>
              <w:jc w:val="left"/>
            </w:pPr>
            <w:r>
              <w:t xml:space="preserve">-0.14</w:t>
            </w:r>
          </w:p>
        </w:tc>
        <w:tc>
          <w:tcPr/>
          <w:p>
            <w:pPr>
              <w:pStyle w:val="Compact"/>
              <w:jc w:val="left"/>
            </w:pPr>
            <w:r>
              <w:t xml:space="preserve">***</w:t>
            </w:r>
          </w:p>
        </w:tc>
      </w:tr>
      <w:tr>
        <w:tc>
          <w:tcPr/>
          <w:p>
            <w:pPr>
              <w:pStyle w:val="Compact"/>
              <w:jc w:val="left"/>
            </w:pPr>
            <w:r>
              <w:t xml:space="preserve">36</w:t>
            </w:r>
          </w:p>
        </w:tc>
        <w:tc>
          <w:tcPr/>
          <w:p>
            <w:pPr>
              <w:pStyle w:val="Compact"/>
              <w:jc w:val="left"/>
            </w:pPr>
            <w:r>
              <w:t xml:space="preserve">0.40</w:t>
            </w:r>
          </w:p>
        </w:tc>
        <w:tc>
          <w:tcPr/>
          <w:p>
            <w:pPr>
              <w:pStyle w:val="Compact"/>
              <w:jc w:val="left"/>
            </w:pPr>
            <w:r>
              <w:t xml:space="preserve">0.19</w:t>
            </w:r>
          </w:p>
        </w:tc>
        <w:tc>
          <w:tcPr/>
          <w:p>
            <w:pPr>
              <w:pStyle w:val="Compact"/>
              <w:jc w:val="left"/>
            </w:pPr>
            <w:r>
              <w:t xml:space="preserve">99</w:t>
            </w:r>
          </w:p>
        </w:tc>
        <w:tc>
          <w:tcPr/>
          <w:p>
            <w:pPr>
              <w:pStyle w:val="Compact"/>
              <w:jc w:val="left"/>
            </w:pPr>
            <w:r>
              <w:t xml:space="preserve">5.0</w:t>
            </w:r>
          </w:p>
        </w:tc>
        <w:tc>
          <w:tcPr/>
          <w:p>
            <w:pPr>
              <w:pStyle w:val="Compact"/>
              <w:jc w:val="left"/>
            </w:pPr>
            <w:r>
              <w:t xml:space="preserve">*</w:t>
            </w:r>
          </w:p>
        </w:tc>
        <w:tc>
          <w:tcPr/>
          <w:p>
            <w:pPr>
              <w:pStyle w:val="Compact"/>
              <w:jc w:val="left"/>
            </w:pPr>
            <w:r>
              <w:t xml:space="preserve">-0.31</w:t>
            </w:r>
          </w:p>
        </w:tc>
        <w:tc>
          <w:tcPr/>
          <w:p>
            <w:pPr>
              <w:pStyle w:val="Compact"/>
              <w:jc w:val="left"/>
            </w:pPr>
            <w:r>
              <w:t xml:space="preserve">*</w:t>
            </w:r>
          </w:p>
        </w:tc>
        <w:tc>
          <w:tcPr/>
          <w:p>
            <w:pPr>
              <w:pStyle w:val="Compact"/>
              <w:jc w:val="left"/>
            </w:pPr>
            <w:r>
              <w:t xml:space="preserve">-0.16</w:t>
            </w:r>
          </w:p>
        </w:tc>
        <w:tc>
          <w:tcPr/>
          <w:p>
            <w:pPr>
              <w:pStyle w:val="Compact"/>
              <w:jc w:val="left"/>
            </w:pPr>
            <w:r>
              <w:t xml:space="preserve">**</w:t>
            </w:r>
          </w:p>
        </w:tc>
      </w:tr>
      <w:tr>
        <w:tc>
          <w:tcPr/>
          <w:p>
            <w:pPr>
              <w:pStyle w:val="Compact"/>
              <w:jc w:val="left"/>
            </w:pPr>
            <w:r>
              <w:t xml:space="preserve">85</w:t>
            </w:r>
          </w:p>
        </w:tc>
        <w:tc>
          <w:tcPr/>
          <w:p>
            <w:pPr>
              <w:pStyle w:val="Compact"/>
              <w:jc w:val="left"/>
            </w:pPr>
            <w:r>
              <w:t xml:space="preserve">0.36</w:t>
            </w:r>
          </w:p>
        </w:tc>
        <w:tc>
          <w:tcPr/>
          <w:p>
            <w:pPr>
              <w:pStyle w:val="Compact"/>
              <w:jc w:val="left"/>
            </w:pPr>
            <w:r>
              <w:t xml:space="preserve">0.32</w:t>
            </w:r>
          </w:p>
        </w:tc>
        <w:tc>
          <w:tcPr/>
          <w:p>
            <w:pPr>
              <w:pStyle w:val="Compact"/>
              <w:jc w:val="left"/>
            </w:pPr>
            <w:r>
              <w:t xml:space="preserve">31</w:t>
            </w:r>
          </w:p>
        </w:tc>
        <w:tc>
          <w:tcPr/>
          <w:p>
            <w:pPr>
              <w:pStyle w:val="Compact"/>
              <w:jc w:val="left"/>
            </w:pPr>
            <w:r>
              <w:t xml:space="preserve">4.5</w:t>
            </w:r>
          </w:p>
        </w:tc>
        <w:tc>
          <w:tcPr/>
          <w:p>
            <w:pPr>
              <w:pStyle w:val="Compact"/>
              <w:jc w:val="left"/>
            </w:pPr>
            <w:r>
              <w:t xml:space="preserve">**</w:t>
            </w:r>
          </w:p>
        </w:tc>
        <w:tc>
          <w:tcPr/>
          <w:p>
            <w:pPr>
              <w:pStyle w:val="Compact"/>
              <w:jc w:val="left"/>
            </w:pPr>
            <w:r>
              <w:t xml:space="preserve">-0.14</w:t>
            </w:r>
          </w:p>
        </w:tc>
        <w:tc>
          <w:tcPr/>
          <w:p>
            <w:pPr>
              <w:pStyle w:val="Compact"/>
              <w:jc w:val="left"/>
            </w:pPr>
            <w:r>
              <w:t xml:space="preserve">ns</w:t>
            </w:r>
          </w:p>
        </w:tc>
        <w:tc>
          <w:tcPr/>
          <w:p>
            <w:pPr>
              <w:pStyle w:val="Compact"/>
              <w:jc w:val="left"/>
            </w:pPr>
            <w:r>
              <w:t xml:space="preserve">-0.091</w:t>
            </w:r>
          </w:p>
        </w:tc>
        <w:tc>
          <w:tcPr/>
          <w:p>
            <w:pPr>
              <w:pStyle w:val="Compact"/>
              <w:jc w:val="left"/>
            </w:pPr>
            <w:r>
              <w:t xml:space="preserve">**</w:t>
            </w:r>
          </w:p>
        </w:tc>
      </w:tr>
      <w:tr>
        <w:tc>
          <w:tcPr/>
          <w:p>
            <w:pPr>
              <w:pStyle w:val="Compact"/>
              <w:jc w:val="left"/>
            </w:pPr>
            <w:r>
              <w:t xml:space="preserve">250</w:t>
            </w:r>
          </w:p>
        </w:tc>
        <w:tc>
          <w:tcPr/>
          <w:p>
            <w:pPr>
              <w:pStyle w:val="Compact"/>
              <w:jc w:val="left"/>
            </w:pPr>
            <w:r>
              <w:t xml:space="preserve">0.29</w:t>
            </w:r>
          </w:p>
        </w:tc>
        <w:tc>
          <w:tcPr/>
          <w:p>
            <w:pPr>
              <w:pStyle w:val="Compact"/>
              <w:jc w:val="left"/>
            </w:pPr>
            <w:r>
              <w:t xml:space="preserve">0.13</w:t>
            </w:r>
          </w:p>
        </w:tc>
        <w:tc>
          <w:tcPr/>
          <w:p>
            <w:pPr>
              <w:pStyle w:val="Compact"/>
              <w:jc w:val="left"/>
            </w:pPr>
            <w:r>
              <w:t xml:space="preserve">43</w:t>
            </w:r>
          </w:p>
        </w:tc>
        <w:tc>
          <w:tcPr/>
          <w:p>
            <w:pPr>
              <w:pStyle w:val="Compact"/>
              <w:jc w:val="left"/>
            </w:pPr>
            <w:r>
              <w:t xml:space="preserve">6.5</w:t>
            </w:r>
          </w:p>
        </w:tc>
        <w:tc>
          <w:tcPr/>
          <w:p>
            <w:pPr>
              <w:pStyle w:val="Compact"/>
              <w:jc w:val="left"/>
            </w:pPr>
            <w:r>
              <w:t xml:space="preserve">***</w:t>
            </w:r>
          </w:p>
        </w:tc>
        <w:tc>
          <w:tcPr/>
          <w:p>
            <w:pPr>
              <w:pStyle w:val="Compact"/>
              <w:jc w:val="left"/>
            </w:pPr>
            <w:r>
              <w:t xml:space="preserve">1.7</w:t>
            </w:r>
          </w:p>
        </w:tc>
        <w:tc>
          <w:tcPr/>
          <w:p>
            <w:pPr>
              <w:pStyle w:val="Compact"/>
              <w:jc w:val="left"/>
            </w:pPr>
            <w:r>
              <w:t xml:space="preserve">.</w:t>
            </w:r>
          </w:p>
        </w:tc>
        <w:tc>
          <w:tcPr/>
          <w:p>
            <w:pPr>
              <w:pStyle w:val="Compact"/>
              <w:jc w:val="left"/>
            </w:pPr>
            <w:r>
              <w:t xml:space="preserve">-0.20</w:t>
            </w:r>
          </w:p>
        </w:tc>
        <w:tc>
          <w:tcPr/>
          <w:p>
            <w:pPr>
              <w:pStyle w:val="Compact"/>
              <w:jc w:val="left"/>
            </w:pPr>
            <w:r>
              <w:t xml:space="preserve">.</w:t>
            </w:r>
          </w:p>
        </w:tc>
      </w:tr>
    </w:tbl>
    <w:p>
      <w:pPr>
        <w:pStyle w:val="BodyText"/>
      </w:pPr>
      <w:r>
        <w:t xml:space="preserve">After obtaining the model parameters, we simulated the geosmin production data of the cyanobacteria cultivated indoors and compared the results with the original data to evaluate the model’s explanatory power. Under various conditions, the model's fit achieved an 𝑅</w:t>
      </w:r>
      <w:r>
        <w:rPr>
          <w:vertAlign w:val="superscript"/>
        </w:rPr>
        <w:t xml:space="preserve">2</w:t>
      </w:r>
      <w:r>
        <w:t xml:space="preserve"> </w:t>
      </w:r>
      <w:r>
        <w:t xml:space="preserve">of (TBD) and an RMSE of (TBD), indicating that the model is capable of reasonably simulating the temporal variation of d2t to a certain extent.</w:t>
      </w:r>
    </w:p>
    <w:p>
      <w:pPr>
        <w:pStyle w:val="BodyText"/>
      </w:pPr>
      <w:r>
        <w:t xml:space="preserve">删除后面的几个点</w:t>
      </w:r>
    </w:p>
    <w:bookmarkEnd w:id="29"/>
    <w:bookmarkStart w:id="30" w:name="Xec90c861239b75333d639816ab1901e8dedcdcb"/>
    <w:p>
      <w:pPr>
        <w:pStyle w:val="Heading2"/>
      </w:pPr>
      <w:r>
        <w:t xml:space="preserve">Field application of d2t model for MIB warning</w:t>
      </w:r>
    </w:p>
    <w:p>
      <w:pPr>
        <w:pStyle w:val="FirstParagraph"/>
      </w:pPr>
      <w:r>
        <w:t xml:space="preserve">Between March 2022 and February 2023, two significant MIB outbreaks were observed in Lake Taihu. High MIB concentrations were primarily recorded in the spring (TBD) and summer (TBD), particularly in April (TBD) and July (TBD), indicating pronounced seasonality (p-value = TBD). To explore the potential drivers of MIB outbreaks, limnological characteristics were investigated and summarized in Table S. The seasonal variations of water quality parameters are shown in (TBD)</w:t>
      </w:r>
    </w:p>
    <w:p>
      <w:pPr>
        <w:pStyle w:val="BodyText"/>
      </w:pPr>
      <w:r>
        <w:t xml:space="preserve">（再加一张柱状或者箱图，体现MIB浓度分区差异）</w:t>
      </w:r>
    </w:p>
    <w:p>
      <w:pPr>
        <w:pStyle w:val="BodyText"/>
      </w:pPr>
      <w:r>
        <w:t xml:space="preserve">In addition to seasonal variations, the spatial distribution of MIB concentrations in Lake Taihu also exhibited heterogeneity. High-concentration regions during MIB outbreaks were primarily located in the northern Meiliang Bay and southeastern East Taihu areas. The MIB peak in April was concentrated in Meiliang Bay, while the July peak occurred in both Meiliang Bay and East Taihu. During these two peaks, extracellular MIB accounted for a smaller proportion, with intracellular MIB dominating. A slight increase in extracellular MIB was observed in January and February, mainly in the northeastern direction. The spatial distribution differences of MIB concentrations in Lake Taihu are likely due to the varying dominant vegetation across regions. Lake Taihu can be divided into three zones: the algae-dominated area (a), the macrophyte-dominated area (c), and a transitional area where algae and macrophytes coexist (b) (reference).</w:t>
      </w:r>
    </w:p>
    <w:p>
      <w:pPr>
        <w:pStyle w:val="BodyText"/>
      </w:pPr>
      <w:r>
        <w:t xml:space="preserve">Table 2 细胞内禀生长率</w:t>
      </w:r>
    </w:p>
    <w:tbl>
      <w:tblPr>
        <w:tblStyle w:val="Table"/>
        <w:tblW w:type="pct" w:w="4868"/>
        <w:tblLayout w:type="fixed"/>
        <w:tblLook w:firstRow="0" w:lastRow="0" w:firstColumn="0" w:lastColumn="0" w:noHBand="0" w:noVBand="0" w:val="0000"/>
      </w:tblPr>
      <w:tblGrid>
        <w:gridCol w:w="7711"/>
      </w:tblGrid>
      <w:tr>
        <w:tc>
          <w:tcPr/>
          <w:p>
            <w:pPr>
              <w:pStyle w:val="Compact"/>
              <w:jc w:val="left"/>
            </w:pPr>
            <w:r>
              <w:t xml:space="preserve">Strain R I_dose Temp TN TP Ref</w:t>
            </w:r>
          </w:p>
        </w:tc>
      </w:tr>
      <w:tr>
        <w:tc>
          <w:tcPr/>
          <w:p>
            <w:pPr>
              <w:pStyle w:val="Compact"/>
              <w:jc w:val="left"/>
            </w:pPr>
            <w:r>
              <w:t xml:space="preserve">(d</w:t>
            </w:r>
            <w:r>
              <w:rPr>
                <w:vertAlign w:val="superscript"/>
              </w:rPr>
              <w:t xml:space="preserve">-1</w:t>
            </w:r>
            <w:r>
              <w:t xml:space="preserve">)</w:t>
            </w:r>
          </w:p>
        </w:tc>
      </w:tr>
    </w:tbl>
    <w:p>
      <w:r>
        <w:pict>
          <v:rect style="width:0;height:1.5pt" o:hralign="center" o:hrstd="t" o:hr="t"/>
        </w:pict>
      </w:r>
    </w:p>
    <w:p>
      <w:pPr>
        <w:pStyle w:val="FirstParagraph"/>
      </w:pPr>
      <w:r>
        <w:t xml:space="preserve">: Table 1 Summary of the P. raciborskii culture experiment results (\tau (d): the duration of cell number increases; N^*: the maximum cell density;^ c^*_{MIB}: the maximum MIB concentration; k_{MIB}: the decay rates of MIB concentration under different HRT conditions)</w:t>
      </w:r>
    </w:p>
    <w:p>
      <w:pPr>
        <w:pStyle w:val="BodyText"/>
      </w:pPr>
      <w:r>
        <w:t xml:space="preserve">The d2t data from various sampling points in Lake Taihu were incorporated into the model to determine the cell growth period 𝑡. The time when the cell density reaches 𝐾/2 in the model was defined as 𝑇0/2, and 𝑡/𝑇0 was used to characterize the growth stage of the geosmin-producing cyanobacteria at each sampling point. The growth stages of the geosmin-producing cyanobacteria exhibited different distributions with the seasons. In the summer, the cyanobacteria at all points were generally in the late growth phase, during which a large amount of MIB was released into the water. Subsequently, the proportion of cyanobacteria in the late growth phase gradually decreased, and by winter, the cyanobacteria were predominantly in the early growth phase. This suggests that environmental conditions were not conducive to large-scale growth and accumulation of the cyanobacteria at this time. Even though a few cells were in the early growth phase, they would quickly undergo apoptosis due to the adverse environmental conditions.</w:t>
      </w:r>
    </w:p>
    <w:p>
      <w:pPr>
        <w:pStyle w:val="BodyText"/>
      </w:pPr>
      <w:r>
        <w:t xml:space="preserve">Chla与其他点位藻数据进行校正，插值，空白补充</w:t>
      </w:r>
    </w:p>
    <w:p>
      <w:pPr>
        <w:pStyle w:val="BodyText"/>
      </w:pPr>
      <w:r>
        <w:t xml:space="preserve">外拓到风险（或者进一步解释湖区的差异）</w:t>
      </w:r>
    </w:p>
    <w:bookmarkEnd w:id="30"/>
    <w:bookmarkEnd w:id="31"/>
    <w:bookmarkStart w:id="34" w:name="discussion"/>
    <w:p>
      <w:pPr>
        <w:pStyle w:val="Heading1"/>
      </w:pPr>
      <w:r>
        <w:t xml:space="preserve">Discussion</w:t>
      </w:r>
    </w:p>
    <w:bookmarkStart w:id="32" w:name="X49c100ce2e38ebd6a3df52936f0c2c6c8afdf3a"/>
    <w:p>
      <w:pPr>
        <w:pStyle w:val="Heading2"/>
      </w:pPr>
      <w:r>
        <w:t xml:space="preserve">Biological interpretation of the d2t model</w:t>
      </w:r>
    </w:p>
    <w:p>
      <w:pPr>
        <w:pStyle w:val="FirstParagraph"/>
      </w:pPr>
      <w:r>
        <w:t xml:space="preserve">(I) When the cell density is low, the change in d2t is represented by the variation in environmental carrying capacity; (II)when the cell density exceeds 80% of K, the change is represented by the remaining environmental carrying capacity.</w:t>
      </w:r>
    </w:p>
    <w:bookmarkEnd w:id="32"/>
    <w:bookmarkStart w:id="33" w:name="X455eeb7fa68cc4d3a1ca02918bbcea6c0a6e2cb"/>
    <w:p>
      <w:pPr>
        <w:pStyle w:val="Heading2"/>
      </w:pPr>
      <w:r>
        <w:t xml:space="preserve">The difference of d2t model between different algae species</w:t>
      </w:r>
    </w:p>
    <w:p>
      <w:pPr>
        <w:pStyle w:val="FirstParagraph"/>
      </w:pPr>
      <w:r>
        <w:t xml:space="preserve">不同藻种d2t模型的区别，提出从10%K到达50%K的时间T0作为比较的值</w:t>
      </w:r>
    </w:p>
    <w:p>
      <w:pPr>
        <w:pStyle w:val="BodyText"/>
      </w:pPr>
      <w:r>
        <w:t xml:space="preserve">……拓展到全国样品</w:t>
      </w:r>
    </w:p>
    <w:bookmarkEnd w:id="33"/>
    <w:bookmarkEnd w:id="34"/>
    <w:bookmarkStart w:id="35" w:name="conclusion"/>
    <w:p>
      <w:pPr>
        <w:pStyle w:val="Heading1"/>
      </w:pPr>
      <w:r>
        <w:t xml:space="preserve">Conclusion</w:t>
      </w:r>
    </w:p>
    <w:p>
      <w:pPr>
        <w:pStyle w:val="FirstParagraph"/>
      </w:pPr>
      <w:r>
        <w:t xml:space="preserve">TBD</w:t>
      </w:r>
    </w:p>
    <w:bookmarkEnd w:id="35"/>
    <w:bookmarkStart w:id="36" w:name="declaration-of-competing-interest"/>
    <w:p>
      <w:pPr>
        <w:pStyle w:val="Heading1"/>
      </w:pPr>
      <w:r>
        <w:t xml:space="preserve">Declaration of Competing Interest</w:t>
      </w:r>
    </w:p>
    <w:p>
      <w:pPr>
        <w:pStyle w:val="FirstParagraph"/>
      </w:pPr>
      <w:r>
        <w:t xml:space="preserve">The authors declare that they have no known competing financial interests or personal relationships that could have appeared to influence the work reported in this paper.</w:t>
      </w:r>
    </w:p>
    <w:bookmarkEnd w:id="36"/>
    <w:bookmarkStart w:id="37" w:name="acknowledgements"/>
    <w:p>
      <w:pPr>
        <w:pStyle w:val="Heading1"/>
      </w:pPr>
      <w:r>
        <w:t xml:space="preserve">Acknowledgements</w:t>
      </w:r>
    </w:p>
    <w:p>
      <w:pPr>
        <w:pStyle w:val="FirstParagraph"/>
      </w:pPr>
      <w:r>
        <w:t xml:space="preserve">This work was financially supported by the National Natural Science Foundation of China (52030002, 51878649), and Youth Innovation Promotion Association CAS.</w:t>
      </w:r>
    </w:p>
    <w:bookmarkEnd w:id="37"/>
    <w:bookmarkStart w:id="38" w:name="references"/>
    <w:p>
      <w:pPr>
        <w:pStyle w:val="Heading1"/>
      </w:pPr>
      <w:r>
        <w:t xml:space="preserve">References</w:t>
      </w:r>
    </w:p>
    <w:bookmarkEnd w:id="38"/>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20"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MANUSCRIPT TITLE</dc:title>
  <dc:creator>Ming Su1,2, and Min Yang1,2,✉</dc:creator>
  <dc:language>en</dc:language>
  <cp:keywords>KEYWORD1, KEYWORD2, KEYWORD3</cp:keywords>
  <dcterms:created xsi:type="dcterms:W3CDTF">2024-10-13T14:31:11Z</dcterms:created>
  <dcterms:modified xsi:type="dcterms:W3CDTF">2024-10-13T14:31:11Z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ABSTRACT</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_extensions/inst/tex/elsevier-harvard.csl</vt:lpwstr>
  </property>
  <property fmtid="{D5CDD505-2E9C-101B-9397-08002B2CF9AE}" pid="12" name="date">
    <vt:lpwstr>2024-10-13</vt:lpwstr>
  </property>
  <property fmtid="{D5CDD505-2E9C-101B-9397-08002B2CF9AE}" pid="13" name="header-includes">
    <vt:lpwstr/>
  </property>
  <property fmtid="{D5CDD505-2E9C-101B-9397-08002B2CF9AE}" pid="14" name="ightbox">
    <vt:lpwstr>auto</vt:lpwstr>
  </property>
  <property fmtid="{D5CDD505-2E9C-101B-9397-08002B2CF9AE}" pid="15" name="include-after">
    <vt:lpwstr/>
  </property>
  <property fmtid="{D5CDD505-2E9C-101B-9397-08002B2CF9AE}" pid="16" name="include-before">
    <vt:lpwstr/>
  </property>
  <property fmtid="{D5CDD505-2E9C-101B-9397-08002B2CF9AE}" pid="17" name="labels">
    <vt:lpwstr/>
  </property>
  <property fmtid="{D5CDD505-2E9C-101B-9397-08002B2CF9AE}" pid="18" name="msname">
    <vt:lpwstr>MS</vt:lpwstr>
  </property>
  <property fmtid="{D5CDD505-2E9C-101B-9397-08002B2CF9AE}" pid="19" name="smname">
    <vt:lpwstr>SM</vt:lpwstr>
  </property>
  <property fmtid="{D5CDD505-2E9C-101B-9397-08002B2CF9AE}" pid="20" name="submitid">
    <vt:lpwstr/>
  </property>
  <property fmtid="{D5CDD505-2E9C-101B-9397-08002B2CF9AE}" pid="21" name="submitjournal">
    <vt:lpwstr>JOURNAL</vt:lpwstr>
  </property>
  <property fmtid="{D5CDD505-2E9C-101B-9397-08002B2CF9AE}" pid="22" name="toc-title">
    <vt:lpwstr>Table of contents</vt:lpwstr>
  </property>
</Properties>
</file>