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0.png" ContentType="image/png"/>
  <Override PartName="/word/media/rId37.png" ContentType="image/png"/>
  <Override PartName="/word/media/rId40.png" ContentType="image/png"/>
  <Override PartName="/word/media/rId4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2025-01-23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5"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data-analysis"/>
    <w:p>
      <w:pPr>
        <w:pStyle w:val="Heading2"/>
      </w:pPr>
      <w:r>
        <w:t xml:space="preserve">Data analysis</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a</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In this model, K represents the environmental carrying capacity, which is the maximum cell density that the algal population can achieve under specific environmental conditions. N₀ denotes the initial cell density at time t = 0, and r represents the intrinsic growth rate, reflecting the maximum growth rate of the cells under ideal conditions. In aquatic environments, 2-methylisoborneol (MIB) primarily exists in two forms: dissolved MIB (dMIB) and cell-bound MIB (cMIB). The sum of these two forms constitutes the total MIB (tMIB). The dMIB is mainly released into the water environment through the lysis and death of odor-producing algal cells. To elucidate the dynamics of dMIB and tMIB during the cultivation of Pseudanabaena, a model was developed to describe the ratio of dMIB to tMIB (denoted as d2t) over time. Since dMIB is associated with cell lysis and death, the change in d2t was modeled using the variation in environmental carrying capacity when the cell density was low (less than 80% of K) (Equation 3). When the cell density approached K (greater than 80% of K), the remaining environmental carrying capacity was used to represent the change in d2t (Equation 4).</w:t>
      </w:r>
    </w:p>
    <w:p>
      <w:pPr>
        <w:pStyle w:val="BodyText"/>
      </w:pPr>
      <w:r>
        <w:t xml:space="preserve">$$d2t = 1 - bT\left( \frac{N(t)}{K} \right)^{`} = 1 - bT\frac{are^{rt}}{e^{2rt} + {2ae}^{rt} + a^{2}}\quad\quad(3)$$</w:t>
      </w:r>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4</m:t>
              </m:r>
            </m:e>
          </m:d>
        </m:oMath>
      </m:oMathPara>
    </w:p>
    <w:p>
      <w:pPr>
        <w:pStyle w:val="FirstParagraph"/>
      </w:pPr>
      <w:r>
        <w:t xml:space="preserve">In these equations, b and c are coefficients of variation, T is the doubling time of the algal cells under cultivation conditions, and d is a correction factor that accounts for the accumulation and volatilization effects of MIB in the cultivation system.</w:t>
      </w:r>
    </w:p>
    <w:bookmarkEnd w:id="24"/>
    <w:bookmarkEnd w:id="25"/>
    <w:bookmarkStart w:id="47" w:name="results"/>
    <w:p>
      <w:pPr>
        <w:pStyle w:val="Heading1"/>
      </w:pPr>
      <w:r>
        <w:t xml:space="preserve">Results</w:t>
      </w:r>
    </w:p>
    <w:bookmarkStart w:id="29" w:name="X5a0a00a8abaadc569fa90a49eb4ad0e91a36019"/>
    <w:p>
      <w:pPr>
        <w:pStyle w:val="Heading2"/>
      </w:pPr>
      <w:r>
        <w:t xml:space="preserve">Spatiotemporal distribution characteristics of mib in Lake Taihu</w:t>
      </w:r>
    </w:p>
    <w:p>
      <w:pPr>
        <w:pStyle w:val="FirstParagraph"/>
      </w:pPr>
      <w:r>
        <w:drawing>
          <wp:inline>
            <wp:extent cx="3451860" cy="2588895"/>
            <wp:effectExtent b="0" l="0" r="0" t="0"/>
            <wp:docPr descr="" title="" id="27" name="Picture"/>
            <a:graphic>
              <a:graphicData uri="http://schemas.openxmlformats.org/drawingml/2006/picture">
                <pic:pic>
                  <pic:nvPicPr>
                    <pic:cNvPr descr="../figures/taihumibalgae.png" id="28" name="Picture"/>
                    <pic:cNvPicPr>
                      <a:picLocks noChangeArrowheads="1" noChangeAspect="1"/>
                    </pic:cNvPicPr>
                  </pic:nvPicPr>
                  <pic:blipFill>
                    <a:blip r:embed="rId26"/>
                    <a:stretch>
                      <a:fillRect/>
                    </a:stretch>
                  </pic:blipFill>
                  <pic:spPr bwMode="auto">
                    <a:xfrm>
                      <a:off x="0" y="0"/>
                      <a:ext cx="3451860" cy="2588895"/>
                    </a:xfrm>
                    <a:prstGeom prst="rect">
                      <a:avLst/>
                    </a:prstGeom>
                    <a:noFill/>
                    <a:ln w="9525">
                      <a:noFill/>
                      <a:headEnd/>
                      <a:tailEnd/>
                    </a:ln>
                  </pic:spPr>
                </pic:pic>
              </a:graphicData>
            </a:graphic>
          </wp:inline>
        </w:drawing>
      </w:r>
    </w:p>
    <w:bookmarkEnd w:id="29"/>
    <w:bookmarkStart w:id="36" w:name="Xea1a7d05fce77b3a2ae6a94ac0ee52b244ce33e"/>
    <w:p>
      <w:pPr>
        <w:pStyle w:val="Heading2"/>
      </w:pPr>
      <w:r>
        <w:t xml:space="preserve">Construction of model between the cultured algae growth and d2t change</w:t>
      </w:r>
    </w:p>
    <w:p>
      <w:pPr>
        <w:pStyle w:val="FirstParagraph"/>
      </w:pPr>
      <w:r>
        <w:drawing>
          <wp:inline>
            <wp:extent cx="3451860" cy="3451860"/>
            <wp:effectExtent b="0" l="0" r="0" t="0"/>
            <wp:docPr descr="" title="" id="31" name="Picture"/>
            <a:graphic>
              <a:graphicData uri="http://schemas.openxmlformats.org/drawingml/2006/picture">
                <pic:pic>
                  <pic:nvPicPr>
                    <pic:cNvPr descr="../figures/modelconcept.png" id="32" name="Picture"/>
                    <pic:cNvPicPr>
                      <a:picLocks noChangeArrowheads="1" noChangeAspect="1"/>
                    </pic:cNvPicPr>
                  </pic:nvPicPr>
                  <pic:blipFill>
                    <a:blip r:embed="rId30"/>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34" name="Picture"/>
            <a:graphic>
              <a:graphicData uri="http://schemas.openxmlformats.org/drawingml/2006/picture">
                <pic:pic>
                  <pic:nvPicPr>
                    <pic:cNvPr descr="../figures/culturemodel.png" id="35" name="Picture"/>
                    <pic:cNvPicPr>
                      <a:picLocks noChangeArrowheads="1" noChangeAspect="1"/>
                    </pic:cNvPicPr>
                  </pic:nvPicPr>
                  <pic:blipFill>
                    <a:blip r:embed="rId33"/>
                    <a:stretch>
                      <a:fillRect/>
                    </a:stretch>
                  </pic:blipFill>
                  <pic:spPr bwMode="auto">
                    <a:xfrm>
                      <a:off x="0" y="0"/>
                      <a:ext cx="3451860" cy="2301240"/>
                    </a:xfrm>
                    <a:prstGeom prst="rect">
                      <a:avLst/>
                    </a:prstGeom>
                    <a:noFill/>
                    <a:ln w="9525">
                      <a:noFill/>
                      <a:headEnd/>
                      <a:tailEnd/>
                    </a:ln>
                  </pic:spPr>
                </pic:pic>
              </a:graphicData>
            </a:graphic>
          </wp:inline>
        </w:drawing>
      </w:r>
    </w:p>
    <w:bookmarkEnd w:id="36"/>
    <w:bookmarkStart w:id="46" w:name="Xec90c861239b75333d639816ab1901e8dedcdcb"/>
    <w:p>
      <w:pPr>
        <w:pStyle w:val="Heading2"/>
      </w:pPr>
      <w:r>
        <w:t xml:space="preserve">Field application of d2t model for MIB warning</w:t>
      </w:r>
    </w:p>
    <w:p>
      <w:pPr>
        <w:pStyle w:val="FirstParagraph"/>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SourceCode"/>
      </w:pPr>
      <w:r>
        <w:rPr>
          <w:rStyle w:val="VerbatimChar"/>
        </w:rPr>
        <w:t xml:space="preserve">#&gt; NULL</w:t>
      </w:r>
    </w:p>
    <w:p>
      <w:pPr>
        <w:pStyle w:val="FirstParagraph"/>
      </w:pPr>
      <w:r>
        <w:drawing>
          <wp:inline>
            <wp:extent cx="3451860" cy="3451860"/>
            <wp:effectExtent b="0" l="0" r="0" t="0"/>
            <wp:docPr descr="" title="" id="44" name="Picture"/>
            <a:graphic>
              <a:graphicData uri="http://schemas.openxmlformats.org/drawingml/2006/picture">
                <pic:pic>
                  <pic:nvPicPr>
                    <pic:cNvPr descr="../figures/taihu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bookmarkEnd w:id="46"/>
    <w:bookmarkEnd w:id="47"/>
    <w:bookmarkStart w:id="50" w:name="discussion"/>
    <w:p>
      <w:pPr>
        <w:pStyle w:val="Heading1"/>
      </w:pPr>
      <w:r>
        <w:t xml:space="preserve">Discussion</w:t>
      </w:r>
    </w:p>
    <w:bookmarkStart w:id="48"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48"/>
    <w:bookmarkStart w:id="49"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49"/>
    <w:bookmarkEnd w:id="50"/>
    <w:bookmarkStart w:id="51" w:name="conclusion"/>
    <w:p>
      <w:pPr>
        <w:pStyle w:val="Heading1"/>
      </w:pPr>
      <w:r>
        <w:t xml:space="preserve">Conclusion</w:t>
      </w:r>
    </w:p>
    <w:p>
      <w:pPr>
        <w:pStyle w:val="FirstParagraph"/>
      </w:pPr>
      <w:r>
        <w:t xml:space="preserve">TBD</w:t>
      </w:r>
    </w:p>
    <w:bookmarkEnd w:id="51"/>
    <w:bookmarkStart w:id="5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2"/>
    <w:bookmarkStart w:id="5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3"/>
    <w:bookmarkStart w:id="54" w:name="references"/>
    <w:p>
      <w:pPr>
        <w:pStyle w:val="Heading1"/>
      </w:pPr>
      <w:r>
        <w:t xml:space="preserve">References</w:t>
      </w:r>
    </w:p>
    <w:bookmarkEnd w:id="5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image" Id="rId26" Target="media/rId2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2025-01-23T10:20:22Z</dcterms:created>
  <dcterms:modified xsi:type="dcterms:W3CDTF">2025-01-23T10:20:22Z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2025-01-23</vt:lpwstr>
  </property>
  <property fmtid="{D5CDD505-2E9C-101B-9397-08002B2CF9AE}" pid="14" name="header-includes">
    <vt:lpwstr/>
  </property>
  <property fmtid="{D5CDD505-2E9C-101B-9397-08002B2CF9AE}" pid="15" name="ightbox">
    <vt:lpwstr>auto</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msname">
    <vt:lpwstr>MS</vt:lpwstr>
  </property>
  <property fmtid="{D5CDD505-2E9C-101B-9397-08002B2CF9AE}" pid="20" name="smname">
    <vt:lpwstr>SM</vt:lpwstr>
  </property>
  <property fmtid="{D5CDD505-2E9C-101B-9397-08002B2CF9AE}" pid="21" name="submitid">
    <vt:lpwstr/>
  </property>
  <property fmtid="{D5CDD505-2E9C-101B-9397-08002B2CF9AE}" pid="22" name="submitjournal">
    <vt:lpwstr>JOURNAL</vt:lpwstr>
  </property>
  <property fmtid="{D5CDD505-2E9C-101B-9397-08002B2CF9AE}" pid="23" name="toc-title">
    <vt:lpwstr>Table of contents</vt:lpwstr>
  </property>
</Properties>
</file>