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3.png" ContentType="image/png"/>
  <Override PartName="/word/media/rId30.png" ContentType="image/png"/>
  <Override PartName="/word/media/rId37.png" ContentType="image/png"/>
  <Override PartName="/word/media/rId40.png" ContentType="image/png"/>
  <Override PartName="/word/media/rId4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2025-01-23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5"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data-analysis"/>
    <w:p>
      <w:pPr>
        <w:pStyle w:val="Heading2"/>
      </w:pPr>
      <w:r>
        <w:t xml:space="preserve">Data analysis</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a</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In this model, K represents the environmental carrying capacity, which is the maximum cell density that the algal population can achieve under specific environmental conditions. N₀ denotes the initial cell density at time t = 0, and r represents the intrinsic growth rate, reflecting the maximum growth rate of the cells under ideal conditions. In aquatic environments, 2-methylisoborneol (MIB) primarily exists in two forms: dissolved MIB (dMIB) and cell-bound MIB (cMIB). The sum of these two forms constitutes the total MIB (tMIB). The dMIB is mainly released into the water environment through the lysis and death of odor-producing algal cells. To elucidate the dynamics of dMIB and tMIB during the cultivation of Pseudanabaena, a model was developed to describe the ratio of dMIB to tMIB (denoted as d2t) over time. Since dMIB is associated with cell lysis and death, the change in d2t was modeled using the variation in environmental carrying capacity when the cell density was low (less than 80% of K) (Equation 3). When the cell density approached K (greater than 80% of K), the remaining environmental carrying capacity was used to represent the change in d2t (Equation 4).</w:t>
      </w:r>
    </w:p>
    <w:p>
      <w:pPr>
        <w:pStyle w:val="BodyText"/>
      </w:pPr>
      <m:oMathPara>
        <m:oMathParaPr>
          <m:jc m:val="center"/>
        </m:oMathParaPr>
        <m:oMath>
          <m:r>
            <m:t>d</m:t>
          </m:r>
          <m:r>
            <m:t>2</m:t>
          </m:r>
          <m:r>
            <m:t>t</m:t>
          </m:r>
          <m:r>
            <m:rPr>
              <m:sty m:val="p"/>
            </m:rPr>
            <m:t>=</m:t>
          </m:r>
          <m:r>
            <m:t>1</m:t>
          </m:r>
          <m:r>
            <m:rPr>
              <m:sty m:val="p"/>
            </m:rPr>
            <m:t>−</m:t>
          </m:r>
          <m:r>
            <m:t>b</m:t>
          </m:r>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r>
            <m:t>b</m:t>
          </m:r>
          <m:r>
            <m:t>T</m:t>
          </m:r>
          <m:f>
            <m:fPr>
              <m:type m:val="bar"/>
            </m:fPr>
            <m:num>
              <m:r>
                <m:t>a</m:t>
              </m:r>
              <m:r>
                <m:t>r</m:t>
              </m:r>
              <m:sSup>
                <m:e>
                  <m:r>
                    <m:t>e</m:t>
                  </m:r>
                </m:e>
                <m:sup>
                  <m:r>
                    <m:t>r</m:t>
                  </m:r>
                  <m:r>
                    <m:t>t</m:t>
                  </m:r>
                </m:sup>
              </m:sSup>
            </m:num>
            <m:den>
              <m:sSup>
                <m:e>
                  <m:r>
                    <m:t>e</m:t>
                  </m:r>
                </m:e>
                <m:sup>
                  <m:r>
                    <m:t>2</m:t>
                  </m:r>
                  <m:r>
                    <m:t>r</m:t>
                  </m:r>
                  <m:r>
                    <m:t>t</m:t>
                  </m:r>
                </m:sup>
              </m:sSup>
              <m:r>
                <m:rPr>
                  <m:sty m:val="p"/>
                </m:rPr>
                <m:t>+</m:t>
              </m:r>
              <m:sSup>
                <m:e>
                  <m:r>
                    <m:t>2</m:t>
                  </m:r>
                  <m:r>
                    <m:t>a</m:t>
                  </m:r>
                  <m:r>
                    <m:t>e</m:t>
                  </m:r>
                </m:e>
                <m:sup>
                  <m:r>
                    <m:t>r</m:t>
                  </m:r>
                  <m:r>
                    <m:t>t</m:t>
                  </m:r>
                </m:sup>
              </m:sSup>
              <m:r>
                <m:rPr>
                  <m:sty m:val="p"/>
                </m:rPr>
                <m:t>+</m:t>
              </m:r>
              <m:sSup>
                <m:e>
                  <m:r>
                    <m:t>a</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4</m:t>
              </m:r>
            </m:e>
          </m:d>
        </m:oMath>
      </m:oMathPara>
    </w:p>
    <w:p>
      <w:pPr>
        <w:pStyle w:val="FirstParagraph"/>
      </w:pPr>
      <w:r>
        <w:t xml:space="preserve">In these equations, b and c are coefficients of variation, T is the doubling time of the algal cells under cultivation conditions, and d is a correction factor that accounts for the accumulation and volatilization effects of MIB in the cultivation system.</w:t>
      </w:r>
    </w:p>
    <w:bookmarkEnd w:id="24"/>
    <w:bookmarkEnd w:id="25"/>
    <w:bookmarkStart w:id="50" w:name="results"/>
    <w:p>
      <w:pPr>
        <w:pStyle w:val="Heading1"/>
      </w:pPr>
      <w:r>
        <w:t xml:space="preserve">Results</w:t>
      </w:r>
    </w:p>
    <w:bookmarkStart w:id="29" w:name="X5a0a00a8abaadc569fa90a49eb4ad0e91a36019"/>
    <w:p>
      <w:pPr>
        <w:pStyle w:val="Heading2"/>
      </w:pPr>
      <w:r>
        <w:t xml:space="preserve">Spatiotemporal distribution characteristics of mib in Lake Taihu</w:t>
      </w:r>
    </w:p>
    <w:p>
      <w:pPr>
        <w:pStyle w:val="FirstParagraph"/>
      </w:pPr>
      <w:r>
        <w:drawing>
          <wp:inline>
            <wp:extent cx="3451860" cy="2588895"/>
            <wp:effectExtent b="0" l="0" r="0" t="0"/>
            <wp:docPr descr="" title="" id="27" name="Picture"/>
            <a:graphic>
              <a:graphicData uri="http://schemas.openxmlformats.org/drawingml/2006/picture">
                <pic:pic>
                  <pic:nvPicPr>
                    <pic:cNvPr descr="../figures/taihumibalgae.png" id="28" name="Picture"/>
                    <pic:cNvPicPr>
                      <a:picLocks noChangeArrowheads="1" noChangeAspect="1"/>
                    </pic:cNvPicPr>
                  </pic:nvPicPr>
                  <pic:blipFill>
                    <a:blip r:embed="rId26"/>
                    <a:stretch>
                      <a:fillRect/>
                    </a:stretch>
                  </pic:blipFill>
                  <pic:spPr bwMode="auto">
                    <a:xfrm>
                      <a:off x="0" y="0"/>
                      <a:ext cx="3451860" cy="2588895"/>
                    </a:xfrm>
                    <a:prstGeom prst="rect">
                      <a:avLst/>
                    </a:prstGeom>
                    <a:noFill/>
                    <a:ln w="9525">
                      <a:noFill/>
                      <a:headEnd/>
                      <a:tailEnd/>
                    </a:ln>
                  </pic:spPr>
                </pic:pic>
              </a:graphicData>
            </a:graphic>
          </wp:inline>
        </w:drawing>
      </w:r>
    </w:p>
    <w:bookmarkEnd w:id="29"/>
    <w:bookmarkStart w:id="36" w:name="Xea1a7d05fce77b3a2ae6a94ac0ee52b244ce33e"/>
    <w:p>
      <w:pPr>
        <w:pStyle w:val="Heading2"/>
      </w:pPr>
      <w:r>
        <w:t xml:space="preserve">Construction of model between the cultured algae growth and d2t change</w:t>
      </w:r>
    </w:p>
    <w:p>
      <w:pPr>
        <w:pStyle w:val="FirstParagraph"/>
      </w:pPr>
      <w:r>
        <w:drawing>
          <wp:inline>
            <wp:extent cx="3451860" cy="3451860"/>
            <wp:effectExtent b="0" l="0" r="0" t="0"/>
            <wp:docPr descr="" title="" id="31" name="Picture"/>
            <a:graphic>
              <a:graphicData uri="http://schemas.openxmlformats.org/drawingml/2006/picture">
                <pic:pic>
                  <pic:nvPicPr>
                    <pic:cNvPr descr="../figures/modelconcept.png" id="32" name="Picture"/>
                    <pic:cNvPicPr>
                      <a:picLocks noChangeArrowheads="1" noChangeAspect="1"/>
                    </pic:cNvPicPr>
                  </pic:nvPicPr>
                  <pic:blipFill>
                    <a:blip r:embed="rId30"/>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34" name="Picture"/>
            <a:graphic>
              <a:graphicData uri="http://schemas.openxmlformats.org/drawingml/2006/picture">
                <pic:pic>
                  <pic:nvPicPr>
                    <pic:cNvPr descr="../figures/culturemodel.png" id="35" name="Picture"/>
                    <pic:cNvPicPr>
                      <a:picLocks noChangeArrowheads="1" noChangeAspect="1"/>
                    </pic:cNvPicPr>
                  </pic:nvPicPr>
                  <pic:blipFill>
                    <a:blip r:embed="rId33"/>
                    <a:stretch>
                      <a:fillRect/>
                    </a:stretch>
                  </pic:blipFill>
                  <pic:spPr bwMode="auto">
                    <a:xfrm>
                      <a:off x="0" y="0"/>
                      <a:ext cx="3451860" cy="2301240"/>
                    </a:xfrm>
                    <a:prstGeom prst="rect">
                      <a:avLst/>
                    </a:prstGeom>
                    <a:noFill/>
                    <a:ln w="9525">
                      <a:noFill/>
                      <a:headEnd/>
                      <a:tailEnd/>
                    </a:ln>
                  </pic:spPr>
                </pic:pic>
              </a:graphicData>
            </a:graphic>
          </wp:inline>
        </w:drawing>
      </w:r>
    </w:p>
    <w:bookmarkEnd w:id="36"/>
    <w:bookmarkStart w:id="49" w:name="Xec90c861239b75333d639816ab1901e8dedcdcb"/>
    <w:p>
      <w:pPr>
        <w:pStyle w:val="Heading2"/>
      </w:pPr>
      <w:r>
        <w:t xml:space="preserve">Field application of d2t model for MIB warning</w:t>
      </w:r>
    </w:p>
    <w:p>
      <w:pPr>
        <w:pStyle w:val="FirstParagraph"/>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3" w:name="discussion"/>
    <w:p>
      <w:pPr>
        <w:pStyle w:val="Heading1"/>
      </w:pPr>
      <w:r>
        <w:t xml:space="preserve">Discussion</w:t>
      </w:r>
    </w:p>
    <w:bookmarkStart w:id="51"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51"/>
    <w:bookmarkStart w:id="52"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52"/>
    <w:bookmarkEnd w:id="53"/>
    <w:bookmarkStart w:id="54" w:name="conclusion"/>
    <w:p>
      <w:pPr>
        <w:pStyle w:val="Heading1"/>
      </w:pPr>
      <w:r>
        <w:t xml:space="preserve">Conclusion</w:t>
      </w:r>
    </w:p>
    <w:p>
      <w:pPr>
        <w:pStyle w:val="FirstParagraph"/>
      </w:pPr>
      <w:r>
        <w:t xml:space="preserve">TBD</w:t>
      </w:r>
    </w:p>
    <w:bookmarkEnd w:id="54"/>
    <w:bookmarkStart w:id="55"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5"/>
    <w:bookmarkStart w:id="56"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6"/>
    <w:bookmarkStart w:id="57" w:name="references"/>
    <w:p>
      <w:pPr>
        <w:pStyle w:val="Heading1"/>
      </w:pPr>
      <w:r>
        <w:t xml:space="preserve">References</w:t>
      </w:r>
    </w:p>
    <w:bookmarkEnd w:id="5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image" Id="rId26" Target="media/rId2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2025-01-23T12:01:14Z</dcterms:created>
  <dcterms:modified xsi:type="dcterms:W3CDTF">2025-01-23T12:01:14Z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2025-01-23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