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5.png" ContentType="image/png"/>
  <Override PartName="/word/media/rId33.png" ContentType="image/png"/>
  <Override PartName="/word/media/rId30.png" ContentType="image/png"/>
  <Override PartName="/word/media/rId39.png" ContentType="image/png"/>
  <Override PartName="/word/media/rId42.png" ContentType="image/png"/>
  <Override PartName="/word/media/rId48.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MANUSCRIPT TITLE</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2025-01-25</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rPr>
          <w:rFonts w:hint="eastAsia"/>
        </w:rPr>
        <w:t xml:space="preserve">为什么做这个东西，做这个东西的意义</w:t>
      </w:r>
    </w:p>
    <w:p>
      <w:pPr>
        <w:pStyle w:val="BodyText"/>
      </w:pPr>
      <w:r>
        <w:rPr>
          <w:rFonts w:hint="eastAsia"/>
        </w:rPr>
        <w:t xml:space="preserve">别人怎么做的，别人为什么没能完成，别人做到了那些程度，</w:t>
      </w:r>
    </w:p>
    <w:p>
      <w:pPr>
        <w:pStyle w:val="BodyText"/>
      </w:pPr>
      <w:r>
        <w:rPr>
          <w:rFonts w:hint="eastAsia"/>
        </w:rPr>
        <w:t xml:space="preserve">我们怎么做的，不同在哪</w:t>
      </w:r>
    </w:p>
    <w:p>
      <w:pPr>
        <w:pStyle w:val="BodyText"/>
      </w:pPr>
      <w:r>
        <w:t xml:space="preserve">TBD</w:t>
      </w:r>
    </w:p>
    <w:bookmarkEnd w:id="21"/>
    <w:bookmarkStart w:id="25"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data-analysis"/>
    <w:p>
      <w:pPr>
        <w:pStyle w:val="Heading2"/>
      </w:pPr>
      <w:r>
        <w:t xml:space="preserve">Data analysis</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a</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In this model, K represents the environmental carrying capacity, which is the maximum cell density that the algal population can achieve under specific environmental conditions. N₀ denotes the initial cell density at time t = 0, and r represents the intrinsic growth rate, reflecting the maximum growth rate of the cells under ideal conditions. In aquatic environments, 2-methylisoborneol (MIB) primarily exists in two forms: dissolved MIB (dMIB) and cell-bound MIB (cMIB). The sum of these two forms constitutes the total MIB (tMIB). The dMIB is mainly released into the water environment through the lysis and death of odor-producing algal cells. To elucidate the dynamics of dMIB and tMIB during the cultivation of Pseudanabaena, a model was developed to describe the ratio of dMIB to tMIB (denoted as d2t) over time. Since dMIB is associated with cell lysis and death, the change in d2t was modeled using the variation in environmental carrying capacity when the cell density was low (less than 80% of K) (Equation 3). When the cell density approached K (greater than 80% of K), the remaining environmental carrying capacity was used to represent the change in d2t (Equation 4).</w:t>
      </w:r>
    </w:p>
    <w:p>
      <w:pPr>
        <w:pStyle w:val="BodyText"/>
      </w:pPr>
      <m:oMathPara>
        <m:oMathParaPr>
          <m:jc m:val="center"/>
        </m:oMathParaPr>
        <m:oMath>
          <m:r>
            <m:t>d</m:t>
          </m:r>
          <m:r>
            <m:t>2</m:t>
          </m:r>
          <m:r>
            <m:t>t</m:t>
          </m:r>
          <m:r>
            <m:rPr>
              <m:sty m:val="p"/>
            </m:rPr>
            <m:t>=</m:t>
          </m:r>
          <m:r>
            <m:t>1</m:t>
          </m:r>
          <m:r>
            <m:rPr>
              <m:sty m:val="p"/>
            </m:rPr>
            <m:t>−</m:t>
          </m:r>
          <m:r>
            <m:t>b</m:t>
          </m:r>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r>
            <m:t>b</m:t>
          </m:r>
          <m:r>
            <m:t>T</m:t>
          </m:r>
          <m:f>
            <m:fPr>
              <m:type m:val="bar"/>
            </m:fPr>
            <m:num>
              <m:r>
                <m:t>a</m:t>
              </m:r>
              <m:r>
                <m:t>r</m:t>
              </m:r>
              <m:sSup>
                <m:e>
                  <m:r>
                    <m:t>e</m:t>
                  </m:r>
                </m:e>
                <m:sup>
                  <m:r>
                    <m:t>r</m:t>
                  </m:r>
                  <m:r>
                    <m:t>t</m:t>
                  </m:r>
                </m:sup>
              </m:sSup>
            </m:num>
            <m:den>
              <m:sSup>
                <m:e>
                  <m:r>
                    <m:t>e</m:t>
                  </m:r>
                </m:e>
                <m:sup>
                  <m:r>
                    <m:t>2</m:t>
                  </m:r>
                  <m:r>
                    <m:t>r</m:t>
                  </m:r>
                  <m:r>
                    <m:t>t</m:t>
                  </m:r>
                </m:sup>
              </m:sSup>
              <m:r>
                <m:rPr>
                  <m:sty m:val="p"/>
                </m:rPr>
                <m:t>+</m:t>
              </m:r>
              <m:sSup>
                <m:e>
                  <m:r>
                    <m:t>2</m:t>
                  </m:r>
                  <m:r>
                    <m:t>a</m:t>
                  </m:r>
                  <m:r>
                    <m:t>e</m:t>
                  </m:r>
                </m:e>
                <m:sup>
                  <m:r>
                    <m:t>r</m:t>
                  </m:r>
                  <m:r>
                    <m:t>t</m:t>
                  </m:r>
                </m:sup>
              </m:sSup>
              <m:r>
                <m:rPr>
                  <m:sty m:val="p"/>
                </m:rPr>
                <m:t>+</m:t>
              </m:r>
              <m:sSup>
                <m:e>
                  <m:r>
                    <m:t>a</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r>
            <m:t>c</m:t>
          </m:r>
          <m:r>
            <m:rPr>
              <m:sty m:val="p"/>
            </m:rPr>
            <m:t>+</m:t>
          </m:r>
          <m:r>
            <m:t>d</m:t>
          </m:r>
          <m:r>
            <m:t> </m:t>
          </m:r>
          <m:r>
            <m:t> </m:t>
          </m:r>
          <m:d>
            <m:dPr>
              <m:begChr m:val="("/>
              <m:endChr m:val=")"/>
              <m:sepChr m:val=""/>
              <m:grow/>
            </m:dPr>
            <m:e>
              <m:r>
                <m:t>4</m:t>
              </m:r>
            </m:e>
          </m:d>
        </m:oMath>
      </m:oMathPara>
    </w:p>
    <w:p>
      <w:pPr>
        <w:pStyle w:val="FirstParagraph"/>
      </w:pPr>
      <w:r>
        <w:t xml:space="preserve">In these equations, b and c are coefficients of variation, T is the doubling time of the algal cells under cultivation conditions, and d is a correction factor that accounts for the accumulation and volatilization effects of MIB in the cultivation system.</w:t>
      </w:r>
    </w:p>
    <w:bookmarkEnd w:id="24"/>
    <w:bookmarkEnd w:id="25"/>
    <w:bookmarkStart w:id="52" w:name="results"/>
    <w:p>
      <w:pPr>
        <w:pStyle w:val="Heading1"/>
      </w:pPr>
      <w:r>
        <w:t xml:space="preserve">Results</w:t>
      </w:r>
    </w:p>
    <w:bookmarkStart w:id="29" w:name="X5a0a00a8abaadc569fa90a49eb4ad0e91a36019"/>
    <w:p>
      <w:pPr>
        <w:pStyle w:val="Heading2"/>
      </w:pPr>
      <w:r>
        <w:t xml:space="preserve">Spatiotemporal distribution characteristics of mib in Lake Taihu</w:t>
      </w:r>
    </w:p>
    <w:p>
      <w:pPr>
        <w:pStyle w:val="FirstParagraph"/>
      </w:pPr>
      <w:r>
        <w:drawing>
          <wp:inline>
            <wp:extent cx="3451860" cy="3287485"/>
            <wp:effectExtent b="0" l="0" r="0" t="0"/>
            <wp:docPr descr="" title="" id="27" name="Picture"/>
            <a:graphic>
              <a:graphicData uri="http://schemas.openxmlformats.org/drawingml/2006/picture">
                <pic:pic>
                  <pic:nvPicPr>
                    <pic:cNvPr descr="../figures/taihumibalgae.png" id="28" name="Picture"/>
                    <pic:cNvPicPr>
                      <a:picLocks noChangeArrowheads="1" noChangeAspect="1"/>
                    </pic:cNvPicPr>
                  </pic:nvPicPr>
                  <pic:blipFill>
                    <a:blip r:embed="rId26"/>
                    <a:stretch>
                      <a:fillRect/>
                    </a:stretch>
                  </pic:blipFill>
                  <pic:spPr bwMode="auto">
                    <a:xfrm>
                      <a:off x="0" y="0"/>
                      <a:ext cx="3451860" cy="3287485"/>
                    </a:xfrm>
                    <a:prstGeom prst="rect">
                      <a:avLst/>
                    </a:prstGeom>
                    <a:noFill/>
                    <a:ln w="9525">
                      <a:noFill/>
                      <a:headEnd/>
                      <a:tailEnd/>
                    </a:ln>
                  </pic:spPr>
                </pic:pic>
              </a:graphicData>
            </a:graphic>
          </wp:inline>
        </w:drawing>
      </w:r>
    </w:p>
    <w:bookmarkEnd w:id="29"/>
    <w:bookmarkStart w:id="38" w:name="Xea1a7d05fce77b3a2ae6a94ac0ee52b244ce33e"/>
    <w:p>
      <w:pPr>
        <w:pStyle w:val="Heading2"/>
      </w:pPr>
      <w:r>
        <w:t xml:space="preserve">Construction of model between the cultured algae growth and d2t change</w:t>
      </w:r>
    </w:p>
    <w:p>
      <w:pPr>
        <w:pStyle w:val="FirstParagraph"/>
      </w:pPr>
      <w:r>
        <w:drawing>
          <wp:inline>
            <wp:extent cx="3451860" cy="3451860"/>
            <wp:effectExtent b="0" l="0" r="0" t="0"/>
            <wp:docPr descr="" title="" id="31" name="Picture"/>
            <a:graphic>
              <a:graphicData uri="http://schemas.openxmlformats.org/drawingml/2006/picture">
                <pic:pic>
                  <pic:nvPicPr>
                    <pic:cNvPr descr="../figures/modelconcept.png" id="32" name="Picture"/>
                    <pic:cNvPicPr>
                      <a:picLocks noChangeArrowheads="1" noChangeAspect="1"/>
                    </pic:cNvPicPr>
                  </pic:nvPicPr>
                  <pic:blipFill>
                    <a:blip r:embed="rId30"/>
                    <a:stretch>
                      <a:fillRect/>
                    </a:stretch>
                  </pic:blipFill>
                  <pic:spPr bwMode="auto">
                    <a:xfrm>
                      <a:off x="0" y="0"/>
                      <a:ext cx="3451860" cy="3451860"/>
                    </a:xfrm>
                    <a:prstGeom prst="rect">
                      <a:avLst/>
                    </a:prstGeom>
                    <a:noFill/>
                    <a:ln w="9525">
                      <a:noFill/>
                      <a:headEnd/>
                      <a:tailEnd/>
                    </a:ln>
                  </pic:spPr>
                </pic:pic>
              </a:graphicData>
            </a:graphic>
          </wp:inline>
        </w:drawing>
      </w:r>
    </w:p>
    <w:tbl>
      <w:tblPr>
        <w:tblStyle w:val="Table"/>
        <w:tblW w:type="pct" w:w="5000"/>
        <w:tblLayout w:type="fixed"/>
        <w:tblLook w:firstRow="0" w:lastRow="0" w:firstColumn="0" w:lastColumn="0" w:noHBand="0" w:noVBand="0" w:val="0000"/>
      </w:tblPr>
      <w:tblGrid>
        <w:gridCol w:w="7920"/>
      </w:tblGrid>
      <w:tr>
        <w:tc>
          <w:tcPr/>
          <w:bookmarkStart w:id="37" w:name="fig-culturemodel"/>
          <w:p>
            <w:pPr>
              <w:pStyle w:val="Compact"/>
              <w:jc w:val="center"/>
            </w:pPr>
            <w:bookmarkStart w:id="36" w:name="fig-culturemodel"/>
            <w:r>
              <w:drawing>
                <wp:inline>
                  <wp:extent cx="4602480" cy="3068319"/>
                  <wp:effectExtent b="0" l="0" r="0" t="0"/>
                  <wp:docPr descr="" title="" id="34" name="Picture"/>
                  <a:graphic>
                    <a:graphicData uri="http://schemas.openxmlformats.org/drawingml/2006/picture">
                      <pic:pic>
                        <pic:nvPicPr>
                          <pic:cNvPr descr="../figures/culturemodel.png" id="35" name="Picture"/>
                          <pic:cNvPicPr>
                            <a:picLocks noChangeArrowheads="1" noChangeAspect="1"/>
                          </pic:cNvPicPr>
                        </pic:nvPicPr>
                        <pic:blipFill>
                          <a:blip r:embed="rId33"/>
                          <a:stretch>
                            <a:fillRect/>
                          </a:stretch>
                        </pic:blipFill>
                        <pic:spPr bwMode="auto">
                          <a:xfrm>
                            <a:off x="0" y="0"/>
                            <a:ext cx="4602480" cy="3068319"/>
                          </a:xfrm>
                          <a:prstGeom prst="rect">
                            <a:avLst/>
                          </a:prstGeom>
                          <a:noFill/>
                          <a:ln w="9525">
                            <a:noFill/>
                            <a:headEnd/>
                            <a:tailEnd/>
                          </a:ln>
                        </pic:spPr>
                      </pic:pic>
                    </a:graphicData>
                  </a:graphic>
                </wp:inline>
              </w:drawing>
            </w:r>
            <w:bookmarkEnd w:id="36"/>
          </w:p>
          <w:p>
            <w:pPr>
              <w:jc w:val="center"/>
            </w:pPr>
            <w:pPr>
              <w:jc w:val="start"/>
              <w:spacing w:before="200"/>
              <w:pStyle w:val="ImageCaption"/>
            </w:pPr>
            <w:r>
              <w:t xml:space="preserve">Fig. 1</w:t>
            </w:r>
          </w:p>
          <w:bookmarkEnd w:id="37"/>
        </w:tc>
      </w:tr>
    </w:tbl>
    <w:bookmarkEnd w:id="38"/>
    <w:bookmarkStart w:id="51" w:name="Xec90c861239b75333d639816ab1901e8dedcdcb"/>
    <w:p>
      <w:pPr>
        <w:pStyle w:val="Heading2"/>
      </w:pPr>
      <w:r>
        <w:t xml:space="preserve">Field application of d2t model for MIB warning</w:t>
      </w:r>
    </w:p>
    <w:p>
      <w:pPr>
        <w:pStyle w:val="FirstParagraph"/>
      </w:pPr>
      <w:r>
        <w:drawing>
          <wp:inline>
            <wp:extent cx="3451860" cy="2301240"/>
            <wp:effectExtent b="0" l="0" r="0" t="0"/>
            <wp:docPr descr="" title="" id="40" name="Picture"/>
            <a:graphic>
              <a:graphicData uri="http://schemas.openxmlformats.org/drawingml/2006/picture">
                <pic:pic>
                  <pic:nvPicPr>
                    <pic:cNvPr descr="../figures/period.png" id="41" name="Picture"/>
                    <pic:cNvPicPr>
                      <a:picLocks noChangeArrowheads="1" noChangeAspect="1"/>
                    </pic:cNvPicPr>
                  </pic:nvPicPr>
                  <pic:blipFill>
                    <a:blip r:embed="rId39"/>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2301240"/>
            <wp:effectExtent b="0" l="0" r="0" t="0"/>
            <wp:docPr descr="" title="" id="43" name="Picture"/>
            <a:graphic>
              <a:graphicData uri="http://schemas.openxmlformats.org/drawingml/2006/picture">
                <pic:pic>
                  <pic:nvPicPr>
                    <pic:cNvPr descr="../figures/risk.png" id="44" name="Picture"/>
                    <pic:cNvPicPr>
                      <a:picLocks noChangeArrowheads="1" noChangeAspect="1"/>
                    </pic:cNvPicPr>
                  </pic:nvPicPr>
                  <pic:blipFill>
                    <a:blip r:embed="rId42"/>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6" name="Picture"/>
            <a:graphic>
              <a:graphicData uri="http://schemas.openxmlformats.org/drawingml/2006/picture">
                <pic:pic>
                  <pic:nvPicPr>
                    <pic:cNvPr descr="../figures/algaerisk.png" id="47" name="Picture"/>
                    <pic:cNvPicPr>
                      <a:picLocks noChangeArrowheads="1" noChangeAspect="1"/>
                    </pic:cNvPicPr>
                  </pic:nvPicPr>
                  <pic:blipFill>
                    <a:blip r:embed="rId45"/>
                    <a:stretch>
                      <a:fillRect/>
                    </a:stretch>
                  </pic:blipFill>
                  <pic:spPr bwMode="auto">
                    <a:xfrm>
                      <a:off x="0" y="0"/>
                      <a:ext cx="3451860" cy="345186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9" name="Picture"/>
            <a:graphic>
              <a:graphicData uri="http://schemas.openxmlformats.org/drawingml/2006/picture">
                <pic:pic>
                  <pic:nvPicPr>
                    <pic:cNvPr descr="../figures/taihualgaerisk.png" id="50" name="Picture"/>
                    <pic:cNvPicPr>
                      <a:picLocks noChangeArrowheads="1" noChangeAspect="1"/>
                    </pic:cNvPicPr>
                  </pic:nvPicPr>
                  <pic:blipFill>
                    <a:blip r:embed="rId48"/>
                    <a:stretch>
                      <a:fillRect/>
                    </a:stretch>
                  </pic:blipFill>
                  <pic:spPr bwMode="auto">
                    <a:xfrm>
                      <a:off x="0" y="0"/>
                      <a:ext cx="3451860" cy="3451860"/>
                    </a:xfrm>
                    <a:prstGeom prst="rect">
                      <a:avLst/>
                    </a:prstGeom>
                    <a:noFill/>
                    <a:ln w="9525">
                      <a:noFill/>
                      <a:headEnd/>
                      <a:tailEnd/>
                    </a:ln>
                  </pic:spPr>
                </pic:pic>
              </a:graphicData>
            </a:graphic>
          </wp:inline>
        </w:drawing>
      </w:r>
    </w:p>
    <w:bookmarkEnd w:id="51"/>
    <w:bookmarkEnd w:id="52"/>
    <w:bookmarkStart w:id="55" w:name="discussion"/>
    <w:p>
      <w:pPr>
        <w:pStyle w:val="Heading1"/>
      </w:pPr>
      <w:r>
        <w:t xml:space="preserve">Discussion</w:t>
      </w:r>
    </w:p>
    <w:bookmarkStart w:id="53" w:name="X49c100ce2e38ebd6a3df52936f0c2c6c8afdf3a"/>
    <w:p>
      <w:pPr>
        <w:pStyle w:val="Heading2"/>
      </w:pPr>
      <w:r>
        <w:t xml:space="preserve">Biological interpretation of the d2t model</w:t>
      </w:r>
    </w:p>
    <w:p>
      <w:pPr>
        <w:pStyle w:val="FirstParagraph"/>
      </w:pPr>
      <w:r>
        <w:t xml:space="preserve">(I) When the cell density is low, the change in d2t is represented by the variation in environmental carrying capacity; (II)when the cell density exceeds 80% of K, the change is represented by the remaining environmental carrying capacity.</w:t>
      </w:r>
    </w:p>
    <w:bookmarkEnd w:id="53"/>
    <w:bookmarkStart w:id="54" w:name="X455eeb7fa68cc4d3a1ca02918bbcea6c0a6e2cb"/>
    <w:p>
      <w:pPr>
        <w:pStyle w:val="Heading2"/>
      </w:pPr>
      <w:r>
        <w:t xml:space="preserve">The difference of d2t model between different algae species</w:t>
      </w:r>
    </w:p>
    <w:p>
      <w:pPr>
        <w:pStyle w:val="FirstParagraph"/>
      </w:pPr>
      <w:r>
        <w:rPr>
          <w:rFonts w:hint="eastAsia"/>
        </w:rPr>
        <w:t xml:space="preserve">不同藻种d2t模型的区别，提出从10%K到达50%K的时间T0作为比较的值</w:t>
      </w:r>
    </w:p>
    <w:p>
      <w:pPr>
        <w:pStyle w:val="BodyText"/>
      </w:pPr>
      <w:r>
        <w:rPr>
          <w:rFonts w:hint="eastAsia"/>
        </w:rPr>
        <w:t xml:space="preserve">……拓展到全国样品</w:t>
      </w:r>
    </w:p>
    <w:bookmarkEnd w:id="54"/>
    <w:bookmarkEnd w:id="55"/>
    <w:bookmarkStart w:id="56" w:name="conclusion"/>
    <w:p>
      <w:pPr>
        <w:pStyle w:val="Heading1"/>
      </w:pPr>
      <w:r>
        <w:t xml:space="preserve">Conclusion</w:t>
      </w:r>
    </w:p>
    <w:p>
      <w:pPr>
        <w:pStyle w:val="FirstParagraph"/>
      </w:pPr>
      <w:r>
        <w:t xml:space="preserve">TBD</w:t>
      </w:r>
    </w:p>
    <w:bookmarkEnd w:id="56"/>
    <w:bookmarkStart w:id="57"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7"/>
    <w:bookmarkStart w:id="58"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8"/>
    <w:bookmarkStart w:id="59" w:name="references"/>
    <w:p>
      <w:pPr>
        <w:pStyle w:val="Heading1"/>
      </w:pPr>
      <w:r>
        <w:t xml:space="preserve">References</w:t>
      </w:r>
    </w:p>
    <w:bookmarkEnd w:id="5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5" Target="media/rId45.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39" Target="media/rId39.png" /><Relationship Type="http://schemas.openxmlformats.org/officeDocument/2006/relationships/image" Id="rId42" Target="media/rId42.png" /><Relationship Type="http://schemas.openxmlformats.org/officeDocument/2006/relationships/image" Id="rId48" Target="media/rId48.png" /><Relationship Type="http://schemas.openxmlformats.org/officeDocument/2006/relationships/image" Id="rId26" Target="media/rId26.png"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Ming Su1,2, and Min Yang1,2,✉</dc:creator>
  <dc:language>en</dc:language>
  <cp:keywords>KEYWORD1, KEYWORD2, KEYWORD3</cp:keywords>
  <dcterms:created xsi:type="dcterms:W3CDTF">2025-01-24T16:20:59Z</dcterms:created>
  <dcterms:modified xsi:type="dcterms:W3CDTF">2025-01-24T16:20:59Z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2025-01-25</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