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png" ContentType="image/png"/>
  <Override PartName="/word/media/rId34.png" ContentType="image/png"/>
  <Override PartName="/word/media/rId31.png" ContentType="image/png"/>
  <Override PartName="/word/media/rId40.png" ContentType="image/png"/>
  <Override PartName="/word/media/rId43.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2025-03-06</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w:t>
      </w:r>
      <w:r>
        <w:t xml:space="preserve"> </w:t>
      </w:r>
      <w:r>
        <w:t xml:space="preserve">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3" w:name="results"/>
    <w:p>
      <w:pPr>
        <w:pStyle w:val="Heading1"/>
      </w:pPr>
      <w:r>
        <w:t xml:space="preserve">Results</w:t>
      </w:r>
    </w:p>
    <w:bookmarkStart w:id="3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w:t>
      </w:r>
      <w:r>
        <w:t xml:space="preserve"> </w:t>
      </w:r>
      <w:r>
        <w:t xml:space="preserve">Throughout the sampling period, Pseudanabaena was the primary MIB-producing species, reaching its highest relative abundance (31.0%) in September. In contrast, Planktothricoides had a much lower relative abundance, accounting for only 1.4%.</w:t>
      </w:r>
    </w:p>
    <w:p>
      <w:pPr>
        <w:pStyle w:val="BodyText"/>
      </w:pPr>
      <w:r>
        <w:drawing>
          <wp:inline>
            <wp:extent cx="3451860" cy="3287485"/>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3451860" cy="3287485"/>
                    </a:xfrm>
                    <a:prstGeom prst="rect">
                      <a:avLst/>
                    </a:prstGeom>
                    <a:noFill/>
                    <a:ln w="9525">
                      <a:noFill/>
                      <a:headEnd/>
                      <a:tailEnd/>
                    </a:ln>
                  </pic:spPr>
                </pic:pic>
              </a:graphicData>
            </a:graphic>
          </wp:inline>
        </w:drawing>
      </w:r>
    </w:p>
    <w:bookmarkEnd w:id="30"/>
    <w:bookmarkStart w:id="39"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 TBD), while the parameter β showed the opposite trend (p-value = TBD). The distribution of the model parameters under different conditions is shown in Fig. 3C, demonstrating a good fitting performance.</w:t>
      </w:r>
    </w:p>
    <w:p>
      <w:pPr>
        <w:pStyle w:val="BodyText"/>
      </w:pPr>
      <w:r>
        <w:drawing>
          <wp:inline>
            <wp:extent cx="3451860" cy="3451860"/>
            <wp:effectExtent b="0" l="0" r="0" t="0"/>
            <wp:docPr descr="" title="" id="32" name="Picture"/>
            <a:graphic>
              <a:graphicData uri="http://schemas.openxmlformats.org/drawingml/2006/picture">
                <pic:pic>
                  <pic:nvPicPr>
                    <pic:cNvPr descr="../figures/modelconcept.png" id="33" name="Picture"/>
                    <pic:cNvPicPr>
                      <a:picLocks noChangeArrowheads="1" noChangeAspect="1"/>
                    </pic:cNvPicPr>
                  </pic:nvPicPr>
                  <pic:blipFill>
                    <a:blip r:embed="rId31"/>
                    <a:stretch>
                      <a:fillRect/>
                    </a:stretch>
                  </pic:blipFill>
                  <pic:spPr bwMode="auto">
                    <a:xfrm>
                      <a:off x="0" y="0"/>
                      <a:ext cx="3451860" cy="3451860"/>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8" w:name="fig-culturemodel"/>
          <w:p>
            <w:pPr>
              <w:pStyle w:val="Compact"/>
              <w:jc w:val="center"/>
            </w:pPr>
            <w:bookmarkStart w:id="37" w:name="fig-culturemodel"/>
            <w:r>
              <w:drawing>
                <wp:inline>
                  <wp:extent cx="4602480" cy="3068319"/>
                  <wp:effectExtent b="0" l="0" r="0" t="0"/>
                  <wp:docPr descr="" title="" id="35" name="Picture"/>
                  <a:graphic>
                    <a:graphicData uri="http://schemas.openxmlformats.org/drawingml/2006/picture">
                      <pic:pic>
                        <pic:nvPicPr>
                          <pic:cNvPr descr="../figures/culturemodel.png" id="36" name="Picture"/>
                          <pic:cNvPicPr>
                            <a:picLocks noChangeArrowheads="1" noChangeAspect="1"/>
                          </pic:cNvPicPr>
                        </pic:nvPicPr>
                        <pic:blipFill>
                          <a:blip r:embed="rId34"/>
                          <a:stretch>
                            <a:fillRect/>
                          </a:stretch>
                        </pic:blipFill>
                        <pic:spPr bwMode="auto">
                          <a:xfrm>
                            <a:off x="0" y="0"/>
                            <a:ext cx="4602480" cy="3068319"/>
                          </a:xfrm>
                          <a:prstGeom prst="rect">
                            <a:avLst/>
                          </a:prstGeom>
                          <a:noFill/>
                          <a:ln w="9525">
                            <a:noFill/>
                            <a:headEnd/>
                            <a:tailEnd/>
                          </a:ln>
                        </pic:spPr>
                      </pic:pic>
                    </a:graphicData>
                  </a:graphic>
                </wp:inline>
              </w:drawing>
            </w:r>
            <w:bookmarkEnd w:id="37"/>
          </w:p>
          <w:p>
            <w:pPr>
              <w:jc w:val="center"/>
            </w:pPr>
            <w:pPr>
              <w:jc w:val="start"/>
              <w:spacing w:before="200"/>
              <w:pStyle w:val="ImageCaption"/>
            </w:pPr>
            <w:r>
              <w:t xml:space="preserve">Fig. 1</w:t>
            </w:r>
          </w:p>
          <w:bookmarkEnd w:id="38"/>
        </w:tc>
      </w:tr>
    </w:tbl>
    <w:bookmarkEnd w:id="39"/>
    <w:bookmarkStart w:id="52"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period values. The growth of odor-producing cyanobacteria at different sampling points in Taihu Lake exhibited two distinct growth trends throughout the year. As temperatures increased, a significant growth phase occurred from May to November, followed by a smaller-scale growth period between December and April after the winter production. The two distinct cell density growth phases in different seasons led to two separate MIB concentration peaks in Taihu Lake throughout the year. Further analysis of the growth stages of odor-producing cyanobacteria at different cluster locations revealed that TBD…</w:t>
      </w:r>
    </w:p>
    <w:p>
      <w:pPr>
        <w:pStyle w:val="BodyText"/>
      </w:pPr>
      <w:r>
        <w:drawing>
          <wp:inline>
            <wp:extent cx="3451860" cy="2301240"/>
            <wp:effectExtent b="0" l="0" r="0" t="0"/>
            <wp:docPr descr="" title="" id="41" name="Picture"/>
            <a:graphic>
              <a:graphicData uri="http://schemas.openxmlformats.org/drawingml/2006/picture">
                <pic:pic>
                  <pic:nvPicPr>
                    <pic:cNvPr descr="../figures/period.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period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2301240"/>
            <wp:effectExtent b="0" l="0" r="0" t="0"/>
            <wp:docPr descr="" title="" id="44" name="Picture"/>
            <a:graphic>
              <a:graphicData uri="http://schemas.openxmlformats.org/drawingml/2006/picture">
                <pic:pic>
                  <pic:nvPicPr>
                    <pic:cNvPr descr="../figures/risk.png" id="45" name="Picture"/>
                    <pic:cNvPicPr>
                      <a:picLocks noChangeArrowheads="1" noChangeAspect="1"/>
                    </pic:cNvPicPr>
                  </pic:nvPicPr>
                  <pic:blipFill>
                    <a:blip r:embed="rId43"/>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50" name="Picture"/>
            <a:graphic>
              <a:graphicData uri="http://schemas.openxmlformats.org/drawingml/2006/picture">
                <pic:pic>
                  <pic:nvPicPr>
                    <pic:cNvPr descr="../figures/taihualgaerisk.png" id="51" name="Picture"/>
                    <pic:cNvPicPr>
                      <a:picLocks noChangeArrowheads="1" noChangeAspect="1"/>
                    </pic:cNvPicPr>
                  </pic:nvPicPr>
                  <pic:blipFill>
                    <a:blip r:embed="rId49"/>
                    <a:stretch>
                      <a:fillRect/>
                    </a:stretch>
                  </pic:blipFill>
                  <pic:spPr bwMode="auto">
                    <a:xfrm>
                      <a:off x="0" y="0"/>
                      <a:ext cx="3451860" cy="3451860"/>
                    </a:xfrm>
                    <a:prstGeom prst="rect">
                      <a:avLst/>
                    </a:prstGeom>
                    <a:noFill/>
                    <a:ln w="9525">
                      <a:noFill/>
                      <a:headEnd/>
                      <a:tailEnd/>
                    </a:ln>
                  </pic:spPr>
                </pic:pic>
              </a:graphicData>
            </a:graphic>
          </wp:inline>
        </w:drawing>
      </w:r>
    </w:p>
    <w:bookmarkEnd w:id="52"/>
    <w:bookmarkEnd w:id="53"/>
    <w:bookmarkStart w:id="56" w:name="discussion"/>
    <w:p>
      <w:pPr>
        <w:pStyle w:val="Heading1"/>
      </w:pPr>
      <w:r>
        <w:t xml:space="preserve">Discussion</w:t>
      </w:r>
    </w:p>
    <w:bookmarkStart w:id="54"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54"/>
    <w:bookmarkStart w:id="55"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55"/>
    <w:bookmarkEnd w:id="56"/>
    <w:bookmarkStart w:id="57" w:name="conclusion"/>
    <w:p>
      <w:pPr>
        <w:pStyle w:val="Heading1"/>
      </w:pPr>
      <w:r>
        <w:t xml:space="preserve">Conclusion</w:t>
      </w:r>
    </w:p>
    <w:p>
      <w:pPr>
        <w:pStyle w:val="FirstParagraph"/>
      </w:pPr>
      <w:r>
        <w:t xml:space="preserve">TBD</w:t>
      </w:r>
    </w:p>
    <w:bookmarkEnd w:id="57"/>
    <w:bookmarkStart w:id="58"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8"/>
    <w:bookmarkStart w:id="59"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9"/>
    <w:bookmarkStart w:id="60" w:name="references"/>
    <w:p>
      <w:pPr>
        <w:pStyle w:val="Heading1"/>
      </w:pPr>
      <w:r>
        <w:t xml:space="preserve">References</w:t>
      </w:r>
    </w:p>
    <w:bookmarkEnd w:id="6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6" Target="media/rId46.png" /><Relationship Type="http://schemas.openxmlformats.org/officeDocument/2006/relationships/image" Id="rId34" Target="media/rId34.png" /><Relationship Type="http://schemas.openxmlformats.org/officeDocument/2006/relationships/image" Id="rId31" Target="media/rId31.png" /><Relationship Type="http://schemas.openxmlformats.org/officeDocument/2006/relationships/image" Id="rId40" Target="media/rId40.png" /><Relationship Type="http://schemas.openxmlformats.org/officeDocument/2006/relationships/image" Id="rId43" Target="media/rId43.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2025-03-06T07:26:14Z</dcterms:created>
  <dcterms:modified xsi:type="dcterms:W3CDTF">2025-03-06T07:26:14Z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2025-03-06</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