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31.png" ContentType="image/png"/>
  <Override PartName="/word/media/rId28.png" ContentType="image/png"/>
  <Override PartName="/word/media/rId37.png" ContentType="image/png"/>
  <Override PartName="/word/media/rId40.png" ContentType="image/png"/>
  <Override PartName="/word/media/rId4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MANUSCRIPT TITLE</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2025-03-06</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rPr>
          <w:rFonts w:hint="eastAsia"/>
        </w:rPr>
        <w:t xml:space="preserve">为什么做这个东西，做这个东西的意义</w:t>
      </w:r>
    </w:p>
    <w:p>
      <w:pPr>
        <w:pStyle w:val="BodyText"/>
      </w:pPr>
      <w:r>
        <w:rPr>
          <w:rFonts w:hint="eastAsia"/>
        </w:rPr>
        <w:t xml:space="preserve">别人怎么做的，别人为什么没能完成，别人做到了那些程度，</w:t>
      </w:r>
    </w:p>
    <w:p>
      <w:pPr>
        <w:pStyle w:val="BodyText"/>
      </w:pPr>
      <w:r>
        <w:rPr>
          <w:rFonts w:hint="eastAsia"/>
        </w:rPr>
        <w:t xml:space="preserve">我们怎么做的，不同在哪</w:t>
      </w:r>
    </w:p>
    <w:p>
      <w:pPr>
        <w:pStyle w:val="BodyText"/>
      </w:pPr>
      <w:r>
        <w:t xml:space="preserve">TBD</w:t>
      </w:r>
    </w:p>
    <w:bookmarkEnd w:id="21"/>
    <w:bookmarkStart w:id="26"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model-development"/>
    <w:p>
      <w:pPr>
        <w:pStyle w:val="Heading2"/>
      </w:pPr>
      <w:r>
        <w:t xml:space="preserve">Model Development</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The parameter K represents the environmental carrying capacity, which denotes the maximum cell density that algae can reach under specific environmental conditions. N0 is the initial cell density at t =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 f (dMIB/tMIB)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 f was constructed. Since dMIB is associated with cell lysis and death, different approaches were used to describe the variation of f based on cell density. When the cell density was low (less than 80% of K), changes in the carrying capacity were used to express the variation in f (Equation 3). When the cell density approached K (greater than 80% of K), the remaining carrying capacity was used instead (Equation 4).</w:t>
      </w:r>
    </w:p>
    <w:p>
      <w:pPr>
        <w:pStyle w:val="BodyText"/>
      </w:pPr>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sSup>
                <m:e>
                  <m:r>
                    <m:t>2</m:t>
                  </m:r>
                  <m:r>
                    <m:t>θ</m:t>
                  </m:r>
                  <m:r>
                    <m:t>e</m:t>
                  </m:r>
                </m:e>
                <m:sup>
                  <m:r>
                    <m:t>r</m:t>
                  </m:r>
                  <m:r>
                    <m:t>t</m:t>
                  </m:r>
                </m:sup>
              </m:sSup>
              <m:r>
                <m:rPr>
                  <m:sty m:val="p"/>
                </m:rPr>
                <m:t>+</m:t>
              </m:r>
              <m:sSup>
                <m:e>
                  <m:r>
                    <m:t>θ</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r>
            <m:t> </m:t>
          </m:r>
          <m:d>
            <m:dPr>
              <m:begChr m:val="("/>
              <m:endChr m:val=")"/>
              <m:sepChr m:val=""/>
              <m:grow/>
            </m:dPr>
            <m:e>
              <m:r>
                <m:t>4</m:t>
              </m:r>
            </m:e>
          </m:d>
        </m:oMath>
      </m:oMathPara>
    </w:p>
    <w:p>
      <w:pPr>
        <w:pStyle w:val="FirstParagraph"/>
      </w:pPr>
      <w:r>
        <w:t xml:space="preserve">In this model, α1 and α2 are variation coefficients, T represents the cell doubling time under cultivation conditions, and β is a correction factor that accounts for the accumulation and volatilization effects of MIB in the cultivation system.</w:t>
      </w:r>
      <w:r>
        <w:t xml:space="preserve"> </w:t>
      </w:r>
      <w:r>
        <w:t xml:space="preserve">Logistic curve fitting was applied to the cell growth data under various environmental conditions using Equation (1), yielding the initial cell density (N0), environmental carrying capacity (K), and intrinsic growth rate (r). These parameters, along with f and t, were then incorporated into Equations (3) and (4), and linear regression was employed to estimate the model parameters α1, α2 and β along with their statistical significance. Furthermore, by adjusting the intrinsic growth rate r, this model enables the simulation of potential trends in cell growth and MIB production under different environmental conditions.</w:t>
      </w:r>
    </w:p>
    <w:bookmarkEnd w:id="24"/>
    <w:bookmarkStart w:id="25"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 dplyr package in R, regression analysis including linear and generalized linear models were performed using the stats package, generalized additive modeling was performed using the mgcv package quantile regression analysis was performed using the quantreg package; contour figures were created by the graphics package, other figures were prepared using the ggplot2 package.</w:t>
      </w:r>
    </w:p>
    <w:bookmarkEnd w:id="25"/>
    <w:bookmarkEnd w:id="26"/>
    <w:bookmarkStart w:id="50" w:name="results"/>
    <w:p>
      <w:pPr>
        <w:pStyle w:val="Heading1"/>
      </w:pPr>
      <w:r>
        <w:t xml:space="preserve">Results</w:t>
      </w:r>
    </w:p>
    <w:bookmarkStart w:id="2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(Fig. 1A).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five distinct clusters (Clust1–Clust5) based on concentration levels. These clusters also corresponded spatially to five distinct lake regions (Fig. S). The highest MIB concentrations during both outbreak periods were primarily located within Clust4 and Clust5.Furthermore, analysis of the variation in f at different clusters revealed a characteristic trend: during the decline phase of f, the lowest values were often followed by an MIB outbreak (Fig. 1C). Concurrent analysis of odor-producing cyanobacteria in water samples using epic-PCR identified Pseudanabaena and Planktothricoides as the dominant MIB-producing species during the study period. The spatial distribution of their cell densities is shown in Fig. 1D, with Microcystis identified as the dominant cyanobacterial genus in Taihu Lake.</w:t>
      </w:r>
      <w:r>
        <w:t xml:space="preserve"> </w:t>
      </w:r>
      <w:r>
        <w:t xml:space="preserve">Throughout the sampling period, Pseudanabaena was the primary MIB-producing species, reaching its highest relative abundance (31.0%) in September. In contrast, Planktothricoides had a much lower relative abundance, accounting for only 1.4%.</w:t>
      </w:r>
    </w:p>
    <w:bookmarkEnd w:id="27"/>
    <w:bookmarkStart w:id="36"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w:t>
      </w:r>
    </w:p>
    <w:p>
      <w:pPr>
        <w:pStyle w:val="BodyText"/>
      </w:pPr>
      <w:r>
        <w:t xml:space="preserve">To characterize this pattern, a logistic growth-based model was constructed to express the variations in the f. Logistic fitting of the growth of Pseudanabaena and Planktothricoides (Fig. 3A) showed good fit results. Based on the f variations during the growth period, the model parameters α1, α2 and β were derived. Fig. 3B compares the model parameters for both odor-producing cyanobacteria, revealing significant differences in the parameters α1 and β. The parameter α1 for Pseudanabaena was significantly greater than that for Planktothricoides (p-value = TBD), while the parameter β showed the opposite trend (p-value = TBD). The distribution of the model parameters under different conditions is shown in Fig. 3C, demonstrating a good fitting performance.</w:t>
      </w:r>
    </w:p>
    <w:p>
      <w:pPr>
        <w:pStyle w:val="SourceCode"/>
      </w:pPr>
      <w:r>
        <w:rPr>
          <w:rStyle w:val="VerbatimChar"/>
        </w:rPr>
        <w:t xml:space="preserve">#&gt; Converting page 1 to ../figures/modelconceptnew.png... done!</w:t>
      </w:r>
      <w:r>
        <w:br/>
      </w:r>
      <w:r>
        <w:rPr>
          <w:rStyle w:val="VerbatimChar"/>
        </w:rPr>
        <w:t xml:space="preserve">#&gt; Converting page 2 to ../figures/modelconceptnew.png... done!</w:t>
      </w:r>
    </w:p>
    <w:p>
      <w:pPr>
        <w:pStyle w:val="FirstParagraph"/>
      </w:pPr>
      <w:r>
        <w:drawing>
          <wp:inline>
            <wp:extent cx="3451860" cy="2588895"/>
            <wp:effectExtent b="0" l="0" r="0" t="0"/>
            <wp:docPr descr="" title="" id="29" name="Picture"/>
            <a:graphic>
              <a:graphicData uri="http://schemas.openxmlformats.org/drawingml/2006/picture">
                <pic:pic>
                  <pic:nvPicPr>
                    <pic:cNvPr descr="../figures/modelconceptnew.png" id="30" name="Picture"/>
                    <pic:cNvPicPr>
                      <a:picLocks noChangeArrowheads="1" noChangeAspect="1"/>
                    </pic:cNvPicPr>
                  </pic:nvPicPr>
                  <pic:blipFill>
                    <a:blip r:embed="rId28"/>
                    <a:stretch>
                      <a:fillRect/>
                    </a:stretch>
                  </pic:blipFill>
                  <pic:spPr bwMode="auto">
                    <a:xfrm>
                      <a:off x="0" y="0"/>
                      <a:ext cx="3451860" cy="2588895"/>
                    </a:xfrm>
                    <a:prstGeom prst="rect">
                      <a:avLst/>
                    </a:prstGeom>
                    <a:noFill/>
                    <a:ln w="9525">
                      <a:noFill/>
                      <a:headEnd/>
                      <a:tailEnd/>
                    </a:ln>
                  </pic:spPr>
                </pic:pic>
              </a:graphicData>
            </a:graphic>
          </wp:inline>
        </w:drawing>
      </w:r>
    </w:p>
    <w:tbl>
      <w:tblPr>
        <w:tblStyle w:val="Table"/>
        <w:tblW w:type="pct" w:w="5000"/>
        <w:tblLayout w:type="fixed"/>
        <w:tblLook w:firstRow="0" w:lastRow="0" w:firstColumn="0" w:lastColumn="0" w:noHBand="0" w:noVBand="0" w:val="0000"/>
      </w:tblPr>
      <w:tblGrid>
        <w:gridCol w:w="7920"/>
      </w:tblGrid>
      <w:tr>
        <w:tc>
          <w:tcPr/>
          <w:bookmarkStart w:id="35" w:name="fig-culturemodel"/>
          <w:p>
            <w:pPr>
              <w:pStyle w:val="Compact"/>
              <w:jc w:val="center"/>
            </w:pPr>
            <w:bookmarkStart w:id="34" w:name="fig-culturemodel"/>
            <w:r>
              <w:drawing>
                <wp:inline>
                  <wp:extent cx="4602480" cy="3068319"/>
                  <wp:effectExtent b="0" l="0" r="0" t="0"/>
                  <wp:docPr descr="" title="" id="32" name="Picture"/>
                  <a:graphic>
                    <a:graphicData uri="http://schemas.openxmlformats.org/drawingml/2006/picture">
                      <pic:pic>
                        <pic:nvPicPr>
                          <pic:cNvPr descr="../figures/culturemodel.png" id="33" name="Picture"/>
                          <pic:cNvPicPr>
                            <a:picLocks noChangeArrowheads="1" noChangeAspect="1"/>
                          </pic:cNvPicPr>
                        </pic:nvPicPr>
                        <pic:blipFill>
                          <a:blip r:embed="rId31"/>
                          <a:stretch>
                            <a:fillRect/>
                          </a:stretch>
                        </pic:blipFill>
                        <pic:spPr bwMode="auto">
                          <a:xfrm>
                            <a:off x="0" y="0"/>
                            <a:ext cx="4602480" cy="3068319"/>
                          </a:xfrm>
                          <a:prstGeom prst="rect">
                            <a:avLst/>
                          </a:prstGeom>
                          <a:noFill/>
                          <a:ln w="9525">
                            <a:noFill/>
                            <a:headEnd/>
                            <a:tailEnd/>
                          </a:ln>
                        </pic:spPr>
                      </pic:pic>
                    </a:graphicData>
                  </a:graphic>
                </wp:inline>
              </w:drawing>
            </w:r>
            <w:bookmarkEnd w:id="34"/>
          </w:p>
          <w:p>
            <w:pPr>
              <w:jc w:val="center"/>
            </w:pPr>
            <w:pPr>
              <w:jc w:val="start"/>
              <w:spacing w:before="200"/>
              <w:pStyle w:val="ImageCaption"/>
            </w:pPr>
            <w:r>
              <w:t xml:space="preserve">Fig. 1</w:t>
            </w:r>
          </w:p>
          <w:bookmarkEnd w:id="35"/>
        </w:tc>
      </w:tr>
    </w:tbl>
    <w:bookmarkEnd w:id="36"/>
    <w:bookmarkStart w:id="49"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period values. The growth of odor-producing cyanobacteria at different sampling points in Taihu Lake exhibited two distinct growth trends throughout the year. As temperatures increased, a significant growth phase occurred from May to November, followed by a smaller-scale growth period between December and April after the winter production. The two distinct cell density growth phases in different seasons led to two separate MIB concentration peaks in Taihu Lake throughout the year. Further analysis of the growth stages of odor-producing cyanobacteria at different cluster locations revealed that TBD…</w:t>
      </w:r>
    </w:p>
    <w:p>
      <w:pPr>
        <w:pStyle w:val="BodyText"/>
      </w:pPr>
      <w:r>
        <w:drawing>
          <wp:inline>
            <wp:extent cx="3451860" cy="2301240"/>
            <wp:effectExtent b="0" l="0" r="0" t="0"/>
            <wp:docPr descr="" title="" id="38" name="Picture"/>
            <a:graphic>
              <a:graphicData uri="http://schemas.openxmlformats.org/drawingml/2006/picture">
                <pic:pic>
                  <pic:nvPicPr>
                    <pic:cNvPr descr="../figures/period.png" id="39" name="Picture"/>
                    <pic:cNvPicPr>
                      <a:picLocks noChangeArrowheads="1" noChangeAspect="1"/>
                    </pic:cNvPicPr>
                  </pic:nvPicPr>
                  <pic:blipFill>
                    <a:blip r:embed="rId37"/>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 Fig. 5.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p>
      <w:pPr>
        <w:pStyle w:val="BodyText"/>
      </w:pPr>
      <w:r>
        <w:t xml:space="preserve">Further analysis of the relationship between the period and tMIB revealed the distribution of odor risk throughout the year in Taihu Lake. The probability of MIB concentrations exceeding 10 ng/L was highest in early spring and summer, with lower probabilities of exceeding the threshold in other seasons. The northern (Meiliang Bay) and southeastern (East Taihu Lake) regions exhibited a higher risk of MIB concentrations exceeding the threshold compared to other areas.</w:t>
      </w:r>
    </w:p>
    <w:p>
      <w:pPr>
        <w:pStyle w:val="BodyText"/>
      </w:pPr>
      <w:r>
        <w:drawing>
          <wp:inline>
            <wp:extent cx="3451860" cy="2301240"/>
            <wp:effectExtent b="0" l="0" r="0" t="0"/>
            <wp:docPr descr="" title="" id="41" name="Picture"/>
            <a:graphic>
              <a:graphicData uri="http://schemas.openxmlformats.org/drawingml/2006/picture">
                <pic:pic>
                  <pic:nvPicPr>
                    <pic:cNvPr descr="../figures/risk.png" id="42" name="Picture"/>
                    <pic:cNvPicPr>
                      <a:picLocks noChangeArrowheads="1" noChangeAspect="1"/>
                    </pic:cNvPicPr>
                  </pic:nvPicPr>
                  <pic:blipFill>
                    <a:blip r:embed="rId40"/>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4" name="Picture"/>
            <a:graphic>
              <a:graphicData uri="http://schemas.openxmlformats.org/drawingml/2006/picture">
                <pic:pic>
                  <pic:nvPicPr>
                    <pic:cNvPr descr="../figures/algaerisk.png" id="45" name="Picture"/>
                    <pic:cNvPicPr>
                      <a:picLocks noChangeArrowheads="1" noChangeAspect="1"/>
                    </pic:cNvPicPr>
                  </pic:nvPicPr>
                  <pic:blipFill>
                    <a:blip r:embed="rId43"/>
                    <a:stretch>
                      <a:fillRect/>
                    </a:stretch>
                  </pic:blipFill>
                  <pic:spPr bwMode="auto">
                    <a:xfrm>
                      <a:off x="0" y="0"/>
                      <a:ext cx="3451860" cy="345186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7" name="Picture"/>
            <a:graphic>
              <a:graphicData uri="http://schemas.openxmlformats.org/drawingml/2006/picture">
                <pic:pic>
                  <pic:nvPicPr>
                    <pic:cNvPr descr="../figures/taihualgaerisk.png" id="48" name="Picture"/>
                    <pic:cNvPicPr>
                      <a:picLocks noChangeArrowheads="1" noChangeAspect="1"/>
                    </pic:cNvPicPr>
                  </pic:nvPicPr>
                  <pic:blipFill>
                    <a:blip r:embed="rId46"/>
                    <a:stretch>
                      <a:fillRect/>
                    </a:stretch>
                  </pic:blipFill>
                  <pic:spPr bwMode="auto">
                    <a:xfrm>
                      <a:off x="0" y="0"/>
                      <a:ext cx="3451860" cy="3451860"/>
                    </a:xfrm>
                    <a:prstGeom prst="rect">
                      <a:avLst/>
                    </a:prstGeom>
                    <a:noFill/>
                    <a:ln w="9525">
                      <a:noFill/>
                      <a:headEnd/>
                      <a:tailEnd/>
                    </a:ln>
                  </pic:spPr>
                </pic:pic>
              </a:graphicData>
            </a:graphic>
          </wp:inline>
        </w:drawing>
      </w:r>
    </w:p>
    <w:bookmarkEnd w:id="49"/>
    <w:bookmarkEnd w:id="50"/>
    <w:bookmarkStart w:id="53" w:name="discussion"/>
    <w:p>
      <w:pPr>
        <w:pStyle w:val="Heading1"/>
      </w:pPr>
      <w:r>
        <w:t xml:space="preserve">Discussion</w:t>
      </w:r>
    </w:p>
    <w:bookmarkStart w:id="51" w:name="X49c100ce2e38ebd6a3df52936f0c2c6c8afdf3a"/>
    <w:p>
      <w:pPr>
        <w:pStyle w:val="Heading2"/>
      </w:pPr>
      <w:r>
        <w:t xml:space="preserve">Biological interpretation of the d2t model</w:t>
      </w:r>
    </w:p>
    <w:p>
      <w:pPr>
        <w:pStyle w:val="FirstParagraph"/>
      </w:pPr>
      <w:r>
        <w:t xml:space="preserve">(I) When the cell density is low, the change in d2t is represented by the variation in environmental carrying capacity; (II)when the cell density exceeds 80% of K, the change is represented by the remaining environmental carrying capacity.</w:t>
      </w:r>
    </w:p>
    <w:bookmarkEnd w:id="51"/>
    <w:bookmarkStart w:id="52" w:name="X455eeb7fa68cc4d3a1ca02918bbcea6c0a6e2cb"/>
    <w:p>
      <w:pPr>
        <w:pStyle w:val="Heading2"/>
      </w:pPr>
      <w:r>
        <w:t xml:space="preserve">The difference of d2t model between different algae species</w:t>
      </w:r>
    </w:p>
    <w:p>
      <w:pPr>
        <w:pStyle w:val="FirstParagraph"/>
      </w:pPr>
      <w:r>
        <w:rPr>
          <w:rFonts w:hint="eastAsia"/>
        </w:rPr>
        <w:t xml:space="preserve">不同藻种d2t模型的区别，提出从10%K到达50%K的时间T0作为比较的值</w:t>
      </w:r>
    </w:p>
    <w:p>
      <w:pPr>
        <w:pStyle w:val="BodyText"/>
      </w:pPr>
      <w:r>
        <w:rPr>
          <w:rFonts w:hint="eastAsia"/>
        </w:rPr>
        <w:t xml:space="preserve">……拓展到全国样品</w:t>
      </w:r>
    </w:p>
    <w:bookmarkEnd w:id="52"/>
    <w:bookmarkEnd w:id="53"/>
    <w:bookmarkStart w:id="54" w:name="conclusion"/>
    <w:p>
      <w:pPr>
        <w:pStyle w:val="Heading1"/>
      </w:pPr>
      <w:r>
        <w:t xml:space="preserve">Conclusion</w:t>
      </w:r>
    </w:p>
    <w:p>
      <w:pPr>
        <w:pStyle w:val="FirstParagraph"/>
      </w:pPr>
      <w:r>
        <w:t xml:space="preserve">TBD</w:t>
      </w:r>
    </w:p>
    <w:bookmarkEnd w:id="54"/>
    <w:bookmarkStart w:id="55"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5"/>
    <w:bookmarkStart w:id="56"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6"/>
    <w:bookmarkStart w:id="57" w:name="references"/>
    <w:p>
      <w:pPr>
        <w:pStyle w:val="Heading1"/>
      </w:pPr>
      <w:r>
        <w:t xml:space="preserve">References</w:t>
      </w:r>
    </w:p>
    <w:bookmarkEnd w:id="57"/>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31" Target="media/rId31.png" /><Relationship Type="http://schemas.openxmlformats.org/officeDocument/2006/relationships/image" Id="rId28" Target="media/rId28.png" /><Relationship Type="http://schemas.openxmlformats.org/officeDocument/2006/relationships/image" Id="rId37" Target="media/rId37.png" /><Relationship Type="http://schemas.openxmlformats.org/officeDocument/2006/relationships/image" Id="rId40" Target="media/rId40.png" /><Relationship Type="http://schemas.openxmlformats.org/officeDocument/2006/relationships/image" Id="rId46" Target="media/rId46.png"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Ming Su1,2, and Min Yang1,2,✉</dc:creator>
  <dc:language>en</dc:language>
  <cp:keywords>KEYWORD1, KEYWORD2, KEYWORD3</cp:keywords>
  <dcterms:created xsi:type="dcterms:W3CDTF">2025-03-06T07:54:38Z</dcterms:created>
  <dcterms:modified xsi:type="dcterms:W3CDTF">2025-03-06T07:54:38Z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2025-03-06</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