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1.png" ContentType="image/png"/>
  <Override PartName="/word/media/rId55.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2025-04-20</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w:t>
      </w:r>
      <w:r>
        <w:t xml:space="preserve"> </w:t>
      </w:r>
      <m:oMath>
        <m:r>
          <m:t>P</m:t>
        </m:r>
        <m:r>
          <m:t>s</m:t>
        </m:r>
        <m:r>
          <m:t>e</m:t>
        </m:r>
        <m:r>
          <m:t>u</m:t>
        </m:r>
        <m:r>
          <m:t>d</m:t>
        </m:r>
        <m:r>
          <m:t>a</m:t>
        </m:r>
        <m:r>
          <m:t>n</m:t>
        </m:r>
        <m:r>
          <m:t>a</m:t>
        </m:r>
        <m:r>
          <m:t>b</m:t>
        </m:r>
        <m:r>
          <m:t>a</m:t>
        </m:r>
        <m:r>
          <m:t>e</m:t>
        </m:r>
        <m:r>
          <m:t>n</m:t>
        </m:r>
        <m:r>
          <m:t>a</m:t>
        </m:r>
      </m:oMath>
      <w:r>
        <w:t xml:space="preserve"> </w:t>
      </w:r>
      <w:r>
        <w:t xml:space="preserve">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1">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r>
          <m:t>α</m:t>
        </m:r>
        <m:r>
          <m:t>1</m:t>
        </m:r>
      </m:oMath>
      <w:r>
        <w:t xml:space="preserve">,</w:t>
      </w:r>
      <w:r>
        <w:t xml:space="preserve"> </w:t>
      </w:r>
      <m:oMath>
        <m:r>
          <m:t>α</m:t>
        </m:r>
        <m:r>
          <m:t>2</m:t>
        </m:r>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 St values with observed tMIB concentrations from field monitoring, a frequency distribution histogram of St versus tMIB is generated (Fig. S`!!TODO KEY ERROR: sfg-freqdistributionWAS NOT FOUND!).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endChr m:val=")"/>
              <m:sep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endChr m:val=")"/>
            <m:sep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0"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as the dominant MIB-producing species during the study period. During the sampling period,</w:t>
      </w:r>
      <w:r>
        <w:t xml:space="preserve"> </w:t>
      </w:r>
      <m:oMath>
        <m:r>
          <m:t>M</m:t>
        </m:r>
        <m:r>
          <m:t>i</m:t>
        </m:r>
        <m:r>
          <m:t>c</m:t>
        </m:r>
        <m:r>
          <m:t>r</m:t>
        </m:r>
        <m:r>
          <m:t>o</m:t>
        </m:r>
        <m:r>
          <m:t>c</m:t>
        </m:r>
        <m:r>
          <m:t>y</m:t>
        </m:r>
        <m:r>
          <m:t>s</m:t>
        </m:r>
        <m:r>
          <m:t>t</m:t>
        </m:r>
        <m:r>
          <m:t>i</m:t>
        </m:r>
        <m:r>
          <m:t>s</m:t>
        </m:r>
      </m:oMath>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m:oMath>
        <m:r>
          <m:t>P</m:t>
        </m:r>
        <m:r>
          <m:t>s</m:t>
        </m:r>
        <m:r>
          <m:t>e</m:t>
        </m:r>
        <m:r>
          <m:t>u</m:t>
        </m:r>
        <m:r>
          <m:t>d</m:t>
        </m:r>
        <m:r>
          <m:t>a</m:t>
        </m:r>
        <m:r>
          <m:t>n</m:t>
        </m:r>
        <m:r>
          <m:t>a</m:t>
        </m:r>
        <m:r>
          <m:t>b</m:t>
        </m:r>
        <m:r>
          <m:t>a</m:t>
        </m:r>
        <m:r>
          <m:t>e</m:t>
        </m:r>
        <m:r>
          <m:t>n</m:t>
        </m:r>
        <m:r>
          <m:t>a</m:t>
        </m:r>
      </m:oMath>
      <w:r>
        <w:t xml:space="preserve">, as the primary MIB-producing species reached its highest relative abundance (31.0%). In contrast,</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m:oMath>
        <m:r>
          <m:t>P</m:t>
        </m:r>
        <m:r>
          <m:t>s</m:t>
        </m:r>
        <m:r>
          <m:t>e</m:t>
        </m:r>
        <m:r>
          <m:t>u</m:t>
        </m:r>
        <m:r>
          <m:t>d</m:t>
        </m:r>
        <m:r>
          <m:t>a</m:t>
        </m:r>
        <m:r>
          <m:t>n</m:t>
        </m:r>
        <m:r>
          <m:t>a</m:t>
        </m:r>
        <m:r>
          <m:t>b</m:t>
        </m:r>
        <m:r>
          <m:t>a</m:t>
        </m:r>
        <m:r>
          <m:t>e</m:t>
        </m:r>
        <m:r>
          <m:t>n</m:t>
        </m:r>
        <m:r>
          <m:t>a</m:t>
        </m:r>
      </m:oMath>
      <w:r>
        <w:t xml:space="preserve"> </w:t>
      </w:r>
      <w:r>
        <w:t xml:space="preserve">was significantly greater than that for</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41"/>
        </w:tc>
      </w:tr>
    </w:tbl>
    <w:bookmarkEnd w:id="42"/>
    <w:bookmarkStart w:id="5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p>
      <w:pPr>
        <w:pStyle w:val="BodyText"/>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4" w:name="fig-risk"/>
          <w:p>
            <w:pPr>
              <w:pStyle w:val="Compact"/>
              <w:jc w:val="center"/>
            </w:pPr>
            <w:r>
              <w:drawing>
                <wp:inline>
                  <wp:extent cx="5753100" cy="2632493"/>
                  <wp:effectExtent b="0" l="0" r="0" t="0"/>
                  <wp:docPr descr="" title="" id="52" name="Picture"/>
                  <a:graphic>
                    <a:graphicData uri="http://schemas.openxmlformats.org/drawingml/2006/picture">
                      <pic:pic>
                        <pic:nvPicPr>
                          <pic:cNvPr descr="../figures/risk1_revised.png" id="53" name="Picture"/>
                          <pic:cNvPicPr>
                            <a:picLocks noChangeArrowheads="1" noChangeAspect="1"/>
                          </pic:cNvPicPr>
                        </pic:nvPicPr>
                        <pic:blipFill>
                          <a:blip r:embed="rId51"/>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4"/>
        </w:tc>
      </w:tr>
    </w:tbl>
    <w:p>
      <w:pPr>
        <w:pStyle w:val="BodyText"/>
      </w:pPr>
      <w:r>
        <w:t xml:space="preserve">According to various studies,</w:t>
      </w:r>
      <w:r>
        <w:t xml:space="preserve"> </w:t>
      </w:r>
      <m:oMath>
        <m:r>
          <m:t>P</m:t>
        </m:r>
        <m:r>
          <m:t>s</m:t>
        </m:r>
        <m:r>
          <m:t>e</m:t>
        </m:r>
        <m:r>
          <m:t>u</m:t>
        </m:r>
        <m:r>
          <m:t>d</m:t>
        </m:r>
        <m:r>
          <m:t>a</m:t>
        </m:r>
        <m:r>
          <m:t>n</m:t>
        </m:r>
        <m:r>
          <m:t>a</m:t>
        </m:r>
        <m:r>
          <m:t>b</m:t>
        </m:r>
        <m:r>
          <m:t>a</m:t>
        </m:r>
        <m:r>
          <m:t>e</m:t>
        </m:r>
        <m:r>
          <m:t>n</m:t>
        </m:r>
        <m:r>
          <m:t>a</m:t>
        </m:r>
      </m:oMath>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8" w:name="fig-lighttemp"/>
          <w:p>
            <w:pPr>
              <w:pStyle w:val="Compact"/>
              <w:jc w:val="center"/>
            </w:pPr>
            <w:r>
              <w:drawing>
                <wp:inline>
                  <wp:extent cx="4602480" cy="3067670"/>
                  <wp:effectExtent b="0" l="0" r="0" t="0"/>
                  <wp:docPr descr="" title="" id="56" name="Picture"/>
                  <a:graphic>
                    <a:graphicData uri="http://schemas.openxmlformats.org/drawingml/2006/picture">
                      <pic:pic>
                        <pic:nvPicPr>
                          <pic:cNvPr descr="../figures/taihualgaerisk_revised.png" id="57" name="Picture"/>
                          <pic:cNvPicPr>
                            <a:picLocks noChangeArrowheads="1" noChangeAspect="1"/>
                          </pic:cNvPicPr>
                        </pic:nvPicPr>
                        <pic:blipFill>
                          <a:blip r:embed="rId55"/>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8"/>
        </w:tc>
      </w:tr>
    </w:tbl>
    <w:bookmarkEnd w:id="59"/>
    <w:bookmarkEnd w:id="60"/>
    <w:bookmarkStart w:id="61" w:name="discussion"/>
    <w:p>
      <w:pPr>
        <w:pStyle w:val="Heading1"/>
      </w:pPr>
      <w:r>
        <w:t xml:space="preserve">Discussion</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(dMIB/tMIB) as an indicator to represent the distribution pattern of MIB. Our findings show that f 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 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(dMIB)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dMIB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p>
      <w:pPr>
        <w:pStyle w:val="BodyText"/>
      </w:pPr>
      <w:r>
        <w:t xml:space="preserve">At the cellular level, the spatiotemporal heterogeneity of MIB in Lake Taihu is primarily influenced by the cell density and growth stage distribution of odor-producing cyanobacteria.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Notably, the May MIB outbreaks were predominantly located in the southeastern region</w:t>
      </w:r>
      <w:r>
        <w:t xml:space="preserve"> </w:t>
      </w:r>
      <w:r>
        <w:t xml:space="preserve">(Li et al., 2022; Shi et al., 2023)</w:t>
      </w:r>
      <w:r>
        <w:t xml:space="preserve">. Temperature and light availability are the primary environmental drivers of cyanobacterial growth. During the summer, both factors typically reach optimal levels for the growth of</w:t>
      </w:r>
      <w:r>
        <w:t xml:space="preserve"> </w:t>
      </w:r>
      <m:oMath>
        <m:r>
          <m:t>P</m:t>
        </m:r>
        <m:r>
          <m:t>s</m:t>
        </m:r>
        <m:r>
          <m:t>e</m:t>
        </m:r>
        <m:r>
          <m:t>u</m:t>
        </m:r>
        <m:r>
          <m:t>d</m:t>
        </m:r>
        <m:r>
          <m:t>a</m:t>
        </m:r>
        <m:r>
          <m:t>n</m:t>
        </m:r>
        <m:r>
          <m:t>a</m:t>
        </m:r>
        <m:r>
          <m:t>b</m:t>
        </m:r>
        <m:r>
          <m:t>a</m:t>
        </m:r>
        <m:r>
          <m:t>e</m:t>
        </m:r>
        <m:r>
          <m:t>n</m:t>
        </m:r>
        <m:r>
          <m:t>a</m:t>
        </m:r>
      </m:oMath>
      <w:r>
        <w:t xml:space="preserve">, a key MIB-producing filamentous cyanobacterium</w:t>
      </w:r>
      <w:r>
        <w:t xml:space="preserve"> </w:t>
      </w:r>
      <w:r>
        <w:t xml:space="preserve">(Qi et al., 2020; Rong et al., 2018; Shi et al., 2023; Su et al., 2022)</w:t>
      </w:r>
      <w:r>
        <w:t xml:space="preserve">. In April and May, when surface water temperature exceeds 20°C, MIB production and cyanobacterial growth may be additionally influenced by anthropogenic activities such as aquaculture and enclosure culture</w:t>
      </w:r>
      <w:r>
        <w:t xml:space="preserve"> </w:t>
      </w:r>
      <w:r>
        <w:t xml:space="preserve">(Nan et al., 2021; Wang et al., 2019; Yu et al., 2019)</w:t>
      </w:r>
      <w:r>
        <w:t xml:space="preserve">. Between May and July,</w:t>
      </w:r>
      <w:r>
        <w:t xml:space="preserve"> </w:t>
      </w:r>
      <m:oMath>
        <m:r>
          <m:t>M</m:t>
        </m:r>
        <m:r>
          <m:t>i</m:t>
        </m:r>
        <m:r>
          <m:t>c</m:t>
        </m:r>
        <m:r>
          <m:t>r</m:t>
        </m:r>
        <m:r>
          <m:t>o</m:t>
        </m:r>
        <m:r>
          <m:t>c</m:t>
        </m:r>
        <m:r>
          <m:t>y</m:t>
        </m:r>
        <m:r>
          <m:t>s</m:t>
        </m:r>
        <m:r>
          <m:t>t</m:t>
        </m:r>
        <m:r>
          <m:t>i</m:t>
        </m:r>
        <m:r>
          <m:t>s</m:t>
        </m:r>
      </m:oMath>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m:oMath>
        <m:r>
          <m:t>M</m:t>
        </m:r>
        <m:r>
          <m:t>i</m:t>
        </m:r>
        <m:r>
          <m:t>c</m:t>
        </m:r>
        <m:r>
          <m:t>r</m:t>
        </m:r>
        <m:r>
          <m:t>o</m:t>
        </m:r>
        <m:r>
          <m:t>c</m:t>
        </m:r>
        <m:r>
          <m:t>y</m:t>
        </m:r>
        <m:r>
          <m:t>s</m:t>
        </m:r>
        <m:r>
          <m:t>t</m:t>
        </m:r>
        <m:r>
          <m:t>i</m:t>
        </m:r>
        <m:r>
          <m:t>s</m:t>
        </m:r>
      </m:oMath>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(Li et al., 2022)</w:t>
      </w:r>
      <w:r>
        <w:t xml:space="preserve">. 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L⁻¹ 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m:oMath>
        <m:r>
          <m:t>P</m:t>
        </m:r>
        <m:r>
          <m:t>s</m:t>
        </m:r>
        <m:r>
          <m:t>e</m:t>
        </m:r>
        <m:r>
          <m:t>u</m:t>
        </m:r>
        <m:r>
          <m:t>d</m:t>
        </m:r>
        <m:r>
          <m:t>a</m:t>
        </m:r>
        <m:r>
          <m:t>n</m:t>
        </m:r>
        <m:r>
          <m:t>a</m:t>
        </m:r>
        <m:r>
          <m:t>b</m:t>
        </m:r>
        <m:r>
          <m:t>a</m:t>
        </m:r>
        <m:r>
          <m:t>e</m:t>
        </m:r>
        <m:r>
          <m:t>n</m:t>
        </m:r>
        <m:r>
          <m:t>a</m:t>
        </m:r>
      </m:oMath>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S`!!TODO KEY ERROR: sfg-t0algaeWAS NOT FOUND!), further contributing to their differential contributions to odor events in aquatic systems.</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1"/>
    <w:bookmarkStart w:id="62" w:name="conclusion"/>
    <w:p>
      <w:pPr>
        <w:pStyle w:val="Heading1"/>
      </w:pPr>
      <w:r>
        <w:t xml:space="preserve">Conclusion</w:t>
      </w:r>
    </w:p>
    <w:p>
      <w:pPr>
        <w:pStyle w:val="FirstParagraph"/>
      </w:pPr>
      <w:r>
        <w:t xml:space="preserve">TBD</w:t>
      </w:r>
    </w:p>
    <w:bookmarkEnd w:id="62"/>
    <w:bookmarkStart w:id="6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3"/>
    <w:bookmarkStart w:id="6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4"/>
    <w:bookmarkStart w:id="208" w:name="references"/>
    <w:p>
      <w:pPr>
        <w:pStyle w:val="Heading1"/>
      </w:pPr>
      <w:r>
        <w:t xml:space="preserve">References</w:t>
      </w:r>
    </w:p>
    <w:bookmarkStart w:id="207" w:name="refs"/>
    <w:bookmarkStart w:id="6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5">
        <w:r>
          <w:rPr>
            <w:rStyle w:val="Hyperlink"/>
          </w:rPr>
          <w:t xml:space="preserve">https://doi.org/10.1007/s10811-017-1233-0</w:t>
        </w:r>
      </w:hyperlink>
    </w:p>
    <w:bookmarkEnd w:id="66"/>
    <w:bookmarkStart w:id="68"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7">
        <w:r>
          <w:rPr>
            <w:rStyle w:val="Hyperlink"/>
          </w:rPr>
          <w:t xml:space="preserve">https://doi.org/10.1038/s41467-024-54175-4</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6"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06"/>
    <w:bookmarkStart w:id="107" w:name="ref-komarek1998cyanoprokaryota"/>
    <w:p>
      <w:pPr>
        <w:pStyle w:val="Bibliography"/>
      </w:pPr>
      <w:r>
        <w:t xml:space="preserve">Komárek, J., Anagnostidis, K., 1998. Cyanoprokaryota 1, Susswasserflora Von Mitteleuropa. Deu.</w:t>
      </w:r>
    </w:p>
    <w:bookmarkEnd w:id="107"/>
    <w:bookmarkStart w:id="109"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8">
        <w:r>
          <w:rPr>
            <w:rStyle w:val="Hyperlink"/>
          </w:rPr>
          <w:t xml:space="preserve">https://doi.org/10.1073/pnas.0802312105</w:t>
        </w:r>
      </w:hyperlink>
    </w:p>
    <w:bookmarkEnd w:id="109"/>
    <w:bookmarkStart w:id="111" w:name="ref-lawsonkeister2021jamming"/>
    <w:p>
      <w:pPr>
        <w:pStyle w:val="Bibliography"/>
      </w:pPr>
      <w:r>
        <w:t xml:space="preserve">Lawson-Keister, E., Manning, M.L., 2021. Jamming and arrest of cell motion in biological tissues. Current Opinion in Cell Biology 72, 146–155.</w:t>
      </w:r>
      <w:r>
        <w:t xml:space="preserve"> </w:t>
      </w:r>
      <w:hyperlink r:id="rId110">
        <w:r>
          <w:rPr>
            <w:rStyle w:val="Hyperlink"/>
          </w:rPr>
          <w:t xml:space="preserve">https://doi.org/10.1016/j.ceb.2021.07.011</w:t>
        </w:r>
      </w:hyperlink>
    </w:p>
    <w:bookmarkEnd w:id="111"/>
    <w:bookmarkStart w:id="11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2">
        <w:r>
          <w:rPr>
            <w:rStyle w:val="Hyperlink"/>
          </w:rPr>
          <w:t xml:space="preserve">https://doi.org/10.1016/j.envpol.2021.118594</w:t>
        </w:r>
      </w:hyperlink>
    </w:p>
    <w:bookmarkEnd w:id="113"/>
    <w:bookmarkStart w:id="11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4">
        <w:r>
          <w:rPr>
            <w:rStyle w:val="Hyperlink"/>
          </w:rPr>
          <w:t xml:space="preserve">https://doi.org/10.1016/j.watres.2019.06.066</w:t>
        </w:r>
      </w:hyperlink>
    </w:p>
    <w:bookmarkEnd w:id="115"/>
    <w:bookmarkStart w:id="117"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16">
        <w:r>
          <w:rPr>
            <w:rStyle w:val="Hyperlink"/>
          </w:rPr>
          <w:t xml:space="preserve">https://doi.org/10.1016/j.hal.2010.03.003</w:t>
        </w:r>
      </w:hyperlink>
    </w:p>
    <w:bookmarkEnd w:id="117"/>
    <w:bookmarkStart w:id="119"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18">
        <w:r>
          <w:rPr>
            <w:rStyle w:val="Hyperlink"/>
          </w:rPr>
          <w:t xml:space="preserve">https://doi.org/10.1081/ese-200048262</w:t>
        </w:r>
      </w:hyperlink>
    </w:p>
    <w:bookmarkEnd w:id="119"/>
    <w:bookmarkStart w:id="12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0">
        <w:r>
          <w:rPr>
            <w:rStyle w:val="Hyperlink"/>
          </w:rPr>
          <w:t xml:space="preserve">https://doi.org/10.1016/j.watres.2019.04.004</w:t>
        </w:r>
      </w:hyperlink>
    </w:p>
    <w:bookmarkEnd w:id="121"/>
    <w:bookmarkStart w:id="123" w:name="ref-liu2007overview"/>
    <w:p>
      <w:pPr>
        <w:pStyle w:val="Bibliography"/>
      </w:pPr>
      <w:r>
        <w:t xml:space="preserve">Liu, Y., 2007. Overview of some theoretical approaches for derivation of the monod equation. Applied Microbiology and Biotechnology 73, 1241–1250.</w:t>
      </w:r>
      <w:r>
        <w:t xml:space="preserve"> </w:t>
      </w:r>
      <w:hyperlink r:id="rId122">
        <w:r>
          <w:rPr>
            <w:rStyle w:val="Hyperlink"/>
          </w:rPr>
          <w:t xml:space="preserve">https://doi.org/10.1007/s00253-006-0717-7</w:t>
        </w:r>
      </w:hyperlink>
    </w:p>
    <w:bookmarkEnd w:id="123"/>
    <w:bookmarkStart w:id="12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24">
        <w:r>
          <w:rPr>
            <w:rStyle w:val="Hyperlink"/>
          </w:rPr>
          <w:t xml:space="preserve">https://doi.org/10.1016/j.watres.2023.120485</w:t>
        </w:r>
      </w:hyperlink>
    </w:p>
    <w:bookmarkEnd w:id="125"/>
    <w:bookmarkStart w:id="12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lv2015stability"/>
    <w:p>
      <w:pPr>
        <w:pStyle w:val="Bibliography"/>
      </w:pPr>
      <w:r>
        <w:t xml:space="preserve">Lv, J., Wang, K., Jiao, J., 2015. Stability of stochastic richards growth model. Applied Mathematical Modelling 39, 4821–4827.</w:t>
      </w:r>
      <w:r>
        <w:t xml:space="preserve"> </w:t>
      </w:r>
      <w:hyperlink r:id="rId128">
        <w:r>
          <w:rPr>
            <w:rStyle w:val="Hyperlink"/>
          </w:rPr>
          <w:t xml:space="preserve">https://doi.org/10.1016/j.apm.2015.04.016</w:t>
        </w:r>
      </w:hyperlink>
    </w:p>
    <w:bookmarkEnd w:id="129"/>
    <w:bookmarkStart w:id="131" w:name="ref-monod1949the"/>
    <w:p>
      <w:pPr>
        <w:pStyle w:val="Bibliography"/>
      </w:pPr>
      <w:r>
        <w:t xml:space="preserve">Monod, J., 1949. THE GROWTH OF BACTERIAL CULTURES. Annual Review of Microbiology 3, 371–394.</w:t>
      </w:r>
      <w:r>
        <w:t xml:space="preserve"> </w:t>
      </w:r>
      <w:hyperlink r:id="rId130">
        <w:r>
          <w:rPr>
            <w:rStyle w:val="Hyperlink"/>
          </w:rPr>
          <w:t xml:space="preserve">https://doi.org/10.1146/annurev.mi.03.100149.002103</w:t>
        </w:r>
      </w:hyperlink>
    </w:p>
    <w:bookmarkEnd w:id="131"/>
    <w:bookmarkStart w:id="13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2">
        <w:r>
          <w:rPr>
            <w:rStyle w:val="Hyperlink"/>
          </w:rPr>
          <w:t xml:space="preserve">https://doi.org/10.1111/are.15568</w:t>
        </w:r>
      </w:hyperlink>
    </w:p>
    <w:bookmarkEnd w:id="133"/>
    <w:bookmarkStart w:id="13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4">
        <w:r>
          <w:rPr>
            <w:rStyle w:val="Hyperlink"/>
          </w:rPr>
          <w:t xml:space="preserve">https://doi.org/10.1111/gtc.12461</w:t>
        </w:r>
      </w:hyperlink>
    </w:p>
    <w:bookmarkEnd w:id="135"/>
    <w:bookmarkStart w:id="13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6">
        <w:r>
          <w:rPr>
            <w:rStyle w:val="Hyperlink"/>
          </w:rPr>
          <w:t xml:space="preserve">https://doi.org/10.4014/jmb.1702.02069</w:t>
        </w:r>
      </w:hyperlink>
    </w:p>
    <w:bookmarkEnd w:id="137"/>
    <w:bookmarkStart w:id="13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8">
        <w:r>
          <w:rPr>
            <w:rStyle w:val="Hyperlink"/>
          </w:rPr>
          <w:t xml:space="preserve">https://doi.org/10.1038/s41467-018-05388-x</w:t>
        </w:r>
      </w:hyperlink>
    </w:p>
    <w:bookmarkEnd w:id="139"/>
    <w:bookmarkStart w:id="141" w:name="ref-peleg1998reinterpretation"/>
    <w:p>
      <w:pPr>
        <w:pStyle w:val="Bibliography"/>
      </w:pPr>
      <w:r>
        <w:t xml:space="preserve">Peleg, M., Cole, M.B., 1998. Reinterpretation of microbial survival curves. Critical Reviews in Food Science and Nutrition 38, 353–380.</w:t>
      </w:r>
      <w:r>
        <w:t xml:space="preserve"> </w:t>
      </w:r>
      <w:hyperlink r:id="rId140">
        <w:r>
          <w:rPr>
            <w:rStyle w:val="Hyperlink"/>
          </w:rPr>
          <w:t xml:space="preserve">https://doi.org/10.1080/10408699891274246</w:t>
        </w:r>
      </w:hyperlink>
    </w:p>
    <w:bookmarkEnd w:id="141"/>
    <w:bookmarkStart w:id="14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2">
        <w:r>
          <w:rPr>
            <w:rStyle w:val="Hyperlink"/>
          </w:rPr>
          <w:t xml:space="preserve">https://doi.org/10.1080/10408398.2011.570463</w:t>
        </w:r>
      </w:hyperlink>
    </w:p>
    <w:bookmarkEnd w:id="143"/>
    <w:bookmarkStart w:id="14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4">
        <w:r>
          <w:rPr>
            <w:rStyle w:val="Hyperlink"/>
          </w:rPr>
          <w:t xml:space="preserve">https://doi.org/10.1016/j.jenvman.2019.04.123</w:t>
        </w:r>
      </w:hyperlink>
    </w:p>
    <w:bookmarkEnd w:id="145"/>
    <w:bookmarkStart w:id="14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6">
        <w:r>
          <w:rPr>
            <w:rStyle w:val="Hyperlink"/>
          </w:rPr>
          <w:t xml:space="preserve">https://doi.org/10.1007/s11356-020-07896-0</w:t>
        </w:r>
      </w:hyperlink>
    </w:p>
    <w:bookmarkEnd w:id="147"/>
    <w:bookmarkStart w:id="14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8">
        <w:r>
          <w:rPr>
            <w:rStyle w:val="Hyperlink"/>
          </w:rPr>
          <w:t xml:space="preserve">https://doi.org/10.1016/0273-1223(95)00472-y</w:t>
        </w:r>
      </w:hyperlink>
    </w:p>
    <w:bookmarkEnd w:id="149"/>
    <w:bookmarkStart w:id="15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0">
        <w:r>
          <w:rPr>
            <w:rStyle w:val="Hyperlink"/>
          </w:rPr>
          <w:t xml:space="preserve">https://doi.org/10.1186/s12302-018-0175-8</w:t>
        </w:r>
      </w:hyperlink>
    </w:p>
    <w:bookmarkEnd w:id="151"/>
    <w:bookmarkStart w:id="15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2">
        <w:r>
          <w:rPr>
            <w:rStyle w:val="Hyperlink"/>
          </w:rPr>
          <w:t xml:space="preserve">https://doi.org/10.1002/jcp.1041070111</w:t>
        </w:r>
      </w:hyperlink>
    </w:p>
    <w:bookmarkEnd w:id="153"/>
    <w:bookmarkStart w:id="154"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4"/>
    <w:bookmarkStart w:id="156"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55">
        <w:r>
          <w:rPr>
            <w:rStyle w:val="Hyperlink"/>
          </w:rPr>
          <w:t xml:space="preserve">https://doi.org/10.1007/s11356-023-27506-z</w:t>
        </w:r>
      </w:hyperlink>
    </w:p>
    <w:bookmarkEnd w:id="156"/>
    <w:bookmarkStart w:id="158"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7">
        <w:r>
          <w:rPr>
            <w:rStyle w:val="Hyperlink"/>
          </w:rPr>
          <w:t xml:space="preserve">https://doi.org/J.scitotenv.2018.08.307</w:t>
        </w:r>
      </w:hyperlink>
    </w:p>
    <w:bookmarkEnd w:id="158"/>
    <w:bookmarkStart w:id="160"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9">
        <w:r>
          <w:rPr>
            <w:rStyle w:val="Hyperlink"/>
          </w:rPr>
          <w:t xml:space="preserve">https://doi.org/10.1016/j.jes.2021.03.026</w:t>
        </w:r>
      </w:hyperlink>
    </w:p>
    <w:bookmarkEnd w:id="160"/>
    <w:bookmarkStart w:id="162"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1">
        <w:r>
          <w:rPr>
            <w:rStyle w:val="Hyperlink"/>
          </w:rPr>
          <w:t xml:space="preserve">https://doi.org/10.1016/j.watres.2014.09.038</w:t>
        </w:r>
      </w:hyperlink>
    </w:p>
    <w:bookmarkEnd w:id="162"/>
    <w:bookmarkStart w:id="164"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3">
        <w:r>
          <w:rPr>
            <w:rStyle w:val="Hyperlink"/>
          </w:rPr>
          <w:t xml:space="preserve">https://doi.org/10.1038/s41545-022-00181-2</w:t>
        </w:r>
      </w:hyperlink>
    </w:p>
    <w:bookmarkEnd w:id="164"/>
    <w:bookmarkStart w:id="166"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65">
        <w:r>
          <w:rPr>
            <w:rStyle w:val="Hyperlink"/>
          </w:rPr>
          <w:t xml:space="preserve">https://doi.org/10.1016/s0273-1223(99)00531-4</w:t>
        </w:r>
      </w:hyperlink>
    </w:p>
    <w:bookmarkEnd w:id="166"/>
    <w:bookmarkStart w:id="168"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7">
        <w:r>
          <w:rPr>
            <w:rStyle w:val="Hyperlink"/>
          </w:rPr>
          <w:t xml:space="preserve">https://doi.org/10.1016/j.watres.2014.09.037</w:t>
        </w:r>
      </w:hyperlink>
    </w:p>
    <w:bookmarkEnd w:id="168"/>
    <w:bookmarkStart w:id="170"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9">
        <w:r>
          <w:rPr>
            <w:rStyle w:val="Hyperlink"/>
          </w:rPr>
          <w:t xml:space="preserve">https://doi.org/10.1139/f76-004</w:t>
        </w:r>
      </w:hyperlink>
    </w:p>
    <w:bookmarkEnd w:id="170"/>
    <w:bookmarkStart w:id="172"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1">
        <w:r>
          <w:rPr>
            <w:rStyle w:val="Hyperlink"/>
          </w:rPr>
          <w:t xml:space="preserve">https://doi.org/10.1371/journal.pone.0178691</w:t>
        </w:r>
      </w:hyperlink>
    </w:p>
    <w:bookmarkEnd w:id="172"/>
    <w:bookmarkStart w:id="173"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3"/>
    <w:bookmarkStart w:id="175"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4">
        <w:r>
          <w:rPr>
            <w:rStyle w:val="Hyperlink"/>
          </w:rPr>
          <w:t xml:space="preserve">https://doi.org/10.1016/0273-1223(95)00473-Z</w:t>
        </w:r>
      </w:hyperlink>
    </w:p>
    <w:bookmarkEnd w:id="175"/>
    <w:bookmarkStart w:id="177"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76">
        <w:r>
          <w:rPr>
            <w:rStyle w:val="Hyperlink"/>
          </w:rPr>
          <w:t xml:space="preserve">https://doi.org/10.1021/acsestwater.3c00477</w:t>
        </w:r>
      </w:hyperlink>
    </w:p>
    <w:bookmarkEnd w:id="177"/>
    <w:bookmarkStart w:id="179"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8">
        <w:r>
          <w:rPr>
            <w:rStyle w:val="Hyperlink"/>
          </w:rPr>
          <w:t xml:space="preserve">https://doi.org/10.1016/j.ecoenv.2024.116198</w:t>
        </w:r>
      </w:hyperlink>
    </w:p>
    <w:bookmarkEnd w:id="179"/>
    <w:bookmarkStart w:id="181"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0">
        <w:r>
          <w:rPr>
            <w:rStyle w:val="Hyperlink"/>
          </w:rPr>
          <w:t xml:space="preserve">https://doi.org/10.1016/j.watres.2019.114864</w:t>
        </w:r>
      </w:hyperlink>
    </w:p>
    <w:bookmarkEnd w:id="181"/>
    <w:bookmarkStart w:id="183"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2">
        <w:r>
          <w:rPr>
            <w:rStyle w:val="Hyperlink"/>
          </w:rPr>
          <w:t xml:space="preserve">https://doi.org/10.1016/j.watres.2020.115574</w:t>
        </w:r>
      </w:hyperlink>
    </w:p>
    <w:bookmarkEnd w:id="183"/>
    <w:bookmarkStart w:id="185"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4">
        <w:r>
          <w:rPr>
            <w:rStyle w:val="Hyperlink"/>
          </w:rPr>
          <w:t xml:space="preserve">https://doi.org/10.1016/j.jtbi.2023.111645</w:t>
        </w:r>
      </w:hyperlink>
    </w:p>
    <w:bookmarkEnd w:id="185"/>
    <w:bookmarkStart w:id="187"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86">
        <w:r>
          <w:rPr>
            <w:rStyle w:val="Hyperlink"/>
          </w:rPr>
          <w:t xml:space="preserve">https://doi.org/10.1016/j.bse.2014.12.013</w:t>
        </w:r>
      </w:hyperlink>
    </w:p>
    <w:bookmarkEnd w:id="187"/>
    <w:bookmarkStart w:id="189"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8">
        <w:r>
          <w:rPr>
            <w:rStyle w:val="Hyperlink"/>
          </w:rPr>
          <w:t xml:space="preserve">https://doi.org/10.1371/journal.pone.0018665</w:t>
        </w:r>
      </w:hyperlink>
    </w:p>
    <w:bookmarkEnd w:id="189"/>
    <w:bookmarkStart w:id="190"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0"/>
    <w:bookmarkStart w:id="19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1">
        <w:r>
          <w:rPr>
            <w:rStyle w:val="Hyperlink"/>
          </w:rPr>
          <w:t xml:space="preserve">https://doi.org/10.1007/bf00408253</w:t>
        </w:r>
      </w:hyperlink>
    </w:p>
    <w:bookmarkEnd w:id="192"/>
    <w:bookmarkStart w:id="194"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3">
        <w:r>
          <w:rPr>
            <w:rStyle w:val="Hyperlink"/>
          </w:rPr>
          <w:t xml:space="preserve">https://doi.org/10.1016/j.chemosphere.2018.11.121</w:t>
        </w:r>
      </w:hyperlink>
    </w:p>
    <w:bookmarkEnd w:id="194"/>
    <w:bookmarkStart w:id="196"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95">
        <w:r>
          <w:rPr>
            <w:rStyle w:val="Hyperlink"/>
          </w:rPr>
          <w:t xml:space="preserve">https://doi.org/10.1073/pnas.1422108112</w:t>
        </w:r>
      </w:hyperlink>
    </w:p>
    <w:bookmarkEnd w:id="196"/>
    <w:bookmarkStart w:id="19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7">
        <w:r>
          <w:rPr>
            <w:rStyle w:val="Hyperlink"/>
          </w:rPr>
          <w:t xml:space="preserve">https://doi.org/10.1038/s41556-024-01415-w</w:t>
        </w:r>
      </w:hyperlink>
    </w:p>
    <w:bookmarkEnd w:id="198"/>
    <w:bookmarkStart w:id="20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99">
        <w:r>
          <w:rPr>
            <w:rStyle w:val="Hyperlink"/>
          </w:rPr>
          <w:t xml:space="preserve">https://doi.org/10.1007/s11356-019-06188-6</w:t>
        </w:r>
      </w:hyperlink>
    </w:p>
    <w:bookmarkEnd w:id="200"/>
    <w:bookmarkStart w:id="20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1">
        <w:r>
          <w:rPr>
            <w:rStyle w:val="Hyperlink"/>
          </w:rPr>
          <w:t xml:space="preserve">https://doi.org/10.1007/s10811-008-9363-z</w:t>
        </w:r>
      </w:hyperlink>
    </w:p>
    <w:bookmarkEnd w:id="202"/>
    <w:bookmarkStart w:id="20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03">
        <w:r>
          <w:rPr>
            <w:rStyle w:val="Hyperlink"/>
          </w:rPr>
          <w:t xml:space="preserve">https://doi.org/10.1007/s10811-016-0864-x</w:t>
        </w:r>
      </w:hyperlink>
    </w:p>
    <w:bookmarkEnd w:id="204"/>
    <w:bookmarkStart w:id="20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05">
        <w:r>
          <w:rPr>
            <w:rStyle w:val="Hyperlink"/>
          </w:rPr>
          <w:t xml:space="preserve">https://doi.org/10.1046/j.1529-8817.1999.3561422.x</w:t>
        </w:r>
      </w:hyperlink>
    </w:p>
    <w:bookmarkEnd w:id="206"/>
    <w:bookmarkEnd w:id="207"/>
    <w:bookmarkEnd w:id="20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33" Target="media/rId33.png" /><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1" Target="https://doi.org/10.1007/s10811-008-9363-z" TargetMode="External" /><Relationship Type="http://schemas.openxmlformats.org/officeDocument/2006/relationships/hyperlink" Id="rId203" Target="https://doi.org/10.1007/s10811-016-0864-x" TargetMode="External" /><Relationship Type="http://schemas.openxmlformats.org/officeDocument/2006/relationships/hyperlink" Id="rId65" Target="https://doi.org/10.1007/s10811-017-1233-0" TargetMode="External" /><Relationship Type="http://schemas.openxmlformats.org/officeDocument/2006/relationships/hyperlink" Id="rId199"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7"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7"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5"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1" Target="https://doi.org/10.1007/s10811-008-9363-z" TargetMode="External" /><Relationship Type="http://schemas.openxmlformats.org/officeDocument/2006/relationships/hyperlink" Id="rId203" Target="https://doi.org/10.1007/s10811-016-0864-x" TargetMode="External" /><Relationship Type="http://schemas.openxmlformats.org/officeDocument/2006/relationships/hyperlink" Id="rId65" Target="https://doi.org/10.1007/s10811-017-1233-0" TargetMode="External" /><Relationship Type="http://schemas.openxmlformats.org/officeDocument/2006/relationships/hyperlink" Id="rId199"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7"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7"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5"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2025-04-20T11:07:14Z</dcterms:created>
  <dcterms:modified xsi:type="dcterms:W3CDTF">2025-04-20T11:07:14Z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2025-04-20</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