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png" ContentType="image/png"/>
  <Override PartName="/word/media/rId43.png" ContentType="image/png"/>
  <Override PartName="/word/media/rId47.png" ContentType="image/png"/>
  <Override PartName="/word/media/rId51.png" ContentType="image/png"/>
  <Override PartName="/word/media/rId55.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2025-04-27</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 (pMIB)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 (dMIB), and the sum of intracellular and extracellular MIB constitutes the total MIB concentration (tMIB)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w:t>
      </w:r>
      <m:oMath>
        <m:r>
          <m:t>r</m:t>
        </m:r>
      </m:oMath>
      <w:r>
        <w:t xml:space="preserve">) and carrying capacity (</w:t>
      </w:r>
      <m:oMath>
        <m:r>
          <m:t>K</m:t>
        </m:r>
      </m:oMath>
      <w:r>
        <w:t xml:space="preserve">),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w:t>
      </w:r>
      <m:oMath>
        <m:r>
          <m:t>f</m:t>
        </m:r>
        <m:r>
          <m:rPr>
            <m:sty m:val="p"/>
          </m:rPr>
          <m:t>=</m:t>
        </m:r>
        <m:r>
          <m:rPr>
            <m:nor/>
            <m:sty m:val="p"/>
          </m:rPr>
          <m:t>dMIB</m:t>
        </m:r>
        <m:r>
          <m:rPr>
            <m:sty m:val="p"/>
          </m:rPr>
          <m:t>/</m:t>
        </m:r>
        <m:r>
          <m:rPr>
            <m:nor/>
            <m:sty m:val="p"/>
          </m:rPr>
          <m:t>tMIB</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2"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tbl>
      <w:tblPr>
        <w:tblStyle w:val="Table"/>
        <w:tblLook w:firstRow="0" w:lastRow="0" w:firstColumn="0" w:lastColumn="0" w:noHBand="0" w:noVBand="0" w:val="0000"/>
        <w:tblBorders>
          <w:left w:val="single" w:sz="24" w:space="0" w:color="909090"/>
        </w:tblBorders>
        <w:tblCellMar>
          <w:left w:w="0" w:type="dxa"/>
          <w:right w:w="0" w:type="dxa"/>
        </w:tblCellMar>
        <w:tblInd w:w="164" w:type="dxa"/>
      </w:tblPr>
      <w:tr>
        <w:trPr>
          <w:cantSplit/>
        </w:trPr>
        <w:tc>
          <w:tcPr>
            <w:tcMar>
              <w:left w:w="144" w:type="dxa"/>
            </w:tcMar>
          </w:tcPr>
          <w:p>
            <w:pPr>
              <w:pStyle w:val="FirstParagraph"/>
            </w:pPr>
            <w:pPr>
              <w:spacing w:before="16" w:after="64"/>
            </w:pPr>
            <w:r>
              <w:rPr>
                <w:rFonts w:hint="eastAsia"/>
                <w:b/>
                <w:bCs/>
              </w:rPr>
              <w:t xml:space="preserve">文献</w:t>
            </w:r>
          </w:p>
          <w:p>
            <w:pPr>
              <w:pStyle w:val="BodyText"/>
            </w:pPr>
            <w:pPr>
              <w:spacing w:before="16" w:after="16"/>
            </w:pPr>
            <w:r>
              <w:rPr>
                <w:rFonts w:hint="eastAsia"/>
              </w:rPr>
              <w:t xml:space="preserve">解决文献</w:t>
            </w:r>
          </w:p>
        </w:tc>
      </w:tr>
    </w:tbl>
    <w:p>
      <w:pPr>
        <w:pStyle w:val="BodyText"/>
      </w:pPr>
      <w:r>
        <w:t xml:space="preserve">Subsamples (1000 mL) for cell counting were preserved with 5% Lugol’s iodine solution</w:t>
      </w:r>
      <w:r>
        <w:t xml:space="preserve"> </w:t>
      </w:r>
      <w:r>
        <w:t xml:space="preserve">(Sherr and Sherr, 1993)</w:t>
      </w:r>
      <w:r>
        <w:t xml:space="preserve"> </w:t>
      </w:r>
      <w:r>
        <w:t xml:space="preserve">and allowed to settle for 48 hours. The samples were then pre-concentrated 20-fold and stored in the dark until cell enumeration. Cyanobacterial species were identified according to</w:t>
      </w:r>
      <w:r>
        <w:t xml:space="preserve"> </w:t>
      </w:r>
      <w:r>
        <w:t xml:space="preserve">(Komárek and Anagnostidis, 1998)</w:t>
      </w:r>
      <w:r>
        <w:t xml:space="preserve">, with revisions based on</w:t>
      </w:r>
      <w:r>
        <w:t xml:space="preserve"> </w:t>
      </w:r>
      <w:r>
        <w:t xml:space="preserve">(Komarek et al., 2014)</w:t>
      </w:r>
      <w:r>
        <w:t xml:space="preserve">. Phytoplankton identification and enumeration were performed using an upright microscope (Olympus BX53, Japan) following the protocol established by</w:t>
      </w:r>
      <w:r>
        <w:t xml:space="preserve"> </w:t>
      </w:r>
      <w:r>
        <w:t xml:space="preserve">(Utermöhl, 1958)</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t xml:space="preserve"> </w:t>
      </w:r>
      <w:r>
        <w:t xml:space="preserve">(Li et al., 2010)</w:t>
      </w:r>
      <w:r>
        <w:t xml:space="preserve">, and analysis was conducted within 72 hours using solid-phase microextraction (SPME) coupled with gas chromatography-mass spectrometry (GC-MS) (Agilent 6890/5975, Agilent Tech., USA) following the procedures established by</w:t>
      </w:r>
      <w:r>
        <w:t xml:space="preserve"> </w:t>
      </w:r>
      <w:r>
        <w:t xml:space="preserve">(Liang et al., 2005)</w:t>
      </w:r>
      <w:r>
        <w:t xml:space="preserve"> </w:t>
      </w:r>
      <w:r>
        <w:t xml:space="preserve">and previous studies</w:t>
      </w:r>
      <w:r>
        <w:t xml:space="preserve"> </w:t>
      </w:r>
      <w:r>
        <w:t xml:space="preserve">(Su et al., 2015)</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endChr m:val=")"/>
              <m:sep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t xml:space="preserve"> </w:t>
      </w:r>
      <w:r>
        <w:t xml:space="preserve">(Karim et al., 2023; Peleg and Cole, 1998)</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w:t>
      </w:r>
      <w:r>
        <w:t xml:space="preserve"> </w:t>
      </w:r>
      <m:oMath>
        <m:r>
          <m:t>f</m:t>
        </m:r>
      </m:oMath>
      <w:r>
        <w:t xml:space="preserve"> </w:t>
      </w:r>
      <w:r>
        <w:t xml:space="preserve">(dMIB/tMIB) serves as an odor index, reflecting both the proportion of dissolved MIB in total MIB and the relative abundance of cells at different growth stages. To characterize the temporal variation of dMIB and tMIB produced by</w:t>
      </w:r>
      <w:r>
        <w:t xml:space="preserve"> </w:t>
      </w:r>
      <m:oMath>
        <m:r>
          <m:t>P</m:t>
        </m:r>
        <m:r>
          <m:t>s</m:t>
        </m:r>
        <m:r>
          <m:t>e</m:t>
        </m:r>
        <m:r>
          <m:t>u</m:t>
        </m:r>
        <m:r>
          <m:t>d</m:t>
        </m:r>
        <m:r>
          <m:t>a</m:t>
        </m:r>
        <m:r>
          <m:t>n</m:t>
        </m:r>
        <m:r>
          <m:t>a</m:t>
        </m:r>
        <m:r>
          <m:t>b</m:t>
        </m:r>
        <m:r>
          <m:t>a</m:t>
        </m:r>
        <m:r>
          <m:t>e</m:t>
        </m:r>
        <m:r>
          <m:t>n</m:t>
        </m:r>
        <m:r>
          <m:t>a</m:t>
        </m:r>
      </m:oMath>
      <w:r>
        <w:t xml:space="preserve"> </w:t>
      </w:r>
      <w:r>
        <w:t xml:space="preserve">during cultivation, a time-dependent model for</w:t>
      </w:r>
      <w:r>
        <w:t xml:space="preserve"> </w:t>
      </w:r>
      <m:oMath>
        <m:r>
          <m:t>f</m:t>
        </m:r>
      </m:oMath>
      <w:r>
        <w:t xml:space="preserve"> </w:t>
      </w:r>
      <w:r>
        <w:t xml:space="preserve">was constructed. Since dMIB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changes in the carrying capacity were used to express the variation in</w:t>
      </w:r>
      <w:r>
        <w:t xml:space="preserve"> </w:t>
      </w:r>
      <m:oMath>
        <m:r>
          <m:t>f</m:t>
        </m:r>
      </m:oMath>
      <w:r>
        <w:t xml:space="preserve"> </w:t>
      </w:r>
      <w:r>
        <w:t xml:space="preserve">(</w:t>
      </w:r>
      <w:hyperlink w:anchor="eq-f1">
        <w:r>
          <w:rPr>
            <w:rStyle w:val="Hyperlink"/>
          </w:rPr>
          <w:t xml:space="preserve">Eq. 3</w:t>
        </w:r>
      </w:hyperlink>
      <w:r>
        <w:t xml:space="preserve">). When the cell density approached</w:t>
      </w:r>
      <w:r>
        <w:t xml:space="preserve"> </w:t>
      </w:r>
      <m:oMath>
        <m:r>
          <m:t>K</m:t>
        </m:r>
      </m:oMath>
      <w:r>
        <w:t xml:space="preserve"> </w:t>
      </w:r>
      <w:r>
        <w:t xml:space="preserve">(greater than 80% of</w:t>
      </w:r>
      <w:r>
        <w:t xml:space="preserve"> </w:t>
      </w:r>
      <m:oMath>
        <m:r>
          <m:t>K</m:t>
        </m:r>
      </m:oMath>
      <w:r>
        <w:t xml:space="preserve">), the remaining carrying capacity was used instead (</w:t>
      </w:r>
      <w:hyperlink w:anchor="eq-f2">
        <w:r>
          <w:rPr>
            <w:rStyle w:val="Hyperlink"/>
          </w:rPr>
          <w:t xml:space="preserve">Eq. 4</w:t>
        </w:r>
      </w:hyperlink>
      <w:r>
        <w:t xml:space="preserve">).</w:t>
      </w:r>
    </w:p>
    <w:p>
      <w:pPr>
        <w:pStyle w:val="BodyText"/>
      </w:pPr>
      <w:bookmarkStart w:id="26" w:name="eq-f1"/>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endChr m:val=")"/>
              <m:sepChr m:val=""/>
              <m:grow/>
            </m:dPr>
            <m:e>
              <m:r>
                <m:t>3</m:t>
              </m:r>
            </m:e>
          </m:d>
        </m:oMath>
      </m:oMathPara>
      <w:bookmarkEnd w:id="26"/>
    </w:p>
    <w:p>
      <w:pPr>
        <w:pStyle w:val="FirstParagraph"/>
      </w:pPr>
      <w:bookmarkStart w:id="27"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d>
            <m:dPr>
              <m:begChr m:val="("/>
              <m:endChr m:val=")"/>
              <m:sepChr m:val=""/>
              <m:grow/>
            </m:dPr>
            <m:e>
              <m:r>
                <m:t>4</m:t>
              </m:r>
            </m:e>
          </m:d>
        </m:oMath>
      </m:oMathPara>
      <w:bookmarkEnd w:id="27"/>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28"/>
    <w:bookmarkStart w:id="30"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S9). This distribution characterizes the probability of various tMIB concentrations occurring at different cyanobacterial growth stages, providing a basis for assessing MIB-related odor risk.</w:t>
      </w:r>
    </w:p>
    <w:p>
      <w:pPr>
        <w:pStyle w:val="BodyText"/>
      </w:pPr>
      <w:bookmarkStart w:id="29"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endChr m:val=")"/>
              <m:sepChr m:val=""/>
              <m:grow/>
            </m:dPr>
            <m:e>
              <m:r>
                <m:t>5</m:t>
              </m:r>
            </m:e>
          </m:d>
        </m:oMath>
      </m:oMathPara>
      <w:bookmarkEnd w:id="29"/>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endChr m:val=")"/>
            <m:sep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0"/>
    <w:bookmarkStart w:id="31"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1"/>
    <w:bookmarkEnd w:id="32"/>
    <w:bookmarkStart w:id="60" w:name="results"/>
    <w:p>
      <w:pPr>
        <w:pStyle w:val="Heading1"/>
      </w:pPr>
      <w:r>
        <w:t xml:space="preserve">Results</w:t>
      </w:r>
    </w:p>
    <w:bookmarkStart w:id="3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m:oMath>
        <m:r>
          <m:t>P</m:t>
        </m:r>
        <m:r>
          <m:t>s</m:t>
        </m:r>
        <m:r>
          <m:t>e</m:t>
        </m:r>
        <m:r>
          <m:t>u</m:t>
        </m:r>
        <m:r>
          <m:t>d</m:t>
        </m:r>
        <m:r>
          <m:t>a</m:t>
        </m:r>
        <m:r>
          <m:t>n</m:t>
        </m:r>
        <m:r>
          <m:t>a</m:t>
        </m:r>
        <m:r>
          <m:t>b</m:t>
        </m:r>
        <m:r>
          <m:t>a</m:t>
        </m:r>
        <m:r>
          <m:t>e</m:t>
        </m:r>
        <m:r>
          <m:t>n</m:t>
        </m:r>
        <m:r>
          <m:t>a</m:t>
        </m:r>
      </m:oMath>
      <w:r>
        <w:t xml:space="preserve"> </w:t>
      </w:r>
      <w:r>
        <w:t xml:space="preserve">and</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as the dominant MIB-producing species during the study period. During the sampling period,</w:t>
      </w:r>
      <w:r>
        <w:t xml:space="preserve"> </w:t>
      </w:r>
      <m:oMath>
        <m:r>
          <m:t>M</m:t>
        </m:r>
        <m:r>
          <m:t>i</m:t>
        </m:r>
        <m:r>
          <m:t>c</m:t>
        </m:r>
        <m:r>
          <m:t>r</m:t>
        </m:r>
        <m:r>
          <m:t>o</m:t>
        </m:r>
        <m:r>
          <m:t>c</m:t>
        </m:r>
        <m:r>
          <m:t>y</m:t>
        </m:r>
        <m:r>
          <m:t>s</m:t>
        </m:r>
        <m:r>
          <m:t>t</m:t>
        </m:r>
        <m:r>
          <m:t>i</m:t>
        </m:r>
        <m:r>
          <m:t>s</m:t>
        </m:r>
      </m:oMath>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m:oMath>
        <m:r>
          <m:t>P</m:t>
        </m:r>
        <m:r>
          <m:t>s</m:t>
        </m:r>
        <m:r>
          <m:t>e</m:t>
        </m:r>
        <m:r>
          <m:t>u</m:t>
        </m:r>
        <m:r>
          <m:t>d</m:t>
        </m:r>
        <m:r>
          <m:t>a</m:t>
        </m:r>
        <m:r>
          <m:t>n</m:t>
        </m:r>
        <m:r>
          <m:t>a</m:t>
        </m:r>
        <m:r>
          <m:t>b</m:t>
        </m:r>
        <m:r>
          <m:t>a</m:t>
        </m:r>
        <m:r>
          <m:t>e</m:t>
        </m:r>
        <m:r>
          <m:t>n</m:t>
        </m:r>
        <m:r>
          <m:t>a</m:t>
        </m:r>
      </m:oMath>
      <w:r>
        <w:t xml:space="preserve">, as the primary MIB-producing species reached its highest relative abundance (31.0%). In contrast,</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6" w:name="fig-taihumibalgae"/>
          <w:p>
            <w:pPr>
              <w:pStyle w:val="Compact"/>
              <w:jc w:val="center"/>
            </w:pPr>
            <w:r>
              <w:drawing>
                <wp:inline>
                  <wp:extent cx="5177790" cy="4474633"/>
                  <wp:effectExtent b="0" l="0" r="0" t="0"/>
                  <wp:docPr descr="" title="" id="34" name="Picture"/>
                  <a:graphic>
                    <a:graphicData uri="http://schemas.openxmlformats.org/drawingml/2006/picture">
                      <pic:pic>
                        <pic:nvPicPr>
                          <pic:cNvPr descr="../figures/taihumibalgae.png" id="35" name="Picture"/>
                          <pic:cNvPicPr>
                            <a:picLocks noChangeArrowheads="1" noChangeAspect="1"/>
                          </pic:cNvPicPr>
                        </pic:nvPicPr>
                        <pic:blipFill>
                          <a:blip r:embed="rId33"/>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6"/>
        </w:tc>
      </w:tr>
    </w:tbl>
    <w:bookmarkEnd w:id="37"/>
    <w:bookmarkStart w:id="42"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m:oMath>
        <m:r>
          <m:t>P</m:t>
        </m:r>
        <m:r>
          <m:t>s</m:t>
        </m:r>
        <m:r>
          <m:t>e</m:t>
        </m:r>
        <m:r>
          <m:t>u</m:t>
        </m:r>
        <m:r>
          <m:t>d</m:t>
        </m:r>
        <m:r>
          <m:t>a</m:t>
        </m:r>
        <m:r>
          <m:t>n</m:t>
        </m:r>
        <m:r>
          <m:t>a</m:t>
        </m:r>
        <m:r>
          <m:t>b</m:t>
        </m:r>
        <m:r>
          <m:t>a</m:t>
        </m:r>
        <m:r>
          <m:t>e</m:t>
        </m:r>
        <m:r>
          <m:t>n</m:t>
        </m:r>
        <m:r>
          <m:t>a</m:t>
        </m:r>
      </m:oMath>
      <w:r>
        <w:t xml:space="preserve"> </w:t>
      </w:r>
      <w:r>
        <w:t xml:space="preserve">and</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m:oMath>
        <m:r>
          <m:t>P</m:t>
        </m:r>
        <m:r>
          <m:t>s</m:t>
        </m:r>
        <m:r>
          <m:t>e</m:t>
        </m:r>
        <m:r>
          <m:t>u</m:t>
        </m:r>
        <m:r>
          <m:t>d</m:t>
        </m:r>
        <m:r>
          <m:t>a</m:t>
        </m:r>
        <m:r>
          <m:t>n</m:t>
        </m:r>
        <m:r>
          <m:t>a</m:t>
        </m:r>
        <m:r>
          <m:t>b</m:t>
        </m:r>
        <m:r>
          <m:t>a</m:t>
        </m:r>
        <m:r>
          <m:t>e</m:t>
        </m:r>
        <m:r>
          <m:t>n</m:t>
        </m:r>
        <m:r>
          <m:t>a</m:t>
        </m:r>
      </m:oMath>
      <w:r>
        <w:t xml:space="preserve"> </w:t>
      </w:r>
      <w:r>
        <w:t xml:space="preserve">was significantly greater than that for</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1" w:name="fig-modelconcept"/>
          <w:p>
            <w:pPr>
              <w:pStyle w:val="Compact"/>
              <w:jc w:val="center"/>
            </w:pPr>
            <w:r>
              <w:drawing>
                <wp:inline>
                  <wp:extent cx="4602480" cy="6872404"/>
                  <wp:effectExtent b="0" l="0" r="0" t="0"/>
                  <wp:docPr descr="" title="" id="39" name="Picture"/>
                  <a:graphic>
                    <a:graphicData uri="http://schemas.openxmlformats.org/drawingml/2006/picture">
                      <pic:pic>
                        <pic:nvPicPr>
                          <pic:cNvPr descr="../figures/modelconcept_revised.png" id="40" name="Picture"/>
                          <pic:cNvPicPr>
                            <a:picLocks noChangeArrowheads="1" noChangeAspect="1"/>
                          </pic:cNvPicPr>
                        </pic:nvPicPr>
                        <pic:blipFill>
                          <a:blip r:embed="rId38"/>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41"/>
        </w:tc>
      </w:tr>
    </w:tbl>
    <w:bookmarkEnd w:id="42"/>
    <w:bookmarkStart w:id="59"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6" w:name="fig-period"/>
          <w:p>
            <w:pPr>
              <w:pStyle w:val="Compact"/>
              <w:jc w:val="center"/>
            </w:pPr>
            <w:r>
              <w:drawing>
                <wp:inline>
                  <wp:extent cx="4602480" cy="3835400"/>
                  <wp:effectExtent b="0" l="0" r="0" t="0"/>
                  <wp:docPr descr="" title="" id="44" name="Picture"/>
                  <a:graphic>
                    <a:graphicData uri="http://schemas.openxmlformats.org/drawingml/2006/picture">
                      <pic:pic>
                        <pic:nvPicPr>
                          <pic:cNvPr descr="../figures/period.png" id="45" name="Picture"/>
                          <pic:cNvPicPr>
                            <a:picLocks noChangeArrowheads="1" noChangeAspect="1"/>
                          </pic:cNvPicPr>
                        </pic:nvPicPr>
                        <pic:blipFill>
                          <a:blip r:embed="rId43"/>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6"/>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0" w:name="fig-periodallmonth"/>
          <w:p>
            <w:pPr>
              <w:pStyle w:val="Compact"/>
              <w:jc w:val="center"/>
            </w:pPr>
            <w:r>
              <w:drawing>
                <wp:inline>
                  <wp:extent cx="5753100" cy="2632493"/>
                  <wp:effectExtent b="0" l="0" r="0" t="0"/>
                  <wp:docPr descr="" title="" id="48" name="Picture"/>
                  <a:graphic>
                    <a:graphicData uri="http://schemas.openxmlformats.org/drawingml/2006/picture">
                      <pic:pic>
                        <pic:nvPicPr>
                          <pic:cNvPr descr="../figures/periodallmonth_revised.png" id="49" name="Picture"/>
                          <pic:cNvPicPr>
                            <a:picLocks noChangeArrowheads="1" noChangeAspect="1"/>
                          </pic:cNvPicPr>
                        </pic:nvPicPr>
                        <pic:blipFill>
                          <a:blip r:embed="rId47"/>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0"/>
        </w:tc>
      </w:tr>
    </w:tbl>
    <w:p>
      <w:pPr>
        <w:pStyle w:val="BodyText"/>
      </w:pPr>
      <w:r>
        <w:t xml:space="preserve">Further analysis of the relationship between the</w:t>
      </w:r>
      <w:r>
        <w:t xml:space="preserve"> </w:t>
      </w:r>
      <m:oMath>
        <m:r>
          <m:t>S</m:t>
        </m:r>
        <m:r>
          <m:t>t</m:t>
        </m:r>
      </m:oMath>
      <w:r>
        <w:t xml:space="preserve"> </w:t>
      </w:r>
      <w:r>
        <w:t xml:space="preserve">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4" w:name="fig-risk"/>
          <w:p>
            <w:pPr>
              <w:pStyle w:val="Compact"/>
              <w:jc w:val="center"/>
            </w:pPr>
            <w:r>
              <w:drawing>
                <wp:inline>
                  <wp:extent cx="5753100" cy="2632493"/>
                  <wp:effectExtent b="0" l="0" r="0" t="0"/>
                  <wp:docPr descr="" title="" id="52" name="Picture"/>
                  <a:graphic>
                    <a:graphicData uri="http://schemas.openxmlformats.org/drawingml/2006/picture">
                      <pic:pic>
                        <pic:nvPicPr>
                          <pic:cNvPr descr="../figures/risk1_revised.png" id="53" name="Picture"/>
                          <pic:cNvPicPr>
                            <a:picLocks noChangeArrowheads="1" noChangeAspect="1"/>
                          </pic:cNvPicPr>
                        </pic:nvPicPr>
                        <pic:blipFill>
                          <a:blip r:embed="rId51"/>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54"/>
        </w:tc>
      </w:tr>
    </w:tbl>
    <w:p>
      <w:pPr>
        <w:pStyle w:val="BodyText"/>
      </w:pPr>
      <w:r>
        <w:t xml:space="preserve">According to various studies,</w:t>
      </w:r>
      <w:r>
        <w:t xml:space="preserve"> </w:t>
      </w:r>
      <m:oMath>
        <m:r>
          <m:t>P</m:t>
        </m:r>
        <m:r>
          <m:t>s</m:t>
        </m:r>
        <m:r>
          <m:t>e</m:t>
        </m:r>
        <m:r>
          <m:t>u</m:t>
        </m:r>
        <m:r>
          <m:t>d</m:t>
        </m:r>
        <m:r>
          <m:t>a</m:t>
        </m:r>
        <m:r>
          <m:t>n</m:t>
        </m:r>
        <m:r>
          <m:t>a</m:t>
        </m:r>
        <m:r>
          <m:t>b</m:t>
        </m:r>
        <m:r>
          <m:t>a</m:t>
        </m:r>
        <m:r>
          <m:t>e</m:t>
        </m:r>
        <m:r>
          <m:t>n</m:t>
        </m:r>
        <m:r>
          <m:t>a</m:t>
        </m:r>
      </m:oMath>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8" w:name="fig-lighttemp"/>
          <w:p>
            <w:pPr>
              <w:pStyle w:val="Compact"/>
              <w:jc w:val="center"/>
            </w:pPr>
            <w:r>
              <w:drawing>
                <wp:inline>
                  <wp:extent cx="4602480" cy="3067670"/>
                  <wp:effectExtent b="0" l="0" r="0" t="0"/>
                  <wp:docPr descr="" title="" id="56" name="Picture"/>
                  <a:graphic>
                    <a:graphicData uri="http://schemas.openxmlformats.org/drawingml/2006/picture">
                      <pic:pic>
                        <pic:nvPicPr>
                          <pic:cNvPr descr="../figures/taihualgaerisk_revised.png" id="57" name="Picture"/>
                          <pic:cNvPicPr>
                            <a:picLocks noChangeArrowheads="1" noChangeAspect="1"/>
                          </pic:cNvPicPr>
                        </pic:nvPicPr>
                        <pic:blipFill>
                          <a:blip r:embed="rId55"/>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8"/>
        </w:tc>
      </w:tr>
    </w:tbl>
    <w:bookmarkEnd w:id="59"/>
    <w:bookmarkEnd w:id="60"/>
    <w:bookmarkStart w:id="61" w:name="discussion"/>
    <w:p>
      <w:pPr>
        <w:pStyle w:val="Heading1"/>
      </w:pPr>
      <w:r>
        <w:t xml:space="preserve">Discussion</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(dMIB/tMIB) as an indicator to represent the distribution pattern of MIB. Our findings show that f is not a constant, but follows a specific dynamic trend, which may be attributed to cell crowding effects.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 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(dMIB) to total MIB (tMIB)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dMIB 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p>
      <w:pPr>
        <w:pStyle w:val="BodyText"/>
      </w:pPr>
      <w:r>
        <w:t xml:space="preserve">At the cellular level, the spatiotemporal heterogeneity of MIB in Lake Taihu is primarily influenced by the cell density and growth stage distribution of odor-producing cyanobacteria.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Notably, the May MIB outbreaks were predominantly located in the southeastern region</w:t>
      </w:r>
      <w:r>
        <w:t xml:space="preserve"> </w:t>
      </w:r>
      <w:r>
        <w:t xml:space="preserve">(Li et al., 2022; Shi et al., 2023)</w:t>
      </w:r>
      <w:r>
        <w:t xml:space="preserve">. Temperature and light availability are the primary environmental drivers of cyanobacterial growth. During the summer, both factors typically reach optimal levels for the growth of</w:t>
      </w:r>
      <w:r>
        <w:t xml:space="preserve"> </w:t>
      </w:r>
      <m:oMath>
        <m:r>
          <m:t>P</m:t>
        </m:r>
        <m:r>
          <m:t>s</m:t>
        </m:r>
        <m:r>
          <m:t>e</m:t>
        </m:r>
        <m:r>
          <m:t>u</m:t>
        </m:r>
        <m:r>
          <m:t>d</m:t>
        </m:r>
        <m:r>
          <m:t>a</m:t>
        </m:r>
        <m:r>
          <m:t>n</m:t>
        </m:r>
        <m:r>
          <m:t>a</m:t>
        </m:r>
        <m:r>
          <m:t>b</m:t>
        </m:r>
        <m:r>
          <m:t>a</m:t>
        </m:r>
        <m:r>
          <m:t>e</m:t>
        </m:r>
        <m:r>
          <m:t>n</m:t>
        </m:r>
        <m:r>
          <m:t>a</m:t>
        </m:r>
      </m:oMath>
      <w:r>
        <w:t xml:space="preserve">, a key MIB-producing filamentous cyanobacterium</w:t>
      </w:r>
      <w:r>
        <w:t xml:space="preserve"> </w:t>
      </w:r>
      <w:r>
        <w:t xml:space="preserve">(Qi et al., 2020; Rong et al., 2018; Shi et al., 2023; Su et al., 2022)</w:t>
      </w:r>
      <w:r>
        <w:t xml:space="preserve">. In April and May, when surface water temperature exceeds 20°C, MIB production and cyanobacterial growth may be additionally influenced by anthropogenic activities such as aquaculture and enclosure culture</w:t>
      </w:r>
      <w:r>
        <w:t xml:space="preserve"> </w:t>
      </w:r>
      <w:r>
        <w:t xml:space="preserve">(Nan et al., 2021; Wang et al., 2019; Yu et al., 2019)</w:t>
      </w:r>
      <w:r>
        <w:t xml:space="preserve">. Between May and July,</w:t>
      </w:r>
      <w:r>
        <w:t xml:space="preserve"> </w:t>
      </w:r>
      <m:oMath>
        <m:r>
          <m:t>M</m:t>
        </m:r>
        <m:r>
          <m:t>i</m:t>
        </m:r>
        <m:r>
          <m:t>c</m:t>
        </m:r>
        <m:r>
          <m:t>r</m:t>
        </m:r>
        <m:r>
          <m:t>o</m:t>
        </m:r>
        <m:r>
          <m:t>c</m:t>
        </m:r>
        <m:r>
          <m:t>y</m:t>
        </m:r>
        <m:r>
          <m:t>s</m:t>
        </m:r>
        <m:r>
          <m:t>t</m:t>
        </m:r>
        <m:r>
          <m:t>i</m:t>
        </m:r>
        <m:r>
          <m:t>s</m:t>
        </m:r>
      </m:oMath>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t xml:space="preserve"> </w:t>
      </w:r>
      <w:r>
        <w:t xml:space="preserve">(Su et al., 2022, 2019)</w:t>
      </w:r>
      <w:r>
        <w:t xml:space="preserve">. Previous studies also confirm that</w:t>
      </w:r>
      <w:r>
        <w:t xml:space="preserve"> </w:t>
      </w:r>
      <m:oMath>
        <m:r>
          <m:t>M</m:t>
        </m:r>
        <m:r>
          <m:t>i</m:t>
        </m:r>
        <m:r>
          <m:t>c</m:t>
        </m:r>
        <m:r>
          <m:t>r</m:t>
        </m:r>
        <m:r>
          <m:t>o</m:t>
        </m:r>
        <m:r>
          <m:t>c</m:t>
        </m:r>
        <m:r>
          <m:t>y</m:t>
        </m:r>
        <m:r>
          <m:t>s</m:t>
        </m:r>
        <m:r>
          <m:t>t</m:t>
        </m:r>
        <m:r>
          <m:t>i</m:t>
        </m:r>
        <m:r>
          <m:t>s</m:t>
        </m:r>
      </m:oMath>
      <w:r>
        <w:t xml:space="preserve"> </w:t>
      </w:r>
      <w:r>
        <w:t xml:space="preserve">blooms begin around May and subsequently dominate the phytoplankton community</w:t>
      </w:r>
      <w:r>
        <w:t xml:space="preserve"> </w:t>
      </w:r>
      <w:r>
        <w:t xml:space="preserve">(Xuwei et al., 2019)</w:t>
      </w:r>
      <w:r>
        <w:t xml:space="preserve">. Research on microcystin production in Lake Taihu supports this timeline, with significant increases in microcystin concentrations observed only after May</w:t>
      </w:r>
      <w:r>
        <w:t xml:space="preserve"> </w:t>
      </w:r>
      <w:r>
        <w:t xml:space="preserve">(Li et al., 2022)</w:t>
      </w:r>
      <w:r>
        <w:t xml:space="preserve">. 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L⁻¹ 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m:oMath>
        <m:r>
          <m:t>P</m:t>
        </m:r>
        <m:r>
          <m:t>s</m:t>
        </m:r>
        <m:r>
          <m:t>e</m:t>
        </m:r>
        <m:r>
          <m:t>u</m:t>
        </m:r>
        <m:r>
          <m:t>d</m:t>
        </m:r>
        <m:r>
          <m:t>a</m:t>
        </m:r>
        <m:r>
          <m:t>n</m:t>
        </m:r>
        <m:r>
          <m:t>a</m:t>
        </m:r>
        <m:r>
          <m:t>b</m:t>
        </m:r>
        <m:r>
          <m:t>a</m:t>
        </m:r>
        <m:r>
          <m:t>e</m:t>
        </m:r>
        <m:r>
          <m:t>n</m:t>
        </m:r>
        <m:r>
          <m:t>a</m:t>
        </m:r>
      </m:oMath>
      <w:r>
        <w:t xml:space="preserve"> </w:t>
      </w:r>
      <w:r>
        <w:t xml:space="preserve">has a maximum cellular MIB yield of 0.15 ± 0.04 pg cell⁻¹ under a light intensity of 85 μmol photons m⁻² s⁻¹</w:t>
      </w:r>
      <w:r>
        <w:t xml:space="preserve"> </w:t>
      </w:r>
      <w:r>
        <w:t xml:space="preserve">(Cao et al., 2023)</w:t>
      </w:r>
      <w:r>
        <w:t xml:space="preserve">, while</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exhibits a higher yield of 0.22 ± 0.02 pg cell⁻¹ under similar conditions</w:t>
      </w:r>
      <w:r>
        <w:t xml:space="preserve"> </w:t>
      </w:r>
      <w:r>
        <w:t xml:space="preserve">(Lu et al., 2022)</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61"/>
    <w:bookmarkStart w:id="62" w:name="conclusion"/>
    <w:p>
      <w:pPr>
        <w:pStyle w:val="Heading1"/>
      </w:pPr>
      <w:r>
        <w:t xml:space="preserve">Conclusion</w:t>
      </w:r>
    </w:p>
    <w:p>
      <w:pPr>
        <w:pStyle w:val="FirstParagraph"/>
      </w:pPr>
      <w:r>
        <w:t xml:space="preserve">TBD</w:t>
      </w:r>
    </w:p>
    <w:bookmarkEnd w:id="62"/>
    <w:bookmarkStart w:id="63"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63"/>
    <w:bookmarkStart w:id="64"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64"/>
    <w:bookmarkStart w:id="208" w:name="references"/>
    <w:p>
      <w:pPr>
        <w:pStyle w:val="Heading1"/>
      </w:pPr>
      <w:r>
        <w:t xml:space="preserve">References</w:t>
      </w:r>
    </w:p>
    <w:bookmarkStart w:id="207" w:name="refs"/>
    <w:bookmarkStart w:id="66"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65">
        <w:r>
          <w:rPr>
            <w:rStyle w:val="Hyperlink"/>
          </w:rPr>
          <w:t xml:space="preserve">https://doi.org/10.1007/s10811-017-1233-0</w:t>
        </w:r>
      </w:hyperlink>
    </w:p>
    <w:bookmarkEnd w:id="66"/>
    <w:bookmarkStart w:id="68"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7">
        <w:r>
          <w:rPr>
            <w:rStyle w:val="Hyperlink"/>
          </w:rPr>
          <w:t xml:space="preserve">https://doi.org/10.1038/s41467-024-54175-4</w:t>
        </w:r>
      </w:hyperlink>
    </w:p>
    <w:bookmarkEnd w:id="68"/>
    <w:bookmarkStart w:id="69" w:name="ref-american2010algae"/>
    <w:p>
      <w:pPr>
        <w:pStyle w:val="Bibliography"/>
      </w:pPr>
      <w:r>
        <w:t xml:space="preserve">AWWA, A.W.W.A., 2010. Algae: Source to treatment. American Water Works Association.</w:t>
      </w:r>
    </w:p>
    <w:bookmarkEnd w:id="69"/>
    <w:bookmarkStart w:id="71"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0">
        <w:r>
          <w:rPr>
            <w:rStyle w:val="Hyperlink"/>
          </w:rPr>
          <w:t xml:space="preserve">https://doi.org/10.1111/j.1529-8817.1993.tb00285.x</w:t>
        </w:r>
      </w:hyperlink>
    </w:p>
    <w:bookmarkEnd w:id="71"/>
    <w:bookmarkStart w:id="73" w:name="ref-bar2004attenuation"/>
    <w:p>
      <w:pPr>
        <w:pStyle w:val="Bibliography"/>
      </w:pPr>
      <w:r>
        <w:t xml:space="preserve">Bar, J., Cohen-Noyman, E., Geiger, B., Oren, M., 2004. Attenuation of the p53 response to DNA damage by high cell density. Oncogene 23, 2128–2137.</w:t>
      </w:r>
      <w:r>
        <w:t xml:space="preserve"> </w:t>
      </w:r>
      <w:hyperlink r:id="rId72">
        <w:r>
          <w:rPr>
            <w:rStyle w:val="Hyperlink"/>
          </w:rPr>
          <w:t xml:space="preserve">https://doi.org/10.1038/sj.onc.1207325</w:t>
        </w:r>
      </w:hyperlink>
    </w:p>
    <w:bookmarkEnd w:id="73"/>
    <w:bookmarkStart w:id="74"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4"/>
    <w:bookmarkStart w:id="76"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5">
        <w:r>
          <w:rPr>
            <w:rStyle w:val="Hyperlink"/>
          </w:rPr>
          <w:t xml:space="preserve">https://doi.org/10.1016/j.bpj.2023.11.2493</w:t>
        </w:r>
      </w:hyperlink>
    </w:p>
    <w:bookmarkEnd w:id="76"/>
    <w:bookmarkStart w:id="78"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7">
        <w:r>
          <w:rPr>
            <w:rStyle w:val="Hyperlink"/>
          </w:rPr>
          <w:t xml:space="preserve">https://doi.org/10.1016/j.watres.2023.119667</w:t>
        </w:r>
      </w:hyperlink>
    </w:p>
    <w:bookmarkEnd w:id="78"/>
    <w:bookmarkStart w:id="80"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9">
        <w:r>
          <w:rPr>
            <w:rStyle w:val="Hyperlink"/>
          </w:rPr>
          <w:t xml:space="preserve">https://doi.org/10.1016/j.foodcont.2023.109697</w:t>
        </w:r>
      </w:hyperlink>
    </w:p>
    <w:bookmarkEnd w:id="80"/>
    <w:bookmarkStart w:id="82"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81">
        <w:r>
          <w:rPr>
            <w:rStyle w:val="Hyperlink"/>
          </w:rPr>
          <w:t xml:space="preserve">https://doi.org/10.1016/j.talanta.2023.125303</w:t>
        </w:r>
      </w:hyperlink>
    </w:p>
    <w:bookmarkEnd w:id="82"/>
    <w:bookmarkStart w:id="84"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3">
        <w:r>
          <w:rPr>
            <w:rStyle w:val="Hyperlink"/>
          </w:rPr>
          <w:t xml:space="preserve">https://doi.org/10.1016/j.watres.2020.116478</w:t>
        </w:r>
      </w:hyperlink>
    </w:p>
    <w:bookmarkEnd w:id="84"/>
    <w:bookmarkStart w:id="86"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5">
        <w:r>
          <w:rPr>
            <w:rStyle w:val="Hyperlink"/>
          </w:rPr>
          <w:t xml:space="preserve">https://doi.org/10.1002/anie.200702496</w:t>
        </w:r>
      </w:hyperlink>
    </w:p>
    <w:bookmarkEnd w:id="86"/>
    <w:bookmarkStart w:id="88"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7">
        <w:r>
          <w:rPr>
            <w:rStyle w:val="Hyperlink"/>
          </w:rPr>
          <w:t xml:space="preserve">https://doi.org/10.1111/j.1365-2184.1984.tb00604.x</w:t>
        </w:r>
      </w:hyperlink>
    </w:p>
    <w:bookmarkEnd w:id="88"/>
    <w:bookmarkStart w:id="90"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9">
        <w:r>
          <w:rPr>
            <w:rStyle w:val="Hyperlink"/>
          </w:rPr>
          <w:t xml:space="preserve">https://doi.org/10.1038/nature10999</w:t>
        </w:r>
      </w:hyperlink>
    </w:p>
    <w:bookmarkEnd w:id="90"/>
    <w:bookmarkStart w:id="92"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1">
        <w:r>
          <w:rPr>
            <w:rStyle w:val="Hyperlink"/>
          </w:rPr>
          <w:t xml:space="preserve">https://doi.org/10.1016/j.tcb.2012.11.006</w:t>
        </w:r>
      </w:hyperlink>
    </w:p>
    <w:bookmarkEnd w:id="92"/>
    <w:bookmarkStart w:id="93" w:name="ref-gerber1969a"/>
    <w:p>
      <w:pPr>
        <w:pStyle w:val="Bibliography"/>
      </w:pPr>
      <w:r>
        <w:t xml:space="preserve">Gerber, N.N., 1969. A volatile metabolite of actinomycetes, 2-methylisoborneol. Antibiotics 22, 508–509.</w:t>
      </w:r>
    </w:p>
    <w:bookmarkEnd w:id="93"/>
    <w:bookmarkStart w:id="95"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4">
        <w:r>
          <w:rPr>
            <w:rStyle w:val="Hyperlink"/>
          </w:rPr>
          <w:t xml:space="preserve">https://doi.org/10.1021/es102992p</w:t>
        </w:r>
      </w:hyperlink>
    </w:p>
    <w:bookmarkEnd w:id="95"/>
    <w:bookmarkStart w:id="97"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6">
        <w:r>
          <w:rPr>
            <w:rStyle w:val="Hyperlink"/>
          </w:rPr>
          <w:t xml:space="preserve">https://doi.org/10.1016/S0273-1223(99)00538-7</w:t>
        </w:r>
      </w:hyperlink>
    </w:p>
    <w:bookmarkEnd w:id="97"/>
    <w:bookmarkStart w:id="99"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8">
        <w:r>
          <w:rPr>
            <w:rStyle w:val="Hyperlink"/>
          </w:rPr>
          <w:t xml:space="preserve">https://doi.org/10.1016/j.watres.2006.10.012</w:t>
        </w:r>
      </w:hyperlink>
    </w:p>
    <w:bookmarkEnd w:id="99"/>
    <w:bookmarkStart w:id="101" w:name="ref-izaguirre2004a"/>
    <w:p>
      <w:pPr>
        <w:pStyle w:val="Bibliography"/>
      </w:pPr>
      <w:r>
        <w:t xml:space="preserve">Izaguirre, G., Taylor, W.D., 2004. A guide to geosmin- and MIB-producing cyanobacteria in the united states. Water Science and Technology 49, 19–24.</w:t>
      </w:r>
      <w:r>
        <w:t xml:space="preserve"> </w:t>
      </w:r>
      <w:hyperlink r:id="rId100">
        <w:r>
          <w:rPr>
            <w:rStyle w:val="Hyperlink"/>
          </w:rPr>
          <w:t xml:space="preserve">https://doi.org/10.2166/wst.2004.0524</w:t>
        </w:r>
      </w:hyperlink>
    </w:p>
    <w:bookmarkEnd w:id="101"/>
    <w:bookmarkStart w:id="103"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2">
        <w:r>
          <w:rPr>
            <w:rStyle w:val="Hyperlink"/>
          </w:rPr>
          <w:t xml:space="preserve">https://doi.org/10.1016/j.hal.2019.101658</w:t>
        </w:r>
      </w:hyperlink>
    </w:p>
    <w:bookmarkEnd w:id="103"/>
    <w:bookmarkStart w:id="105"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4">
        <w:r>
          <w:rPr>
            <w:rStyle w:val="Hyperlink"/>
          </w:rPr>
          <w:t xml:space="preserve">https://doi.org/10.1016/j.ecolmodel.2023.110475</w:t>
        </w:r>
      </w:hyperlink>
    </w:p>
    <w:bookmarkEnd w:id="105"/>
    <w:bookmarkStart w:id="106"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06"/>
    <w:bookmarkStart w:id="107" w:name="ref-komarek1998cyanoprokaryota"/>
    <w:p>
      <w:pPr>
        <w:pStyle w:val="Bibliography"/>
      </w:pPr>
      <w:r>
        <w:t xml:space="preserve">Komárek, J., Anagnostidis, K., 1998. Cyanoprokaryota 1, Susswasserflora Von Mitteleuropa. Deu.</w:t>
      </w:r>
    </w:p>
    <w:bookmarkEnd w:id="107"/>
    <w:bookmarkStart w:id="109"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8">
        <w:r>
          <w:rPr>
            <w:rStyle w:val="Hyperlink"/>
          </w:rPr>
          <w:t xml:space="preserve">https://doi.org/10.1073/pnas.0802312105</w:t>
        </w:r>
      </w:hyperlink>
    </w:p>
    <w:bookmarkEnd w:id="109"/>
    <w:bookmarkStart w:id="111" w:name="ref-lawsonkeister2021jamming"/>
    <w:p>
      <w:pPr>
        <w:pStyle w:val="Bibliography"/>
      </w:pPr>
      <w:r>
        <w:t xml:space="preserve">Lawson-Keister, E., Manning, M.L., 2021. Jamming and arrest of cell motion in biological tissues. Current Opinion in Cell Biology 72, 146–155.</w:t>
      </w:r>
      <w:r>
        <w:t xml:space="preserve"> </w:t>
      </w:r>
      <w:hyperlink r:id="rId110">
        <w:r>
          <w:rPr>
            <w:rStyle w:val="Hyperlink"/>
          </w:rPr>
          <w:t xml:space="preserve">https://doi.org/10.1016/j.ceb.2021.07.011</w:t>
        </w:r>
      </w:hyperlink>
    </w:p>
    <w:bookmarkEnd w:id="111"/>
    <w:bookmarkStart w:id="113"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2">
        <w:r>
          <w:rPr>
            <w:rStyle w:val="Hyperlink"/>
          </w:rPr>
          <w:t xml:space="preserve">https://doi.org/10.1016/j.envpol.2021.118594</w:t>
        </w:r>
      </w:hyperlink>
    </w:p>
    <w:bookmarkEnd w:id="113"/>
    <w:bookmarkStart w:id="115"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14">
        <w:r>
          <w:rPr>
            <w:rStyle w:val="Hyperlink"/>
          </w:rPr>
          <w:t xml:space="preserve">https://doi.org/10.1016/j.watres.2019.06.066</w:t>
        </w:r>
      </w:hyperlink>
    </w:p>
    <w:bookmarkEnd w:id="115"/>
    <w:bookmarkStart w:id="117"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16">
        <w:r>
          <w:rPr>
            <w:rStyle w:val="Hyperlink"/>
          </w:rPr>
          <w:t xml:space="preserve">https://doi.org/10.1016/j.hal.2010.03.003</w:t>
        </w:r>
      </w:hyperlink>
    </w:p>
    <w:bookmarkEnd w:id="117"/>
    <w:bookmarkStart w:id="119"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18">
        <w:r>
          <w:rPr>
            <w:rStyle w:val="Hyperlink"/>
          </w:rPr>
          <w:t xml:space="preserve">https://doi.org/10.1081/ese-200048262</w:t>
        </w:r>
      </w:hyperlink>
    </w:p>
    <w:bookmarkEnd w:id="119"/>
    <w:bookmarkStart w:id="121"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20">
        <w:r>
          <w:rPr>
            <w:rStyle w:val="Hyperlink"/>
          </w:rPr>
          <w:t xml:space="preserve">https://doi.org/10.1016/j.watres.2019.04.004</w:t>
        </w:r>
      </w:hyperlink>
    </w:p>
    <w:bookmarkEnd w:id="121"/>
    <w:bookmarkStart w:id="123" w:name="ref-liu2007overview"/>
    <w:p>
      <w:pPr>
        <w:pStyle w:val="Bibliography"/>
      </w:pPr>
      <w:r>
        <w:t xml:space="preserve">Liu, Y., 2007. Overview of some theoretical approaches for derivation of the monod equation. Applied Microbiology and Biotechnology 73, 1241–1250.</w:t>
      </w:r>
      <w:r>
        <w:t xml:space="preserve"> </w:t>
      </w:r>
      <w:hyperlink r:id="rId122">
        <w:r>
          <w:rPr>
            <w:rStyle w:val="Hyperlink"/>
          </w:rPr>
          <w:t xml:space="preserve">https://doi.org/10.1007/s00253-006-0717-7</w:t>
        </w:r>
      </w:hyperlink>
    </w:p>
    <w:bookmarkEnd w:id="123"/>
    <w:bookmarkStart w:id="125"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24">
        <w:r>
          <w:rPr>
            <w:rStyle w:val="Hyperlink"/>
          </w:rPr>
          <w:t xml:space="preserve">https://doi.org/10.1016/j.watres.2023.120485</w:t>
        </w:r>
      </w:hyperlink>
    </w:p>
    <w:bookmarkEnd w:id="125"/>
    <w:bookmarkStart w:id="127"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6">
        <w:r>
          <w:rPr>
            <w:rStyle w:val="Hyperlink"/>
          </w:rPr>
          <w:t xml:space="preserve">https://doi.org/10.1016/j.watres.2022.118670</w:t>
        </w:r>
      </w:hyperlink>
    </w:p>
    <w:bookmarkEnd w:id="127"/>
    <w:bookmarkStart w:id="129" w:name="ref-lv2015stability"/>
    <w:p>
      <w:pPr>
        <w:pStyle w:val="Bibliography"/>
      </w:pPr>
      <w:r>
        <w:t xml:space="preserve">Lv, J., Wang, K., Jiao, J., 2015. Stability of stochastic richards growth model. Applied Mathematical Modelling 39, 4821–4827.</w:t>
      </w:r>
      <w:r>
        <w:t xml:space="preserve"> </w:t>
      </w:r>
      <w:hyperlink r:id="rId128">
        <w:r>
          <w:rPr>
            <w:rStyle w:val="Hyperlink"/>
          </w:rPr>
          <w:t xml:space="preserve">https://doi.org/10.1016/j.apm.2015.04.016</w:t>
        </w:r>
      </w:hyperlink>
    </w:p>
    <w:bookmarkEnd w:id="129"/>
    <w:bookmarkStart w:id="131" w:name="ref-monod1949the"/>
    <w:p>
      <w:pPr>
        <w:pStyle w:val="Bibliography"/>
      </w:pPr>
      <w:r>
        <w:t xml:space="preserve">Monod, J., 1949. THE GROWTH OF BACTERIAL CULTURES. Annual Review of Microbiology 3, 371–394.</w:t>
      </w:r>
      <w:r>
        <w:t xml:space="preserve"> </w:t>
      </w:r>
      <w:hyperlink r:id="rId130">
        <w:r>
          <w:rPr>
            <w:rStyle w:val="Hyperlink"/>
          </w:rPr>
          <w:t xml:space="preserve">https://doi.org/10.1146/annurev.mi.03.100149.002103</w:t>
        </w:r>
      </w:hyperlink>
    </w:p>
    <w:bookmarkEnd w:id="131"/>
    <w:bookmarkStart w:id="133"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32">
        <w:r>
          <w:rPr>
            <w:rStyle w:val="Hyperlink"/>
          </w:rPr>
          <w:t xml:space="preserve">https://doi.org/10.1111/are.15568</w:t>
        </w:r>
      </w:hyperlink>
    </w:p>
    <w:bookmarkEnd w:id="133"/>
    <w:bookmarkStart w:id="135"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34">
        <w:r>
          <w:rPr>
            <w:rStyle w:val="Hyperlink"/>
          </w:rPr>
          <w:t xml:space="preserve">https://doi.org/10.1111/gtc.12461</w:t>
        </w:r>
      </w:hyperlink>
    </w:p>
    <w:bookmarkEnd w:id="135"/>
    <w:bookmarkStart w:id="137"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36">
        <w:r>
          <w:rPr>
            <w:rStyle w:val="Hyperlink"/>
          </w:rPr>
          <w:t xml:space="preserve">https://doi.org/10.4014/jmb.1702.02069</w:t>
        </w:r>
      </w:hyperlink>
    </w:p>
    <w:bookmarkEnd w:id="137"/>
    <w:bookmarkStart w:id="139"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38">
        <w:r>
          <w:rPr>
            <w:rStyle w:val="Hyperlink"/>
          </w:rPr>
          <w:t xml:space="preserve">https://doi.org/10.1038/s41467-018-05388-x</w:t>
        </w:r>
      </w:hyperlink>
    </w:p>
    <w:bookmarkEnd w:id="139"/>
    <w:bookmarkStart w:id="141" w:name="ref-peleg1998reinterpretation"/>
    <w:p>
      <w:pPr>
        <w:pStyle w:val="Bibliography"/>
      </w:pPr>
      <w:r>
        <w:t xml:space="preserve">Peleg, M., Cole, M.B., 1998. Reinterpretation of microbial survival curves. Critical Reviews in Food Science and Nutrition 38, 353–380.</w:t>
      </w:r>
      <w:r>
        <w:t xml:space="preserve"> </w:t>
      </w:r>
      <w:hyperlink r:id="rId140">
        <w:r>
          <w:rPr>
            <w:rStyle w:val="Hyperlink"/>
          </w:rPr>
          <w:t xml:space="preserve">https://doi.org/10.1080/10408699891274246</w:t>
        </w:r>
      </w:hyperlink>
    </w:p>
    <w:bookmarkEnd w:id="141"/>
    <w:bookmarkStart w:id="143"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42">
        <w:r>
          <w:rPr>
            <w:rStyle w:val="Hyperlink"/>
          </w:rPr>
          <w:t xml:space="preserve">https://doi.org/10.1080/10408398.2011.570463</w:t>
        </w:r>
      </w:hyperlink>
    </w:p>
    <w:bookmarkEnd w:id="143"/>
    <w:bookmarkStart w:id="145"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44">
        <w:r>
          <w:rPr>
            <w:rStyle w:val="Hyperlink"/>
          </w:rPr>
          <w:t xml:space="preserve">https://doi.org/10.1016/j.jenvman.2019.04.123</w:t>
        </w:r>
      </w:hyperlink>
    </w:p>
    <w:bookmarkEnd w:id="145"/>
    <w:bookmarkStart w:id="147"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46">
        <w:r>
          <w:rPr>
            <w:rStyle w:val="Hyperlink"/>
          </w:rPr>
          <w:t xml:space="preserve">https://doi.org/10.1007/s11356-020-07896-0</w:t>
        </w:r>
      </w:hyperlink>
    </w:p>
    <w:bookmarkEnd w:id="147"/>
    <w:bookmarkStart w:id="149"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48">
        <w:r>
          <w:rPr>
            <w:rStyle w:val="Hyperlink"/>
          </w:rPr>
          <w:t xml:space="preserve">https://doi.org/10.1016/0273-1223(95)00472-y</w:t>
        </w:r>
      </w:hyperlink>
    </w:p>
    <w:bookmarkEnd w:id="149"/>
    <w:bookmarkStart w:id="151"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50">
        <w:r>
          <w:rPr>
            <w:rStyle w:val="Hyperlink"/>
          </w:rPr>
          <w:t xml:space="preserve">https://doi.org/10.1186/s12302-018-0175-8</w:t>
        </w:r>
      </w:hyperlink>
    </w:p>
    <w:bookmarkEnd w:id="151"/>
    <w:bookmarkStart w:id="153"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52">
        <w:r>
          <w:rPr>
            <w:rStyle w:val="Hyperlink"/>
          </w:rPr>
          <w:t xml:space="preserve">https://doi.org/10.1002/jcp.1041070111</w:t>
        </w:r>
      </w:hyperlink>
    </w:p>
    <w:bookmarkEnd w:id="153"/>
    <w:bookmarkStart w:id="154"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54"/>
    <w:bookmarkStart w:id="156"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55">
        <w:r>
          <w:rPr>
            <w:rStyle w:val="Hyperlink"/>
          </w:rPr>
          <w:t xml:space="preserve">https://doi.org/10.1007/s11356-023-27506-z</w:t>
        </w:r>
      </w:hyperlink>
    </w:p>
    <w:bookmarkEnd w:id="156"/>
    <w:bookmarkStart w:id="158"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57">
        <w:r>
          <w:rPr>
            <w:rStyle w:val="Hyperlink"/>
          </w:rPr>
          <w:t xml:space="preserve">https://doi.org/J.scitotenv.2018.08.307</w:t>
        </w:r>
      </w:hyperlink>
    </w:p>
    <w:bookmarkEnd w:id="158"/>
    <w:bookmarkStart w:id="160"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59">
        <w:r>
          <w:rPr>
            <w:rStyle w:val="Hyperlink"/>
          </w:rPr>
          <w:t xml:space="preserve">https://doi.org/10.1016/j.jes.2021.03.026</w:t>
        </w:r>
      </w:hyperlink>
    </w:p>
    <w:bookmarkEnd w:id="160"/>
    <w:bookmarkStart w:id="162"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61">
        <w:r>
          <w:rPr>
            <w:rStyle w:val="Hyperlink"/>
          </w:rPr>
          <w:t xml:space="preserve">https://doi.org/10.1016/j.watres.2014.09.038</w:t>
        </w:r>
      </w:hyperlink>
    </w:p>
    <w:bookmarkEnd w:id="162"/>
    <w:bookmarkStart w:id="164"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63">
        <w:r>
          <w:rPr>
            <w:rStyle w:val="Hyperlink"/>
          </w:rPr>
          <w:t xml:space="preserve">https://doi.org/10.1038/s41545-022-00181-2</w:t>
        </w:r>
      </w:hyperlink>
    </w:p>
    <w:bookmarkEnd w:id="164"/>
    <w:bookmarkStart w:id="166"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65">
        <w:r>
          <w:rPr>
            <w:rStyle w:val="Hyperlink"/>
          </w:rPr>
          <w:t xml:space="preserve">https://doi.org/10.1016/s0273-1223(99)00531-4</w:t>
        </w:r>
      </w:hyperlink>
    </w:p>
    <w:bookmarkEnd w:id="166"/>
    <w:bookmarkStart w:id="168"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67">
        <w:r>
          <w:rPr>
            <w:rStyle w:val="Hyperlink"/>
          </w:rPr>
          <w:t xml:space="preserve">https://doi.org/10.1016/j.watres.2014.09.037</w:t>
        </w:r>
      </w:hyperlink>
    </w:p>
    <w:bookmarkEnd w:id="168"/>
    <w:bookmarkStart w:id="170"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69">
        <w:r>
          <w:rPr>
            <w:rStyle w:val="Hyperlink"/>
          </w:rPr>
          <w:t xml:space="preserve">https://doi.org/10.1139/f76-004</w:t>
        </w:r>
      </w:hyperlink>
    </w:p>
    <w:bookmarkEnd w:id="170"/>
    <w:bookmarkStart w:id="172"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71">
        <w:r>
          <w:rPr>
            <w:rStyle w:val="Hyperlink"/>
          </w:rPr>
          <w:t xml:space="preserve">https://doi.org/10.1371/journal.pone.0178691</w:t>
        </w:r>
      </w:hyperlink>
    </w:p>
    <w:bookmarkEnd w:id="172"/>
    <w:bookmarkStart w:id="173"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73"/>
    <w:bookmarkStart w:id="175"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74">
        <w:r>
          <w:rPr>
            <w:rStyle w:val="Hyperlink"/>
          </w:rPr>
          <w:t xml:space="preserve">https://doi.org/10.1016/0273-1223(95)00473-Z</w:t>
        </w:r>
      </w:hyperlink>
    </w:p>
    <w:bookmarkEnd w:id="175"/>
    <w:bookmarkStart w:id="177"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76">
        <w:r>
          <w:rPr>
            <w:rStyle w:val="Hyperlink"/>
          </w:rPr>
          <w:t xml:space="preserve">https://doi.org/10.1021/acsestwater.3c00477</w:t>
        </w:r>
      </w:hyperlink>
    </w:p>
    <w:bookmarkEnd w:id="177"/>
    <w:bookmarkStart w:id="179"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78">
        <w:r>
          <w:rPr>
            <w:rStyle w:val="Hyperlink"/>
          </w:rPr>
          <w:t xml:space="preserve">https://doi.org/10.1016/j.ecoenv.2024.116198</w:t>
        </w:r>
      </w:hyperlink>
    </w:p>
    <w:bookmarkEnd w:id="179"/>
    <w:bookmarkStart w:id="181"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80">
        <w:r>
          <w:rPr>
            <w:rStyle w:val="Hyperlink"/>
          </w:rPr>
          <w:t xml:space="preserve">https://doi.org/10.1016/j.watres.2019.114864</w:t>
        </w:r>
      </w:hyperlink>
    </w:p>
    <w:bookmarkEnd w:id="181"/>
    <w:bookmarkStart w:id="183"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82">
        <w:r>
          <w:rPr>
            <w:rStyle w:val="Hyperlink"/>
          </w:rPr>
          <w:t xml:space="preserve">https://doi.org/10.1016/j.watres.2020.115574</w:t>
        </w:r>
      </w:hyperlink>
    </w:p>
    <w:bookmarkEnd w:id="183"/>
    <w:bookmarkStart w:id="185"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84">
        <w:r>
          <w:rPr>
            <w:rStyle w:val="Hyperlink"/>
          </w:rPr>
          <w:t xml:space="preserve">https://doi.org/10.1016/j.jtbi.2023.111645</w:t>
        </w:r>
      </w:hyperlink>
    </w:p>
    <w:bookmarkEnd w:id="185"/>
    <w:bookmarkStart w:id="187"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86">
        <w:r>
          <w:rPr>
            <w:rStyle w:val="Hyperlink"/>
          </w:rPr>
          <w:t xml:space="preserve">https://doi.org/10.1016/j.bse.2014.12.013</w:t>
        </w:r>
      </w:hyperlink>
    </w:p>
    <w:bookmarkEnd w:id="187"/>
    <w:bookmarkStart w:id="189"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88">
        <w:r>
          <w:rPr>
            <w:rStyle w:val="Hyperlink"/>
          </w:rPr>
          <w:t xml:space="preserve">https://doi.org/10.1371/journal.pone.0018665</w:t>
        </w:r>
      </w:hyperlink>
    </w:p>
    <w:bookmarkEnd w:id="189"/>
    <w:bookmarkStart w:id="190"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90"/>
    <w:bookmarkStart w:id="192"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91">
        <w:r>
          <w:rPr>
            <w:rStyle w:val="Hyperlink"/>
          </w:rPr>
          <w:t xml:space="preserve">https://doi.org/10.1007/bf00408253</w:t>
        </w:r>
      </w:hyperlink>
    </w:p>
    <w:bookmarkEnd w:id="192"/>
    <w:bookmarkStart w:id="194"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93">
        <w:r>
          <w:rPr>
            <w:rStyle w:val="Hyperlink"/>
          </w:rPr>
          <w:t xml:space="preserve">https://doi.org/10.1016/j.chemosphere.2018.11.121</w:t>
        </w:r>
      </w:hyperlink>
    </w:p>
    <w:bookmarkEnd w:id="194"/>
    <w:bookmarkStart w:id="196"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95">
        <w:r>
          <w:rPr>
            <w:rStyle w:val="Hyperlink"/>
          </w:rPr>
          <w:t xml:space="preserve">https://doi.org/10.1073/pnas.1422108112</w:t>
        </w:r>
      </w:hyperlink>
    </w:p>
    <w:bookmarkEnd w:id="196"/>
    <w:bookmarkStart w:id="198"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97">
        <w:r>
          <w:rPr>
            <w:rStyle w:val="Hyperlink"/>
          </w:rPr>
          <w:t xml:space="preserve">https://doi.org/10.1038/s41556-024-01415-w</w:t>
        </w:r>
      </w:hyperlink>
    </w:p>
    <w:bookmarkEnd w:id="198"/>
    <w:bookmarkStart w:id="200"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99">
        <w:r>
          <w:rPr>
            <w:rStyle w:val="Hyperlink"/>
          </w:rPr>
          <w:t xml:space="preserve">https://doi.org/10.1007/s11356-019-06188-6</w:t>
        </w:r>
      </w:hyperlink>
    </w:p>
    <w:bookmarkEnd w:id="200"/>
    <w:bookmarkStart w:id="20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01">
        <w:r>
          <w:rPr>
            <w:rStyle w:val="Hyperlink"/>
          </w:rPr>
          <w:t xml:space="preserve">https://doi.org/10.1007/s10811-008-9363-z</w:t>
        </w:r>
      </w:hyperlink>
    </w:p>
    <w:bookmarkEnd w:id="202"/>
    <w:bookmarkStart w:id="20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03">
        <w:r>
          <w:rPr>
            <w:rStyle w:val="Hyperlink"/>
          </w:rPr>
          <w:t xml:space="preserve">https://doi.org/10.1007/s10811-016-0864-x</w:t>
        </w:r>
      </w:hyperlink>
    </w:p>
    <w:bookmarkEnd w:id="204"/>
    <w:bookmarkStart w:id="20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05">
        <w:r>
          <w:rPr>
            <w:rStyle w:val="Hyperlink"/>
          </w:rPr>
          <w:t xml:space="preserve">https://doi.org/10.1046/j.1529-8817.1999.3561422.x</w:t>
        </w:r>
      </w:hyperlink>
    </w:p>
    <w:bookmarkEnd w:id="206"/>
    <w:bookmarkEnd w:id="207"/>
    <w:bookmarkEnd w:id="208"/>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33" Target="media/rId33.png" /><Relationship Type="http://schemas.openxmlformats.org/officeDocument/2006/relationships/hyperlink" Id="rId85" Target="https://doi.org/10.1002/anie.200702496" TargetMode="External" /><Relationship Type="http://schemas.openxmlformats.org/officeDocument/2006/relationships/hyperlink" Id="rId152" Target="https://doi.org/10.1002/jcp.1041070111" TargetMode="External" /><Relationship Type="http://schemas.openxmlformats.org/officeDocument/2006/relationships/hyperlink" Id="rId191" Target="https://doi.org/10.1007/bf00408253" TargetMode="External" /><Relationship Type="http://schemas.openxmlformats.org/officeDocument/2006/relationships/hyperlink" Id="rId122" Target="https://doi.org/10.1007/s00253-006-0717-7" TargetMode="External" /><Relationship Type="http://schemas.openxmlformats.org/officeDocument/2006/relationships/hyperlink" Id="rId201" Target="https://doi.org/10.1007/s10811-008-9363-z" TargetMode="External" /><Relationship Type="http://schemas.openxmlformats.org/officeDocument/2006/relationships/hyperlink" Id="rId203" Target="https://doi.org/10.1007/s10811-016-0864-x" TargetMode="External" /><Relationship Type="http://schemas.openxmlformats.org/officeDocument/2006/relationships/hyperlink" Id="rId65" Target="https://doi.org/10.1007/s10811-017-1233-0" TargetMode="External" /><Relationship Type="http://schemas.openxmlformats.org/officeDocument/2006/relationships/hyperlink" Id="rId199" Target="https://doi.org/10.1007/s11356-019-06188-6" TargetMode="External" /><Relationship Type="http://schemas.openxmlformats.org/officeDocument/2006/relationships/hyperlink" Id="rId146" Target="https://doi.org/10.1007/s11356-020-07896-0" TargetMode="External" /><Relationship Type="http://schemas.openxmlformats.org/officeDocument/2006/relationships/hyperlink" Id="rId155" Target="https://doi.org/10.1007/s11356-023-27506-z" TargetMode="External" /><Relationship Type="http://schemas.openxmlformats.org/officeDocument/2006/relationships/hyperlink" Id="rId148" Target="https://doi.org/10.1016/0273-1223(95)00472-y" TargetMode="External" /><Relationship Type="http://schemas.openxmlformats.org/officeDocument/2006/relationships/hyperlink" Id="rId174"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8"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86" Target="https://doi.org/10.1016/j.bse.2014.12.013" TargetMode="External" /><Relationship Type="http://schemas.openxmlformats.org/officeDocument/2006/relationships/hyperlink" Id="rId110" Target="https://doi.org/10.1016/j.ceb.2021.07.011" TargetMode="External" /><Relationship Type="http://schemas.openxmlformats.org/officeDocument/2006/relationships/hyperlink" Id="rId193" Target="https://doi.org/10.1016/j.chemosphere.2018.11.121" TargetMode="External" /><Relationship Type="http://schemas.openxmlformats.org/officeDocument/2006/relationships/hyperlink" Id="rId178"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2"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16" Target="https://doi.org/10.1016/j.hal.2010.03.003" TargetMode="External" /><Relationship Type="http://schemas.openxmlformats.org/officeDocument/2006/relationships/hyperlink" Id="rId102" Target="https://doi.org/10.1016/j.hal.2019.101658" TargetMode="External" /><Relationship Type="http://schemas.openxmlformats.org/officeDocument/2006/relationships/hyperlink" Id="rId144" Target="https://doi.org/10.1016/j.jenvman.2019.04.123" TargetMode="External" /><Relationship Type="http://schemas.openxmlformats.org/officeDocument/2006/relationships/hyperlink" Id="rId159" Target="https://doi.org/10.1016/j.jes.2021.03.026" TargetMode="External" /><Relationship Type="http://schemas.openxmlformats.org/officeDocument/2006/relationships/hyperlink" Id="rId184"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167" Target="https://doi.org/10.1016/j.watres.2014.09.037" TargetMode="External" /><Relationship Type="http://schemas.openxmlformats.org/officeDocument/2006/relationships/hyperlink" Id="rId161" Target="https://doi.org/10.1016/j.watres.2014.09.038" TargetMode="External" /><Relationship Type="http://schemas.openxmlformats.org/officeDocument/2006/relationships/hyperlink" Id="rId120" Target="https://doi.org/10.1016/j.watres.2019.04.004" TargetMode="External" /><Relationship Type="http://schemas.openxmlformats.org/officeDocument/2006/relationships/hyperlink" Id="rId114" Target="https://doi.org/10.1016/j.watres.2019.06.066" TargetMode="External" /><Relationship Type="http://schemas.openxmlformats.org/officeDocument/2006/relationships/hyperlink" Id="rId180" Target="https://doi.org/10.1016/j.watres.2019.114864" TargetMode="External" /><Relationship Type="http://schemas.openxmlformats.org/officeDocument/2006/relationships/hyperlink" Id="rId182"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6"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24" Target="https://doi.org/10.1016/j.watres.2023.120485" TargetMode="External" /><Relationship Type="http://schemas.openxmlformats.org/officeDocument/2006/relationships/hyperlink" Id="rId165" Target="https://doi.org/10.1016/s0273-1223(99)00531-4" TargetMode="External" /><Relationship Type="http://schemas.openxmlformats.org/officeDocument/2006/relationships/hyperlink" Id="rId176"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8" Target="https://doi.org/10.1038/s41467-018-05388-x" TargetMode="External" /><Relationship Type="http://schemas.openxmlformats.org/officeDocument/2006/relationships/hyperlink" Id="rId67" Target="https://doi.org/10.1038/s41467-024-54175-4" TargetMode="External" /><Relationship Type="http://schemas.openxmlformats.org/officeDocument/2006/relationships/hyperlink" Id="rId163" Target="https://doi.org/10.1038/s41545-022-00181-2" TargetMode="External" /><Relationship Type="http://schemas.openxmlformats.org/officeDocument/2006/relationships/hyperlink" Id="rId197"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205" Target="https://doi.org/10.1046/j.1529-8817.1999.3561422.x" TargetMode="External" /><Relationship Type="http://schemas.openxmlformats.org/officeDocument/2006/relationships/hyperlink" Id="rId108" Target="https://doi.org/10.1073/pnas.0802312105" TargetMode="External" /><Relationship Type="http://schemas.openxmlformats.org/officeDocument/2006/relationships/hyperlink" Id="rId195" Target="https://doi.org/10.1073/pnas.1422108112" TargetMode="External" /><Relationship Type="http://schemas.openxmlformats.org/officeDocument/2006/relationships/hyperlink" Id="rId142" Target="https://doi.org/10.1080/10408398.2011.570463" TargetMode="External" /><Relationship Type="http://schemas.openxmlformats.org/officeDocument/2006/relationships/hyperlink" Id="rId140" Target="https://doi.org/10.1080/10408699891274246" TargetMode="External" /><Relationship Type="http://schemas.openxmlformats.org/officeDocument/2006/relationships/hyperlink" Id="rId118" Target="https://doi.org/10.1081/ese-200048262" TargetMode="External" /><Relationship Type="http://schemas.openxmlformats.org/officeDocument/2006/relationships/hyperlink" Id="rId132" Target="https://doi.org/10.1111/are.15568" TargetMode="External" /><Relationship Type="http://schemas.openxmlformats.org/officeDocument/2006/relationships/hyperlink" Id="rId134"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69" Target="https://doi.org/10.1139/f76-004" TargetMode="External" /><Relationship Type="http://schemas.openxmlformats.org/officeDocument/2006/relationships/hyperlink" Id="rId130" Target="https://doi.org/10.1146/annurev.mi.03.100149.002103" TargetMode="External" /><Relationship Type="http://schemas.openxmlformats.org/officeDocument/2006/relationships/hyperlink" Id="rId150" Target="https://doi.org/10.1186/s12302-018-0175-8" TargetMode="External" /><Relationship Type="http://schemas.openxmlformats.org/officeDocument/2006/relationships/hyperlink" Id="rId188" Target="https://doi.org/10.1371/journal.pone.0018665" TargetMode="External" /><Relationship Type="http://schemas.openxmlformats.org/officeDocument/2006/relationships/hyperlink" Id="rId171"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6" Target="https://doi.org/10.4014/jmb.1702.02069" TargetMode="External" /><Relationship Type="http://schemas.openxmlformats.org/officeDocument/2006/relationships/hyperlink" Id="rId157"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5" Target="https://doi.org/10.1002/anie.200702496" TargetMode="External" /><Relationship Type="http://schemas.openxmlformats.org/officeDocument/2006/relationships/hyperlink" Id="rId152" Target="https://doi.org/10.1002/jcp.1041070111" TargetMode="External" /><Relationship Type="http://schemas.openxmlformats.org/officeDocument/2006/relationships/hyperlink" Id="rId191" Target="https://doi.org/10.1007/bf00408253" TargetMode="External" /><Relationship Type="http://schemas.openxmlformats.org/officeDocument/2006/relationships/hyperlink" Id="rId122" Target="https://doi.org/10.1007/s00253-006-0717-7" TargetMode="External" /><Relationship Type="http://schemas.openxmlformats.org/officeDocument/2006/relationships/hyperlink" Id="rId201" Target="https://doi.org/10.1007/s10811-008-9363-z" TargetMode="External" /><Relationship Type="http://schemas.openxmlformats.org/officeDocument/2006/relationships/hyperlink" Id="rId203" Target="https://doi.org/10.1007/s10811-016-0864-x" TargetMode="External" /><Relationship Type="http://schemas.openxmlformats.org/officeDocument/2006/relationships/hyperlink" Id="rId65" Target="https://doi.org/10.1007/s10811-017-1233-0" TargetMode="External" /><Relationship Type="http://schemas.openxmlformats.org/officeDocument/2006/relationships/hyperlink" Id="rId199" Target="https://doi.org/10.1007/s11356-019-06188-6" TargetMode="External" /><Relationship Type="http://schemas.openxmlformats.org/officeDocument/2006/relationships/hyperlink" Id="rId146" Target="https://doi.org/10.1007/s11356-020-07896-0" TargetMode="External" /><Relationship Type="http://schemas.openxmlformats.org/officeDocument/2006/relationships/hyperlink" Id="rId155" Target="https://doi.org/10.1007/s11356-023-27506-z" TargetMode="External" /><Relationship Type="http://schemas.openxmlformats.org/officeDocument/2006/relationships/hyperlink" Id="rId148" Target="https://doi.org/10.1016/0273-1223(95)00472-y" TargetMode="External" /><Relationship Type="http://schemas.openxmlformats.org/officeDocument/2006/relationships/hyperlink" Id="rId174"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8"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86" Target="https://doi.org/10.1016/j.bse.2014.12.013" TargetMode="External" /><Relationship Type="http://schemas.openxmlformats.org/officeDocument/2006/relationships/hyperlink" Id="rId110" Target="https://doi.org/10.1016/j.ceb.2021.07.011" TargetMode="External" /><Relationship Type="http://schemas.openxmlformats.org/officeDocument/2006/relationships/hyperlink" Id="rId193" Target="https://doi.org/10.1016/j.chemosphere.2018.11.121" TargetMode="External" /><Relationship Type="http://schemas.openxmlformats.org/officeDocument/2006/relationships/hyperlink" Id="rId178"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2"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16" Target="https://doi.org/10.1016/j.hal.2010.03.003" TargetMode="External" /><Relationship Type="http://schemas.openxmlformats.org/officeDocument/2006/relationships/hyperlink" Id="rId102" Target="https://doi.org/10.1016/j.hal.2019.101658" TargetMode="External" /><Relationship Type="http://schemas.openxmlformats.org/officeDocument/2006/relationships/hyperlink" Id="rId144" Target="https://doi.org/10.1016/j.jenvman.2019.04.123" TargetMode="External" /><Relationship Type="http://schemas.openxmlformats.org/officeDocument/2006/relationships/hyperlink" Id="rId159" Target="https://doi.org/10.1016/j.jes.2021.03.026" TargetMode="External" /><Relationship Type="http://schemas.openxmlformats.org/officeDocument/2006/relationships/hyperlink" Id="rId184"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167" Target="https://doi.org/10.1016/j.watres.2014.09.037" TargetMode="External" /><Relationship Type="http://schemas.openxmlformats.org/officeDocument/2006/relationships/hyperlink" Id="rId161" Target="https://doi.org/10.1016/j.watres.2014.09.038" TargetMode="External" /><Relationship Type="http://schemas.openxmlformats.org/officeDocument/2006/relationships/hyperlink" Id="rId120" Target="https://doi.org/10.1016/j.watres.2019.04.004" TargetMode="External" /><Relationship Type="http://schemas.openxmlformats.org/officeDocument/2006/relationships/hyperlink" Id="rId114" Target="https://doi.org/10.1016/j.watres.2019.06.066" TargetMode="External" /><Relationship Type="http://schemas.openxmlformats.org/officeDocument/2006/relationships/hyperlink" Id="rId180" Target="https://doi.org/10.1016/j.watres.2019.114864" TargetMode="External" /><Relationship Type="http://schemas.openxmlformats.org/officeDocument/2006/relationships/hyperlink" Id="rId182"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6"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24" Target="https://doi.org/10.1016/j.watres.2023.120485" TargetMode="External" /><Relationship Type="http://schemas.openxmlformats.org/officeDocument/2006/relationships/hyperlink" Id="rId165" Target="https://doi.org/10.1016/s0273-1223(99)00531-4" TargetMode="External" /><Relationship Type="http://schemas.openxmlformats.org/officeDocument/2006/relationships/hyperlink" Id="rId176"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8" Target="https://doi.org/10.1038/s41467-018-05388-x" TargetMode="External" /><Relationship Type="http://schemas.openxmlformats.org/officeDocument/2006/relationships/hyperlink" Id="rId67" Target="https://doi.org/10.1038/s41467-024-54175-4" TargetMode="External" /><Relationship Type="http://schemas.openxmlformats.org/officeDocument/2006/relationships/hyperlink" Id="rId163" Target="https://doi.org/10.1038/s41545-022-00181-2" TargetMode="External" /><Relationship Type="http://schemas.openxmlformats.org/officeDocument/2006/relationships/hyperlink" Id="rId197"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205" Target="https://doi.org/10.1046/j.1529-8817.1999.3561422.x" TargetMode="External" /><Relationship Type="http://schemas.openxmlformats.org/officeDocument/2006/relationships/hyperlink" Id="rId108" Target="https://doi.org/10.1073/pnas.0802312105" TargetMode="External" /><Relationship Type="http://schemas.openxmlformats.org/officeDocument/2006/relationships/hyperlink" Id="rId195" Target="https://doi.org/10.1073/pnas.1422108112" TargetMode="External" /><Relationship Type="http://schemas.openxmlformats.org/officeDocument/2006/relationships/hyperlink" Id="rId142" Target="https://doi.org/10.1080/10408398.2011.570463" TargetMode="External" /><Relationship Type="http://schemas.openxmlformats.org/officeDocument/2006/relationships/hyperlink" Id="rId140" Target="https://doi.org/10.1080/10408699891274246" TargetMode="External" /><Relationship Type="http://schemas.openxmlformats.org/officeDocument/2006/relationships/hyperlink" Id="rId118" Target="https://doi.org/10.1081/ese-200048262" TargetMode="External" /><Relationship Type="http://schemas.openxmlformats.org/officeDocument/2006/relationships/hyperlink" Id="rId132" Target="https://doi.org/10.1111/are.15568" TargetMode="External" /><Relationship Type="http://schemas.openxmlformats.org/officeDocument/2006/relationships/hyperlink" Id="rId134"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69" Target="https://doi.org/10.1139/f76-004" TargetMode="External" /><Relationship Type="http://schemas.openxmlformats.org/officeDocument/2006/relationships/hyperlink" Id="rId130" Target="https://doi.org/10.1146/annurev.mi.03.100149.002103" TargetMode="External" /><Relationship Type="http://schemas.openxmlformats.org/officeDocument/2006/relationships/hyperlink" Id="rId150" Target="https://doi.org/10.1186/s12302-018-0175-8" TargetMode="External" /><Relationship Type="http://schemas.openxmlformats.org/officeDocument/2006/relationships/hyperlink" Id="rId188" Target="https://doi.org/10.1371/journal.pone.0018665" TargetMode="External" /><Relationship Type="http://schemas.openxmlformats.org/officeDocument/2006/relationships/hyperlink" Id="rId171"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6" Target="https://doi.org/10.4014/jmb.1702.02069" TargetMode="External" /><Relationship Type="http://schemas.openxmlformats.org/officeDocument/2006/relationships/hyperlink" Id="rId157"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2025-04-27T02:50:23Z</dcterms:created>
  <dcterms:modified xsi:type="dcterms:W3CDTF">2025-04-27T02:50:23Z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2025-04-27</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