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png" ContentType="image/png"/>
  <Override PartName="/word/media/rId43.png" ContentType="image/png"/>
  <Override PartName="/word/media/rId47.png" ContentType="image/png"/>
  <Override PartName="/word/media/rId52.png" ContentType="image/png"/>
  <Override PartName="/word/media/rId63.png" ContentType="image/png"/>
  <Override PartName="/word/media/rId57.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2025-04-29</w:t>
      </w:r>
    </w:p>
    <w:p>
      <w:pPr>
        <w:pStyle w:val="AbstractTitle"/>
      </w:pPr>
      <w:r>
        <w:t xml:space="preserve">Abstract</w:t>
      </w:r>
    </w:p>
    <w:p>
      <w:pPr>
        <w:pStyle w:val="Abstract"/>
      </w:pPr>
      <w:r>
        <w:t xml:space="preserve">2-Methylisoborneol (MIB), a secondary metabolite produced by odor-forming cyanobacteria, causes musty odors in drinking water, yet its intracellular transport and extracellular release remain poorly understood. Field surveys and laboratory cultures revealed that the ratio of dissolved to total MIB (</w:t>
      </w:r>
      <m:oMath>
        <m:r>
          <m:t>f</m:t>
        </m:r>
      </m:oMath>
      <w:r>
        <w:t xml:space="preserve"> </w:t>
      </w:r>
      <w:r>
        <w:t xml:space="preserve">= dMIB/tMIB) varies systematically during cyanobacterial growth due to cell crowding effects. We developed a model linking the growth stage (</w:t>
      </w:r>
      <m:oMath>
        <m:r>
          <m:t>S</m:t>
        </m:r>
        <m:r>
          <m:t>t</m:t>
        </m:r>
      </m:oMath>
      <w:r>
        <w:t xml:space="preserve">) of cyanobacteria to MIB distribution. During the exponential phase,</w:t>
      </w:r>
      <w:r>
        <w:t xml:space="preserve"> </w:t>
      </w:r>
      <m:oMath>
        <m:r>
          <m:t>f</m:t>
        </m:r>
      </m:oMath>
      <w:r>
        <w:t xml:space="preserve"> </w:t>
      </w:r>
      <w:r>
        <w:t xml:space="preserve">decreases and reaches a minimum at the logistic growth inflection point (</w:t>
      </w:r>
      <m:oMath>
        <m:sSub>
          <m:e>
            <m:r>
              <m:t>T</m:t>
            </m:r>
          </m:e>
          <m:sub>
            <m:r>
              <m:t>0</m:t>
            </m:r>
          </m:sub>
        </m:sSub>
      </m:oMath>
      <w:r>
        <w:t xml:space="preserve">,</w:t>
      </w:r>
      <w:r>
        <w:t xml:space="preserve"> </w:t>
      </w:r>
      <m:oMath>
        <m:r>
          <m:t>S</m:t>
        </m:r>
        <m:r>
          <m:t>t</m:t>
        </m:r>
      </m:oMath>
      <w:r>
        <w:t xml:space="preserve"> </w:t>
      </w:r>
      <w:r>
        <w:t xml:space="preserve">= 0.5), after which it rises slightly due to increased extracellular release. In the stationary phase,</w:t>
      </w:r>
      <w:r>
        <w:t xml:space="preserve"> </w:t>
      </w:r>
      <m:oMath>
        <m:r>
          <m:t>f</m:t>
        </m:r>
      </m:oMath>
      <w:r>
        <w:t xml:space="preserve"> </w:t>
      </w:r>
      <w:r>
        <w:t xml:space="preserve">stabilizes between 0.4 and 0.6, mainly influenced by cell density and carrying capacity. Applying this model to Lake Taihu, we explained two odor events observed in 2022–2023, identified high-risk zones, and showed how light and temperature shifts affect</w:t>
      </w:r>
      <w:r>
        <w:t xml:space="preserve"> </w:t>
      </w:r>
      <m:oMath>
        <m:sSub>
          <m:e>
            <m:r>
              <m:t>T</m:t>
            </m:r>
          </m:e>
          <m:sub>
            <m:r>
              <m:t>0</m:t>
            </m:r>
          </m:sub>
        </m:sSub>
      </m:oMath>
      <w:r>
        <w:t xml:space="preserve"> </w:t>
      </w:r>
      <w:r>
        <w:t xml:space="preserve">and odor risk. This approach enhances understanding of cyanobacterial growth and MIB release dynamics, supports early warning of odor events, and aids water utilities in selecting appropriate algal control strategies—whether targeting extracellular MIB removal or minimizing cell lysis during treatment.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 (pMIB)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 (dMIB), and the sum of intracellular and extracellular MIB constitutes the total MIB concentration (tMIB)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decline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decline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w:t>
      </w:r>
      <m:oMath>
        <m:r>
          <m:t>r</m:t>
        </m:r>
      </m:oMath>
      <w:r>
        <w:t xml:space="preserve">) and carrying capacity (</w:t>
      </w:r>
      <m:oMath>
        <m:r>
          <m:t>K</m:t>
        </m:r>
      </m:oMath>
      <w:r>
        <w:t xml:space="preserve">),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w:t>
      </w:r>
      <m:oMath>
        <m:r>
          <m:t>f</m:t>
        </m:r>
        <m:r>
          <m:rPr>
            <m:sty m:val="p"/>
          </m:rPr>
          <m:t>=</m:t>
        </m:r>
        <m:r>
          <m:rPr>
            <m:nor/>
            <m:sty m:val="p"/>
          </m:rPr>
          <m:t>dMIB</m:t>
        </m:r>
        <m:r>
          <m:rPr>
            <m:sty m:val="p"/>
          </m:rPr>
          <m:t>/</m:t>
        </m:r>
        <m:r>
          <m:rPr>
            <m:nor/>
            <m:sty m:val="p"/>
          </m:rPr>
          <m:t>tMIB</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1"/>
    <w:bookmarkStart w:id="32"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S2). With an average depth of approximately 2 m and well-mixed conditions, approximately 2 liters of surface water samples were collected from 0.5 m below the water surface using a Kemmerer water sampler.</w:t>
      </w:r>
    </w:p>
    <w:bookmarkEnd w:id="22"/>
    <w:bookmarkStart w:id="23" w:name="X96ecfbfd371e4355c0a5c4e560a56cc6f5e463d"/>
    <w:p>
      <w:pPr>
        <w:pStyle w:val="Heading2"/>
      </w:pPr>
      <w:r>
        <w:t xml:space="preserve">Phytoplankton identification and physico-chemical analysis</w:t>
      </w:r>
    </w:p>
    <w:tbl>
      <w:tblPr>
        <w:tblStyle w:val="Table"/>
        <w:tblLook w:firstRow="0" w:lastRow="0" w:firstColumn="0" w:lastColumn="0" w:noHBand="0" w:noVBand="0" w:val="0000"/>
        <w:tblBorders>
          <w:left w:val="single" w:sz="24" w:space="0" w:color="909090"/>
        </w:tblBorders>
        <w:tblCellMar>
          <w:left w:w="0" w:type="dxa"/>
          <w:right w:w="0" w:type="dxa"/>
        </w:tblCellMar>
        <w:tblInd w:w="164" w:type="dxa"/>
      </w:tblPr>
      <w:tr>
        <w:trPr>
          <w:cantSplit/>
        </w:trPr>
        <w:tc>
          <w:tcPr>
            <w:tcMar>
              <w:left w:w="144" w:type="dxa"/>
            </w:tcMar>
          </w:tcPr>
          <w:p>
            <w:pPr>
              <w:pStyle w:val="FirstParagraph"/>
            </w:pPr>
            <w:pPr>
              <w:spacing w:before="16" w:after="64"/>
            </w:pPr>
            <w:r>
              <w:rPr>
                <w:rFonts w:hint="eastAsia"/>
                <w:b/>
                <w:bCs/>
              </w:rPr>
              <w:t xml:space="preserve">文献</w:t>
            </w:r>
          </w:p>
          <w:p>
            <w:pPr>
              <w:pStyle w:val="BodyText"/>
            </w:pPr>
            <w:pPr>
              <w:spacing w:before="16" w:after="16"/>
            </w:pPr>
            <w:r>
              <w:rPr>
                <w:rFonts w:hint="eastAsia"/>
              </w:rPr>
              <w:t xml:space="preserve">解决文献</w:t>
            </w:r>
          </w:p>
        </w:tc>
      </w:tr>
    </w:tbl>
    <w:p>
      <w:pPr>
        <w:pStyle w:val="BodyText"/>
      </w:pPr>
      <w:r>
        <w:t xml:space="preserve">Subsamples (1000 mL) for cell counting were preserved with 5% Lugol’s iodine solution</w:t>
      </w:r>
      <w:r>
        <w:t xml:space="preserve"> </w:t>
      </w:r>
      <w:r>
        <w:t xml:space="preserve">(Sherr and Sherr, 1993)</w:t>
      </w:r>
      <w:r>
        <w:t xml:space="preserve"> </w:t>
      </w:r>
      <w:r>
        <w:t xml:space="preserve">and allowed to settle for 48 hours. The samples were then pre-concentrated 20-fold and stored in the dark until cell enumeration. Cyanobacterial species were identified according to</w:t>
      </w:r>
      <w:r>
        <w:t xml:space="preserve"> </w:t>
      </w:r>
      <w:r>
        <w:t xml:space="preserve">(Komárek and Anagnostidis, 1998)</w:t>
      </w:r>
      <w:r>
        <w:t xml:space="preserve">, with revisions based on</w:t>
      </w:r>
      <w:r>
        <w:t xml:space="preserve"> </w:t>
      </w:r>
      <w:r>
        <w:t xml:space="preserve">(Komarek et al., 2014)</w:t>
      </w:r>
      <w:r>
        <w:t xml:space="preserve">. Phytoplankton identification and enumeration were performed using an upright microscope (Olympus BX53, Japan) following the protocol established by</w:t>
      </w:r>
      <w:r>
        <w:t xml:space="preserve"> </w:t>
      </w:r>
      <w:r>
        <w:t xml:space="preserve">(Utermöhl, 1958)</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t xml:space="preserve"> </w:t>
      </w:r>
      <w:r>
        <w:t xml:space="preserve">(Li et al., 2010)</w:t>
      </w:r>
      <w:r>
        <w:t xml:space="preserve">, and analysis was conducted within 72 hours using solid-phase microextraction (SPME) coupled with gas chromatography-mass spectrometry (GC-MS) (Agilent 6890/5975, Agilent Tech., USA) following the procedures established by</w:t>
      </w:r>
      <w:r>
        <w:t xml:space="preserve"> </w:t>
      </w:r>
      <w:r>
        <w:t xml:space="preserve">(Liang et al., 2005)</w:t>
      </w:r>
      <w:r>
        <w:t xml:space="preserve"> </w:t>
      </w:r>
      <w:r>
        <w:t xml:space="preserve">and previous studies</w:t>
      </w:r>
      <w:r>
        <w:t xml:space="preserve"> </w:t>
      </w:r>
      <w:r>
        <w:t xml:space="preserve">(Su et al., 2015)</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8"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4"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4"/>
    </w:p>
    <w:p>
      <w:pPr>
        <w:pStyle w:val="FirstParagraph"/>
      </w:pPr>
      <w:bookmarkStart w:id="25"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5"/>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t xml:space="preserve"> </w:t>
      </w:r>
      <w:r>
        <w:t xml:space="preserve">(Karim et al., 2023; Peleg and Cole, 1998)</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w:t>
      </w:r>
      <w:r>
        <w:t xml:space="preserve"> </w:t>
      </w:r>
      <m:oMath>
        <m:r>
          <m:t>f</m:t>
        </m:r>
      </m:oMath>
      <w:r>
        <w:t xml:space="preserve"> </w:t>
      </w:r>
      <w:r>
        <w:t xml:space="preserve">(dMIB/tMIB) serves as an odor index, reflecting both the proportion of dissolved MIB in total MIB and the relative abundance of cells at different growth stages. To characterize the temporal variation of dMIB and tMIB produced by</w:t>
      </w:r>
      <w:r>
        <w:t xml:space="preserve"> </w:t>
      </w:r>
      <w:r>
        <w:rPr>
          <w:i/>
          <w:iCs/>
        </w:rPr>
        <w:t xml:space="preserve">Pseudanabaena</w:t>
      </w:r>
      <w:r>
        <w:t xml:space="preserve"> </w:t>
      </w:r>
      <w:r>
        <w:t xml:space="preserve">during cultivation, a time-dependent model for</w:t>
      </w:r>
      <w:r>
        <w:t xml:space="preserve"> </w:t>
      </w:r>
      <m:oMath>
        <m:r>
          <m:t>f</m:t>
        </m:r>
      </m:oMath>
      <w:r>
        <w:t xml:space="preserve"> </w:t>
      </w:r>
      <w:r>
        <w:t xml:space="preserve">was constructed. Since dMIB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changes in the carrying capacity were used to express the variation in</w:t>
      </w:r>
      <w:r>
        <w:t xml:space="preserve"> </w:t>
      </w:r>
      <m:oMath>
        <m:r>
          <m:t>f</m:t>
        </m:r>
      </m:oMath>
      <w:r>
        <w:t xml:space="preserve"> </w:t>
      </w:r>
      <w:r>
        <w:t xml:space="preserve">(</w:t>
      </w:r>
      <w:hyperlink w:anchor="eq-f1">
        <w:r>
          <w:rPr>
            <w:rStyle w:val="Hyperlink"/>
          </w:rPr>
          <w:t xml:space="preserve">Eq. 3</w:t>
        </w:r>
      </w:hyperlink>
      <w:r>
        <w:t xml:space="preserve">). When the cell density approached</w:t>
      </w:r>
      <w:r>
        <w:t xml:space="preserve"> </w:t>
      </w:r>
      <m:oMath>
        <m:r>
          <m:t>K</m:t>
        </m:r>
      </m:oMath>
      <w:r>
        <w:t xml:space="preserve"> </w:t>
      </w:r>
      <w:r>
        <w:t xml:space="preserve">(greater than 80% of</w:t>
      </w:r>
      <w:r>
        <w:t xml:space="preserve"> </w:t>
      </w:r>
      <m:oMath>
        <m:r>
          <m:t>K</m:t>
        </m:r>
      </m:oMath>
      <w:r>
        <w:t xml:space="preserve">), the remaining carrying capacity was used instead (</w:t>
      </w:r>
      <w:hyperlink w:anchor="eq-f2">
        <w:r>
          <w:rPr>
            <w:rStyle w:val="Hyperlink"/>
          </w:rPr>
          <w:t xml:space="preserve">Eq. 4</w:t>
        </w:r>
      </w:hyperlink>
      <w:r>
        <w:t xml:space="preserve">).</w:t>
      </w:r>
    </w:p>
    <w:p>
      <w:pPr>
        <w:pStyle w:val="BodyText"/>
      </w:pPr>
      <w:bookmarkStart w:id="26"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6"/>
    </w:p>
    <w:p>
      <w:pPr>
        <w:pStyle w:val="FirstParagraph"/>
      </w:pPr>
      <w:bookmarkStart w:id="27"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7"/>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28"/>
    <w:bookmarkStart w:id="30"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w:t>
      </w:r>
      <w:r>
        <w:t xml:space="preserve"> </w:t>
      </w:r>
      <m:oMath>
        <m:r>
          <m:t>S</m:t>
        </m:r>
        <m:r>
          <m:t>t</m:t>
        </m:r>
      </m:oMath>
      <w:r>
        <w:t xml:space="preserve"> </w:t>
      </w:r>
      <w:r>
        <w:t xml:space="preserve">values with observed tMIB concentrations from field monitoring, a frequency distribution histogram of</w:t>
      </w:r>
      <w:r>
        <w:t xml:space="preserve"> </w:t>
      </w:r>
      <m:oMath>
        <m:r>
          <m:t>S</m:t>
        </m:r>
        <m:r>
          <m:t>t</m:t>
        </m:r>
      </m:oMath>
      <w:r>
        <w:t xml:space="preserve"> </w:t>
      </w:r>
      <w:r>
        <w:t xml:space="preserve">versus tMIB is generated (Fig. S9). This distribution characterizes the probability of various tMIB concentrations occurring at different cyanobacterial growth stages, providing a basis for assessing MIB-related odor risk.</w:t>
      </w:r>
    </w:p>
    <w:p>
      <w:pPr>
        <w:pStyle w:val="BodyText"/>
      </w:pPr>
      <w:bookmarkStart w:id="29"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29"/>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0"/>
    <w:bookmarkStart w:id="31"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1"/>
    <w:bookmarkEnd w:id="32"/>
    <w:bookmarkStart w:id="62" w:name="results"/>
    <w:p>
      <w:pPr>
        <w:pStyle w:val="Heading1"/>
      </w:pPr>
      <w:r>
        <w:t xml:space="preserve">Results</w:t>
      </w:r>
    </w:p>
    <w:bookmarkStart w:id="37"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S2).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species during the study period. During the sampling period,</w:t>
      </w:r>
      <w:r>
        <w:t xml:space="preserve"> </w:t>
      </w:r>
      <w:r>
        <w:rPr>
          <w:i/>
          <w:iCs/>
        </w:rPr>
        <w:t xml:space="preserve">Microcystis</w:t>
      </w:r>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w:r>
        <w:rPr>
          <w:i/>
          <w:iCs/>
        </w:rPr>
        <w:t xml:space="preserve">Pseudanabaena</w:t>
      </w:r>
      <w:r>
        <w:t xml:space="preserve">, as the primary MIB-producing species reached its highest relative abundance (31.0%). In contrast,</w:t>
      </w:r>
      <w:r>
        <w:t xml:space="preserve"> </w:t>
      </w:r>
      <w:r>
        <w:rPr>
          <w:i/>
          <w:iCs/>
        </w:rPr>
        <w:t xml:space="preserve">Planktothricoides</w:t>
      </w:r>
      <w:r>
        <w:t xml:space="preserve"> </w:t>
      </w:r>
      <w:r>
        <w:t xml:space="preserve">had a much lower relative abundance, accounting for only 1.4%.</w:t>
      </w:r>
    </w:p>
    <w:tbl>
      <w:tblPr>
        <w:tblStyle w:val="Table"/>
        <w:tblW w:type="pct" w:w="5000"/>
        <w:tblLayout w:type="fixed"/>
        <w:tblLook w:firstRow="0" w:lastRow="0" w:firstColumn="0" w:lastColumn="0" w:noHBand="0" w:noVBand="0" w:val="0000"/>
      </w:tblPr>
      <w:tblGrid>
        <w:gridCol w:w="7920"/>
      </w:tblGrid>
      <w:tr>
        <w:tc>
          <w:tcPr/>
          <w:bookmarkStart w:id="36" w:name="fig-taihumibalgae"/>
          <w:p>
            <w:pPr>
              <w:pStyle w:val="Compact"/>
              <w:jc w:val="center"/>
            </w:pPr>
            <w:r>
              <w:drawing>
                <wp:inline>
                  <wp:extent cx="5177790" cy="4474633"/>
                  <wp:effectExtent b="0" l="0" r="0" t="0"/>
                  <wp:docPr descr="" title="" id="34" name="Picture"/>
                  <a:graphic>
                    <a:graphicData uri="http://schemas.openxmlformats.org/drawingml/2006/picture">
                      <pic:pic>
                        <pic:nvPicPr>
                          <pic:cNvPr descr="../figures/taihumibalgae.png" id="35" name="Picture"/>
                          <pic:cNvPicPr>
                            <a:picLocks noChangeArrowheads="1" noChangeAspect="1"/>
                          </pic:cNvPicPr>
                        </pic:nvPicPr>
                        <pic:blipFill>
                          <a:blip r:embed="rId33"/>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 tMIB concentrations in Lake Taihu throughout the year (A), clustering of tMIB concentrations in Lake Taihu (B). Temporal variation in the proportion of dMIB in different lake regions (C) and in the dominant algal species composition (D).</w:t>
            </w:r>
          </w:p>
          <w:bookmarkEnd w:id="36"/>
        </w:tc>
      </w:tr>
    </w:tbl>
    <w:bookmarkEnd w:id="37"/>
    <w:bookmarkStart w:id="42"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w:r>
        <w:rPr>
          <w:i/>
          <w:iCs/>
        </w:rPr>
        <w:t xml:space="preserve">Pseudanabaena</w:t>
      </w:r>
      <w:r>
        <w:t xml:space="preserve"> </w:t>
      </w:r>
      <w:r>
        <w:t xml:space="preserve">was significantly greater than that for</w:t>
      </w:r>
      <w:r>
        <w:t xml:space="preserve"> </w:t>
      </w:r>
      <w:r>
        <w:rPr>
          <w:i/>
          <w:iCs/>
        </w:rPr>
        <w:t xml:space="preserve">Planktothricoides</w:t>
      </w:r>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1" w:name="fig-modelconcept"/>
          <w:p>
            <w:pPr>
              <w:pStyle w:val="Compact"/>
              <w:jc w:val="center"/>
            </w:pPr>
            <w:r>
              <w:drawing>
                <wp:inline>
                  <wp:extent cx="4602480" cy="6872404"/>
                  <wp:effectExtent b="0" l="0" r="0" t="0"/>
                  <wp:docPr descr="" title="" id="39" name="Picture"/>
                  <a:graphic>
                    <a:graphicData uri="http://schemas.openxmlformats.org/drawingml/2006/picture">
                      <pic:pic>
                        <pic:nvPicPr>
                          <pic:cNvPr descr="../figures/modelconcept_revised.png" id="40" name="Picture"/>
                          <pic:cNvPicPr>
                            <a:picLocks noChangeArrowheads="1" noChangeAspect="1"/>
                          </pic:cNvPicPr>
                        </pic:nvPicPr>
                        <pic:blipFill>
                          <a:blip r:embed="rId38"/>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 Panel C is replotted using raw data from</w:t>
            </w:r>
            <w:r>
              <w:t xml:space="preserve"> </w:t>
            </w:r>
            <w:r>
              <w:t xml:space="preserve">(Lu et al., 2022)</w:t>
            </w:r>
            <w:r>
              <w:t xml:space="preserve">, and panel D from</w:t>
            </w:r>
            <w:r>
              <w:t xml:space="preserve"> </w:t>
            </w:r>
            <w:r>
              <w:t xml:space="preserve">(Cao et al., 2023)</w:t>
            </w:r>
            <w:r>
              <w:t xml:space="preserve">; logistic fitting was performed in this study.</w:t>
            </w:r>
          </w:p>
          <w:bookmarkEnd w:id="41"/>
        </w:tc>
      </w:tr>
    </w:tbl>
    <w:bookmarkEnd w:id="42"/>
    <w:bookmarkStart w:id="51" w:name="X171181ea9ffff2968730fde65c344a3c91bf033"/>
    <w:p>
      <w:pPr>
        <w:pStyle w:val="Heading2"/>
      </w:pPr>
      <w:r>
        <w:t xml:space="preserve">Spatiotemporal Variation of Odor-Producing Cyanobacteria Growth Stage in Taihu Lake</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3</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3</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6" w:name="fig-period"/>
          <w:p>
            <w:pPr>
              <w:pStyle w:val="Compact"/>
              <w:jc w:val="center"/>
            </w:pPr>
            <w:r>
              <w:drawing>
                <wp:inline>
                  <wp:extent cx="4602480" cy="3835400"/>
                  <wp:effectExtent b="0" l="0" r="0" t="0"/>
                  <wp:docPr descr="" title="" id="44" name="Picture"/>
                  <a:graphic>
                    <a:graphicData uri="http://schemas.openxmlformats.org/drawingml/2006/picture">
                      <pic:pic>
                        <pic:nvPicPr>
                          <pic:cNvPr descr="../figures/period.png" id="45" name="Picture"/>
                          <pic:cNvPicPr>
                            <a:picLocks noChangeArrowheads="1" noChangeAspect="1"/>
                          </pic:cNvPicPr>
                        </pic:nvPicPr>
                        <pic:blipFill>
                          <a:blip r:embed="rId43"/>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6"/>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llmonth">
        <w:r>
          <w:rPr>
            <w:rStyle w:val="Hyperlink"/>
          </w:rPr>
          <w:t xml:space="preserve">Fig. 4</w:t>
        </w:r>
      </w:hyperlink>
      <w:r>
        <w:t xml:space="preserve">).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0" w:name="fig-periodallmonth"/>
          <w:p>
            <w:pPr>
              <w:pStyle w:val="Compact"/>
              <w:jc w:val="center"/>
            </w:pPr>
            <w:r>
              <w:drawing>
                <wp:inline>
                  <wp:extent cx="5753100" cy="2632493"/>
                  <wp:effectExtent b="0" l="0" r="0" t="0"/>
                  <wp:docPr descr="" title="" id="48" name="Picture"/>
                  <a:graphic>
                    <a:graphicData uri="http://schemas.openxmlformats.org/drawingml/2006/picture">
                      <pic:pic>
                        <pic:nvPicPr>
                          <pic:cNvPr descr="../figures/periodallmonth_revised.png" id="49" name="Picture"/>
                          <pic:cNvPicPr>
                            <a:picLocks noChangeArrowheads="1" noChangeAspect="1"/>
                          </pic:cNvPicPr>
                        </pic:nvPicPr>
                        <pic:blipFill>
                          <a:blip r:embed="rId47"/>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50"/>
        </w:tc>
      </w:tr>
    </w:tbl>
    <w:bookmarkEnd w:id="51"/>
    <w:bookmarkStart w:id="56" w:name="Xc9fc0495718dda0beab26885e3b56e361b5dc54"/>
    <w:p>
      <w:pPr>
        <w:pStyle w:val="Heading2"/>
      </w:pPr>
      <w:r>
        <w:t xml:space="preserve">MIB Risk Distribution and Seasonal Variation Across Taihu Lake</w:t>
      </w:r>
    </w:p>
    <w:p>
      <w:pPr>
        <w:pStyle w:val="FirstParagraph"/>
      </w:pPr>
      <w:r>
        <w:t xml:space="preserve">Further analysis of the relationship between the</w:t>
      </w:r>
      <w:r>
        <w:t xml:space="preserve"> </w:t>
      </w:r>
      <m:oMath>
        <m:r>
          <m:t>S</m:t>
        </m:r>
        <m:r>
          <m:t>t</m:t>
        </m:r>
      </m:oMath>
      <w:r>
        <w:t xml:space="preserve"> </w:t>
      </w:r>
      <w:r>
        <w:t xml:space="preserve">and tMIB revealed the distribution of odor risk throughout the year in Taihu Lake (</w:t>
      </w:r>
      <w:hyperlink w:anchor="fig-risk">
        <w:r>
          <w:rPr>
            <w:rStyle w:val="Hyperlink"/>
          </w:rPr>
          <w:t xml:space="preserve">Fig. 5</w:t>
        </w:r>
      </w:hyperlink>
      <w:r>
        <w:t xml:space="preserve">, Fig. S8).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5" w:name="fig-risk"/>
          <w:p>
            <w:pPr>
              <w:pStyle w:val="Compact"/>
              <w:jc w:val="center"/>
            </w:pPr>
            <w:r>
              <w:drawing>
                <wp:inline>
                  <wp:extent cx="5753100" cy="2632493"/>
                  <wp:effectExtent b="0" l="0" r="0" t="0"/>
                  <wp:docPr descr="" title="" id="53" name="Picture"/>
                  <a:graphic>
                    <a:graphicData uri="http://schemas.openxmlformats.org/drawingml/2006/picture">
                      <pic:pic>
                        <pic:nvPicPr>
                          <pic:cNvPr descr="../figures/risk1_revised.png" id="54" name="Picture"/>
                          <pic:cNvPicPr>
                            <a:picLocks noChangeArrowheads="1" noChangeAspect="1"/>
                          </pic:cNvPicPr>
                        </pic:nvPicPr>
                        <pic:blipFill>
                          <a:blip r:embed="rId52"/>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 tMIB &gt; 10 ng L</w:t>
            </w:r>
            <m:oMath>
              <m:sSup>
                <m:e>
                  <m:r>
                    <m:t>​</m:t>
                  </m:r>
                </m:e>
                <m:sup>
                  <m:r>
                    <m:rPr>
                      <m:sty m:val="p"/>
                    </m:rPr>
                    <m:t>−</m:t>
                  </m:r>
                  <m:r>
                    <m:t>1</m:t>
                  </m:r>
                </m:sup>
              </m:sSup>
            </m:oMath>
            <w:r>
              <w:t xml:space="preserve">).</w:t>
            </w:r>
          </w:p>
          <w:bookmarkEnd w:id="55"/>
        </w:tc>
      </w:tr>
    </w:tbl>
    <w:bookmarkEnd w:id="56"/>
    <w:bookmarkStart w:id="61" w:name="Xc0a107ed3e97e212d240d54b33046d149aa2603"/>
    <w:p>
      <w:pPr>
        <w:pStyle w:val="Heading2"/>
      </w:pPr>
      <w:r>
        <w:t xml:space="preserve">Environmental Influences on Cyanobacteria Growth and Odor Risk</w:t>
      </w:r>
    </w:p>
    <w:p>
      <w:pPr>
        <w:pStyle w:val="FirstParagraph"/>
      </w:pPr>
      <w:r>
        <w:t xml:space="preserve">According to various studies,</w:t>
      </w:r>
      <w:r>
        <w:t xml:space="preserve"> </w:t>
      </w:r>
      <w:r>
        <w:rPr>
          <w:i/>
          <w:iCs/>
        </w:rPr>
        <w:t xml:space="preserve">Pseudanabaena</w:t>
      </w:r>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m⁻² d⁻¹),</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60" w:name="fig-lighttemp"/>
          <w:p>
            <w:pPr>
              <w:pStyle w:val="Compact"/>
              <w:jc w:val="center"/>
            </w:pPr>
            <w:r>
              <w:drawing>
                <wp:inline>
                  <wp:extent cx="4602480" cy="3067670"/>
                  <wp:effectExtent b="0" l="0" r="0" t="0"/>
                  <wp:docPr descr="" title="" id="58" name="Picture"/>
                  <a:graphic>
                    <a:graphicData uri="http://schemas.openxmlformats.org/drawingml/2006/picture">
                      <pic:pic>
                        <pic:nvPicPr>
                          <pic:cNvPr descr="../figures/taihualgaerisk_revised.png" id="59" name="Picture"/>
                          <pic:cNvPicPr>
                            <a:picLocks noChangeArrowheads="1" noChangeAspect="1"/>
                          </pic:cNvPicPr>
                        </pic:nvPicPr>
                        <pic:blipFill>
                          <a:blip r:embed="rId57"/>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 tMIB &gt; 10 ng L</w:t>
            </w:r>
            <m:oMath>
              <m:sSup>
                <m:e>
                  <m:r>
                    <m:t>​</m:t>
                  </m:r>
                </m:e>
                <m:sup>
                  <m:r>
                    <m:rPr>
                      <m:sty m:val="p"/>
                    </m:rPr>
                    <m:t>−</m:t>
                  </m:r>
                  <m:r>
                    <m:t>1</m:t>
                  </m:r>
                </m:sup>
              </m:sSup>
            </m:oMath>
            <w:r>
              <w:t xml:space="preserve">).</w:t>
            </w:r>
          </w:p>
          <w:bookmarkEnd w:id="60"/>
        </w:tc>
      </w:tr>
    </w:tbl>
    <w:bookmarkEnd w:id="61"/>
    <w:bookmarkEnd w:id="62"/>
    <w:bookmarkStart w:id="70" w:name="discussion"/>
    <w:p>
      <w:pPr>
        <w:pStyle w:val="Heading1"/>
      </w:pPr>
      <w:r>
        <w:t xml:space="preserve">Discussion</w:t>
      </w:r>
    </w:p>
    <w:bookmarkStart w:id="67"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d</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w:t>
      </w:r>
    </w:p>
    <w:tbl>
      <w:tblPr>
        <w:tblStyle w:val="Table"/>
        <w:tblW w:type="pct" w:w="5000"/>
        <w:tblLayout w:type="fixed"/>
        <w:tblLook w:firstRow="0" w:lastRow="0" w:firstColumn="0" w:lastColumn="0" w:noHBand="0" w:noVBand="0" w:val="0000"/>
      </w:tblPr>
      <w:tblGrid>
        <w:gridCol w:w="7920"/>
      </w:tblGrid>
      <w:tr>
        <w:tc>
          <w:tcPr/>
          <w:bookmarkStart w:id="66" w:name="fig-sketch"/>
          <w:p>
            <w:pPr>
              <w:pStyle w:val="Compact"/>
              <w:jc w:val="center"/>
            </w:pPr>
            <w:r>
              <w:drawing>
                <wp:inline>
                  <wp:extent cx="4602480" cy="2314028"/>
                  <wp:effectExtent b="0" l="0" r="0" t="0"/>
                  <wp:docPr descr="" title="" id="64" name="Picture"/>
                  <a:graphic>
                    <a:graphicData uri="http://schemas.openxmlformats.org/drawingml/2006/picture">
                      <pic:pic>
                        <pic:nvPicPr>
                          <pic:cNvPr descr="../figures/sketch.png" id="65" name="Picture"/>
                          <pic:cNvPicPr>
                            <a:picLocks noChangeArrowheads="1" noChangeAspect="1"/>
                          </pic:cNvPicPr>
                        </pic:nvPicPr>
                        <pic:blipFill>
                          <a:blip r:embed="rId63"/>
                          <a:stretch>
                            <a:fillRect/>
                          </a:stretch>
                        </pic:blipFill>
                        <pic:spPr bwMode="auto">
                          <a:xfrm>
                            <a:off x="0" y="0"/>
                            <a:ext cx="4602480" cy="2314028"/>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6"/>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(dMIB) to total MIB (tMIB)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dMIB 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7"/>
    <w:bookmarkStart w:id="68"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t xml:space="preserve"> </w:t>
      </w:r>
      <w:r>
        <w:t xml:space="preserve">(Li et al., 2022; Shi et al., 2023)</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t xml:space="preserve"> </w:t>
      </w:r>
      <w:r>
        <w:t xml:space="preserve">(Qi et al., 2020; Rong et al., 2018; Shi et al., 2023; Su et al., 2022)</w:t>
      </w:r>
      <w:r>
        <w:t xml:space="preserve">. From April to May, when the surface water temperature exceeds 20°C, MIB-producing cyanobacteria are already able to grow at a considerable rate</w:t>
      </w:r>
      <w:r>
        <w:t xml:space="preserve"> </w:t>
      </w:r>
      <w:r>
        <w:t xml:space="preserve">(Nan et al., 2021; Wang et al., 2019; Yu et al., 2019)</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t xml:space="preserve"> </w:t>
      </w:r>
      <w:r>
        <w:t xml:space="preserve">(Su et al., 2022, 2019)</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t xml:space="preserve"> </w:t>
      </w:r>
      <w:r>
        <w:t xml:space="preserve">(Xuwei et al., 2019)</w:t>
      </w:r>
      <w:r>
        <w:t xml:space="preserve">. Research on microcystin production in Lake Taihu supports this timeline, with significant increases in microcystin concentrations observed only after May</w:t>
      </w:r>
      <w:r>
        <w:t xml:space="preserve"> </w:t>
      </w:r>
      <w:r>
        <w:t xml:space="preserve">(Li et al., 2022)</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t xml:space="preserve"> </w:t>
      </w:r>
      <w:r>
        <w:t xml:space="preserve">(Cao et al., 2023)</w:t>
      </w:r>
      <w:r>
        <w:t xml:space="preserve">, while</w:t>
      </w:r>
      <w:r>
        <w:t xml:space="preserve"> </w:t>
      </w:r>
      <w:r>
        <w:rPr>
          <w:i/>
          <w:iCs/>
        </w:rPr>
        <w:t xml:space="preserve">Planktothricoides</w:t>
      </w:r>
      <w:r>
        <w:t xml:space="preserve"> </w:t>
      </w:r>
      <w:r>
        <w:t xml:space="preserve">exhibits a higher yield of 0.22 ± 0.02 pg cell⁻¹ under similar conditions</w:t>
      </w:r>
      <w:r>
        <w:t xml:space="preserve"> </w:t>
      </w:r>
      <w:r>
        <w:t xml:space="preserve">(Lu et al., 2022)</w:t>
      </w:r>
      <w:r>
        <w:t xml:space="preserve">. In addition,the inflection point time (</w:t>
      </w:r>
      <m:oMath>
        <m:sSub>
          <m:e>
            <m:r>
              <m:t>T</m:t>
            </m:r>
          </m:e>
          <m:sub>
            <m:r>
              <m:t>0</m:t>
            </m:r>
          </m:sub>
        </m:sSub>
      </m:oMath>
      <w:r>
        <w:t xml:space="preserve">) for these two species also vary significantly across studies (Fig. S10), further contributing to their differential contributions to odor events in aquatic systems.</w:t>
      </w:r>
    </w:p>
    <w:bookmarkEnd w:id="68"/>
    <w:bookmarkStart w:id="69"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69"/>
    <w:bookmarkEnd w:id="70"/>
    <w:bookmarkStart w:id="71" w:name="conclusion"/>
    <w:p>
      <w:pPr>
        <w:pStyle w:val="Heading1"/>
      </w:pPr>
      <w:r>
        <w:t xml:space="preserve">Conclusion</w:t>
      </w:r>
    </w:p>
    <w:p>
      <w:pPr>
        <w:pStyle w:val="FirstParagraph"/>
      </w:pPr>
      <w:r>
        <w:t xml:space="preserve">This study investigated the spatiotemporal dynamics of MIB (2-methylisoborneol) in Lake Taihu and established a growth-stage-based</w:t>
      </w:r>
      <w:r>
        <w:t xml:space="preserve"> </w:t>
      </w:r>
      <m:oMath>
        <m:r>
          <m:t>f</m:t>
        </m:r>
      </m:oMath>
      <w:r>
        <w:t xml:space="preserve"> </w:t>
      </w:r>
      <w:r>
        <w:t xml:space="preserve">model to assess the risk of odor events. Results revealed that odor-producing cyanobacteria in Taihu Lake exhibited two distinct growth phases annually, corresponding to dual peaks in MIB concentrations—one in spring and another in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1"/>
    <w:bookmarkStart w:id="72"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72"/>
    <w:bookmarkStart w:id="73"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73"/>
    <w:bookmarkStart w:id="217" w:name="references"/>
    <w:p>
      <w:pPr>
        <w:pStyle w:val="Heading1"/>
      </w:pPr>
      <w:r>
        <w:t xml:space="preserve">References</w:t>
      </w:r>
    </w:p>
    <w:bookmarkStart w:id="216" w:name="refs"/>
    <w:bookmarkStart w:id="75"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74">
        <w:r>
          <w:rPr>
            <w:rStyle w:val="Hyperlink"/>
          </w:rPr>
          <w:t xml:space="preserve">https://doi.org/10.1007/s10811-017-1233-0</w:t>
        </w:r>
      </w:hyperlink>
    </w:p>
    <w:bookmarkEnd w:id="75"/>
    <w:bookmarkStart w:id="77"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76">
        <w:r>
          <w:rPr>
            <w:rStyle w:val="Hyperlink"/>
          </w:rPr>
          <w:t xml:space="preserve">https://doi.org/10.1038/s41467-024-54175-4</w:t>
        </w:r>
      </w:hyperlink>
    </w:p>
    <w:bookmarkEnd w:id="77"/>
    <w:bookmarkStart w:id="78" w:name="ref-american2010algae"/>
    <w:p>
      <w:pPr>
        <w:pStyle w:val="Bibliography"/>
      </w:pPr>
      <w:r>
        <w:t xml:space="preserve">AWWA, A.W.W.A., 2010. Algae: Source to treatment. American Water Works Association.</w:t>
      </w:r>
    </w:p>
    <w:bookmarkEnd w:id="78"/>
    <w:bookmarkStart w:id="80"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79">
        <w:r>
          <w:rPr>
            <w:rStyle w:val="Hyperlink"/>
          </w:rPr>
          <w:t xml:space="preserve">https://doi.org/10.1111/j.1529-8817.1993.tb00285.x</w:t>
        </w:r>
      </w:hyperlink>
    </w:p>
    <w:bookmarkEnd w:id="80"/>
    <w:bookmarkStart w:id="82" w:name="ref-bar2004attenuation"/>
    <w:p>
      <w:pPr>
        <w:pStyle w:val="Bibliography"/>
      </w:pPr>
      <w:r>
        <w:t xml:space="preserve">Bar, J., Cohen-Noyman, E., Geiger, B., Oren, M., 2004. Attenuation of the p53 response to DNA damage by high cell density. Oncogene 23, 2128–2137.</w:t>
      </w:r>
      <w:r>
        <w:t xml:space="preserve"> </w:t>
      </w:r>
      <w:hyperlink r:id="rId81">
        <w:r>
          <w:rPr>
            <w:rStyle w:val="Hyperlink"/>
          </w:rPr>
          <w:t xml:space="preserve">https://doi.org/10.1038/sj.onc.1207325</w:t>
        </w:r>
      </w:hyperlink>
    </w:p>
    <w:bookmarkEnd w:id="82"/>
    <w:bookmarkStart w:id="83"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83"/>
    <w:bookmarkStart w:id="85" w:name="ref-bermudez2024cell"/>
    <w:p>
      <w:pPr>
        <w:pStyle w:val="Bibliography"/>
      </w:pPr>
      <w:r>
        <w:t xml:space="preserve">Bermudez, A.G., Latham, Z., Hu, J., Lin, N., 2024. Cell crowding-induced geometric constraint regulates chromatin organizations. Biophysical Journal 123, 407a.</w:t>
      </w:r>
      <w:r>
        <w:t xml:space="preserve"> </w:t>
      </w:r>
      <w:hyperlink r:id="rId84">
        <w:r>
          <w:rPr>
            <w:rStyle w:val="Hyperlink"/>
          </w:rPr>
          <w:t xml:space="preserve">https://doi.org/10.1016/j.bpj.2023.11.2493</w:t>
        </w:r>
      </w:hyperlink>
    </w:p>
    <w:bookmarkEnd w:id="85"/>
    <w:bookmarkStart w:id="87"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86">
        <w:r>
          <w:rPr>
            <w:rStyle w:val="Hyperlink"/>
          </w:rPr>
          <w:t xml:space="preserve">https://doi.org/10.1016/j.watres.2023.119667</w:t>
        </w:r>
      </w:hyperlink>
    </w:p>
    <w:bookmarkEnd w:id="87"/>
    <w:bookmarkStart w:id="89"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88">
        <w:r>
          <w:rPr>
            <w:rStyle w:val="Hyperlink"/>
          </w:rPr>
          <w:t xml:space="preserve">https://doi.org/10.1016/j.foodcont.2023.109697</w:t>
        </w:r>
      </w:hyperlink>
    </w:p>
    <w:bookmarkEnd w:id="89"/>
    <w:bookmarkStart w:id="91"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90">
        <w:r>
          <w:rPr>
            <w:rStyle w:val="Hyperlink"/>
          </w:rPr>
          <w:t xml:space="preserve">https://doi.org/10.1016/j.talanta.2023.125303</w:t>
        </w:r>
      </w:hyperlink>
    </w:p>
    <w:bookmarkEnd w:id="91"/>
    <w:bookmarkStart w:id="93"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92">
        <w:r>
          <w:rPr>
            <w:rStyle w:val="Hyperlink"/>
          </w:rPr>
          <w:t xml:space="preserve">https://doi.org/10.1016/j.watres.2020.116478</w:t>
        </w:r>
      </w:hyperlink>
    </w:p>
    <w:bookmarkEnd w:id="93"/>
    <w:bookmarkStart w:id="95"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94">
        <w:r>
          <w:rPr>
            <w:rStyle w:val="Hyperlink"/>
          </w:rPr>
          <w:t xml:space="preserve">https://doi.org/10.1002/anie.200702496</w:t>
        </w:r>
      </w:hyperlink>
    </w:p>
    <w:bookmarkEnd w:id="95"/>
    <w:bookmarkStart w:id="97"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96">
        <w:r>
          <w:rPr>
            <w:rStyle w:val="Hyperlink"/>
          </w:rPr>
          <w:t xml:space="preserve">https://doi.org/10.1111/j.1365-2184.1984.tb00604.x</w:t>
        </w:r>
      </w:hyperlink>
    </w:p>
    <w:bookmarkEnd w:id="97"/>
    <w:bookmarkStart w:id="99"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98">
        <w:r>
          <w:rPr>
            <w:rStyle w:val="Hyperlink"/>
          </w:rPr>
          <w:t xml:space="preserve">https://doi.org/10.1038/nature10999</w:t>
        </w:r>
      </w:hyperlink>
    </w:p>
    <w:bookmarkEnd w:id="99"/>
    <w:bookmarkStart w:id="101"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100">
        <w:r>
          <w:rPr>
            <w:rStyle w:val="Hyperlink"/>
          </w:rPr>
          <w:t xml:space="preserve">https://doi.org/10.1016/j.tcb.2012.11.006</w:t>
        </w:r>
      </w:hyperlink>
    </w:p>
    <w:bookmarkEnd w:id="101"/>
    <w:bookmarkStart w:id="102" w:name="ref-gerber1969a"/>
    <w:p>
      <w:pPr>
        <w:pStyle w:val="Bibliography"/>
      </w:pPr>
      <w:r>
        <w:t xml:space="preserve">Gerber, N.N., 1969. A volatile metabolite of actinomycetes, 2-methylisoborneol. Antibiotics 22, 508–509.</w:t>
      </w:r>
    </w:p>
    <w:bookmarkEnd w:id="102"/>
    <w:bookmarkStart w:id="104"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03">
        <w:r>
          <w:rPr>
            <w:rStyle w:val="Hyperlink"/>
          </w:rPr>
          <w:t xml:space="preserve">https://doi.org/10.1021/es102992p</w:t>
        </w:r>
      </w:hyperlink>
    </w:p>
    <w:bookmarkEnd w:id="104"/>
    <w:bookmarkStart w:id="106"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105">
        <w:r>
          <w:rPr>
            <w:rStyle w:val="Hyperlink"/>
          </w:rPr>
          <w:t xml:space="preserve">https://doi.org/10.1016/S0273-1223(99)00538-7</w:t>
        </w:r>
      </w:hyperlink>
    </w:p>
    <w:bookmarkEnd w:id="106"/>
    <w:bookmarkStart w:id="108"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07">
        <w:r>
          <w:rPr>
            <w:rStyle w:val="Hyperlink"/>
          </w:rPr>
          <w:t xml:space="preserve">https://doi.org/10.1016/j.watres.2006.10.012</w:t>
        </w:r>
      </w:hyperlink>
    </w:p>
    <w:bookmarkEnd w:id="108"/>
    <w:bookmarkStart w:id="110" w:name="ref-izaguirre2004a"/>
    <w:p>
      <w:pPr>
        <w:pStyle w:val="Bibliography"/>
      </w:pPr>
      <w:r>
        <w:t xml:space="preserve">Izaguirre, G., Taylor, W.D., 2004. A guide to geosmin- and MIB-producing cyanobacteria in the united states. Water Science and Technology 49, 19–24.</w:t>
      </w:r>
      <w:r>
        <w:t xml:space="preserve"> </w:t>
      </w:r>
      <w:hyperlink r:id="rId109">
        <w:r>
          <w:rPr>
            <w:rStyle w:val="Hyperlink"/>
          </w:rPr>
          <w:t xml:space="preserve">https://doi.org/10.2166/wst.2004.0524</w:t>
        </w:r>
      </w:hyperlink>
    </w:p>
    <w:bookmarkEnd w:id="110"/>
    <w:bookmarkStart w:id="112"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11">
        <w:r>
          <w:rPr>
            <w:rStyle w:val="Hyperlink"/>
          </w:rPr>
          <w:t xml:space="preserve">https://doi.org/10.1016/j.hal.2019.101658</w:t>
        </w:r>
      </w:hyperlink>
    </w:p>
    <w:bookmarkEnd w:id="112"/>
    <w:bookmarkStart w:id="114"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13">
        <w:r>
          <w:rPr>
            <w:rStyle w:val="Hyperlink"/>
          </w:rPr>
          <w:t xml:space="preserve">https://doi.org/10.1016/j.ecolmodel.2023.110475</w:t>
        </w:r>
      </w:hyperlink>
    </w:p>
    <w:bookmarkEnd w:id="114"/>
    <w:bookmarkStart w:id="115"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15"/>
    <w:bookmarkStart w:id="116" w:name="ref-komarek1998cyanoprokaryota"/>
    <w:p>
      <w:pPr>
        <w:pStyle w:val="Bibliography"/>
      </w:pPr>
      <w:r>
        <w:t xml:space="preserve">Komárek, J., Anagnostidis, K., 1998. Cyanoprokaryota 1, Susswasserflora Von Mitteleuropa. Deu.</w:t>
      </w:r>
    </w:p>
    <w:bookmarkEnd w:id="116"/>
    <w:bookmarkStart w:id="118"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17">
        <w:r>
          <w:rPr>
            <w:rStyle w:val="Hyperlink"/>
          </w:rPr>
          <w:t xml:space="preserve">https://doi.org/10.1073/pnas.0802312105</w:t>
        </w:r>
      </w:hyperlink>
    </w:p>
    <w:bookmarkEnd w:id="118"/>
    <w:bookmarkStart w:id="120" w:name="ref-lawsonkeister2021jamming"/>
    <w:p>
      <w:pPr>
        <w:pStyle w:val="Bibliography"/>
      </w:pPr>
      <w:r>
        <w:t xml:space="preserve">Lawson-Keister, E., Manning, M.L., 2021. Jamming and arrest of cell motion in biological tissues. Current Opinion in Cell Biology 72, 146–155.</w:t>
      </w:r>
      <w:r>
        <w:t xml:space="preserve"> </w:t>
      </w:r>
      <w:hyperlink r:id="rId119">
        <w:r>
          <w:rPr>
            <w:rStyle w:val="Hyperlink"/>
          </w:rPr>
          <w:t xml:space="preserve">https://doi.org/10.1016/j.ceb.2021.07.011</w:t>
        </w:r>
      </w:hyperlink>
    </w:p>
    <w:bookmarkEnd w:id="120"/>
    <w:bookmarkStart w:id="122"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21">
        <w:r>
          <w:rPr>
            <w:rStyle w:val="Hyperlink"/>
          </w:rPr>
          <w:t xml:space="preserve">https://doi.org/10.1016/j.envpol.2021.118594</w:t>
        </w:r>
      </w:hyperlink>
    </w:p>
    <w:bookmarkEnd w:id="122"/>
    <w:bookmarkStart w:id="124"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23">
        <w:r>
          <w:rPr>
            <w:rStyle w:val="Hyperlink"/>
          </w:rPr>
          <w:t xml:space="preserve">https://doi.org/10.1016/j.watres.2019.06.066</w:t>
        </w:r>
      </w:hyperlink>
    </w:p>
    <w:bookmarkEnd w:id="124"/>
    <w:bookmarkStart w:id="126"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25">
        <w:r>
          <w:rPr>
            <w:rStyle w:val="Hyperlink"/>
          </w:rPr>
          <w:t xml:space="preserve">https://doi.org/10.1016/j.hal.2010.03.003</w:t>
        </w:r>
      </w:hyperlink>
    </w:p>
    <w:bookmarkEnd w:id="126"/>
    <w:bookmarkStart w:id="128"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27">
        <w:r>
          <w:rPr>
            <w:rStyle w:val="Hyperlink"/>
          </w:rPr>
          <w:t xml:space="preserve">https://doi.org/10.1081/ese-200048262</w:t>
        </w:r>
      </w:hyperlink>
    </w:p>
    <w:bookmarkEnd w:id="128"/>
    <w:bookmarkStart w:id="130"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29">
        <w:r>
          <w:rPr>
            <w:rStyle w:val="Hyperlink"/>
          </w:rPr>
          <w:t xml:space="preserve">https://doi.org/10.1016/j.watres.2019.04.004</w:t>
        </w:r>
      </w:hyperlink>
    </w:p>
    <w:bookmarkEnd w:id="130"/>
    <w:bookmarkStart w:id="132" w:name="ref-liu2007overview"/>
    <w:p>
      <w:pPr>
        <w:pStyle w:val="Bibliography"/>
      </w:pPr>
      <w:r>
        <w:t xml:space="preserve">Liu, Y., 2007. Overview of some theoretical approaches for derivation of the monod equation. Applied Microbiology and Biotechnology 73, 1241–1250.</w:t>
      </w:r>
      <w:r>
        <w:t xml:space="preserve"> </w:t>
      </w:r>
      <w:hyperlink r:id="rId131">
        <w:r>
          <w:rPr>
            <w:rStyle w:val="Hyperlink"/>
          </w:rPr>
          <w:t xml:space="preserve">https://doi.org/10.1007/s00253-006-0717-7</w:t>
        </w:r>
      </w:hyperlink>
    </w:p>
    <w:bookmarkEnd w:id="132"/>
    <w:bookmarkStart w:id="134"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33">
        <w:r>
          <w:rPr>
            <w:rStyle w:val="Hyperlink"/>
          </w:rPr>
          <w:t xml:space="preserve">https://doi.org/10.1016/j.watres.2023.120485</w:t>
        </w:r>
      </w:hyperlink>
    </w:p>
    <w:bookmarkEnd w:id="134"/>
    <w:bookmarkStart w:id="136"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35">
        <w:r>
          <w:rPr>
            <w:rStyle w:val="Hyperlink"/>
          </w:rPr>
          <w:t xml:space="preserve">https://doi.org/10.1016/j.watres.2022.118670</w:t>
        </w:r>
      </w:hyperlink>
    </w:p>
    <w:bookmarkEnd w:id="136"/>
    <w:bookmarkStart w:id="138" w:name="ref-lv2015stability"/>
    <w:p>
      <w:pPr>
        <w:pStyle w:val="Bibliography"/>
      </w:pPr>
      <w:r>
        <w:t xml:space="preserve">Lv, J., Wang, K., Jiao, J., 2015. Stability of stochastic richards growth model. Applied Mathematical Modelling 39, 4821–4827.</w:t>
      </w:r>
      <w:r>
        <w:t xml:space="preserve"> </w:t>
      </w:r>
      <w:hyperlink r:id="rId137">
        <w:r>
          <w:rPr>
            <w:rStyle w:val="Hyperlink"/>
          </w:rPr>
          <w:t xml:space="preserve">https://doi.org/10.1016/j.apm.2015.04.016</w:t>
        </w:r>
      </w:hyperlink>
    </w:p>
    <w:bookmarkEnd w:id="138"/>
    <w:bookmarkStart w:id="140" w:name="ref-monod1949the"/>
    <w:p>
      <w:pPr>
        <w:pStyle w:val="Bibliography"/>
      </w:pPr>
      <w:r>
        <w:t xml:space="preserve">Monod, J., 1949. THE GROWTH OF BACTERIAL CULTURES. Annual Review of Microbiology 3, 371–394.</w:t>
      </w:r>
      <w:r>
        <w:t xml:space="preserve"> </w:t>
      </w:r>
      <w:hyperlink r:id="rId139">
        <w:r>
          <w:rPr>
            <w:rStyle w:val="Hyperlink"/>
          </w:rPr>
          <w:t xml:space="preserve">https://doi.org/10.1146/annurev.mi.03.100149.002103</w:t>
        </w:r>
      </w:hyperlink>
    </w:p>
    <w:bookmarkEnd w:id="140"/>
    <w:bookmarkStart w:id="142"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41">
        <w:r>
          <w:rPr>
            <w:rStyle w:val="Hyperlink"/>
          </w:rPr>
          <w:t xml:space="preserve">https://doi.org/10.1111/are.15568</w:t>
        </w:r>
      </w:hyperlink>
    </w:p>
    <w:bookmarkEnd w:id="142"/>
    <w:bookmarkStart w:id="144"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43">
        <w:r>
          <w:rPr>
            <w:rStyle w:val="Hyperlink"/>
          </w:rPr>
          <w:t xml:space="preserve">https://doi.org/10.1111/gtc.12461</w:t>
        </w:r>
      </w:hyperlink>
    </w:p>
    <w:bookmarkEnd w:id="144"/>
    <w:bookmarkStart w:id="146"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45">
        <w:r>
          <w:rPr>
            <w:rStyle w:val="Hyperlink"/>
          </w:rPr>
          <w:t xml:space="preserve">https://doi.org/10.4014/jmb.1702.02069</w:t>
        </w:r>
      </w:hyperlink>
    </w:p>
    <w:bookmarkEnd w:id="146"/>
    <w:bookmarkStart w:id="148"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47">
        <w:r>
          <w:rPr>
            <w:rStyle w:val="Hyperlink"/>
          </w:rPr>
          <w:t xml:space="preserve">https://doi.org/10.1038/s41467-018-05388-x</w:t>
        </w:r>
      </w:hyperlink>
    </w:p>
    <w:bookmarkEnd w:id="148"/>
    <w:bookmarkStart w:id="150" w:name="ref-peleg1998reinterpretation"/>
    <w:p>
      <w:pPr>
        <w:pStyle w:val="Bibliography"/>
      </w:pPr>
      <w:r>
        <w:t xml:space="preserve">Peleg, M., Cole, M.B., 1998. Reinterpretation of microbial survival curves. Critical Reviews in Food Science and Nutrition 38, 353–380.</w:t>
      </w:r>
      <w:r>
        <w:t xml:space="preserve"> </w:t>
      </w:r>
      <w:hyperlink r:id="rId149">
        <w:r>
          <w:rPr>
            <w:rStyle w:val="Hyperlink"/>
          </w:rPr>
          <w:t xml:space="preserve">https://doi.org/10.1080/10408699891274246</w:t>
        </w:r>
      </w:hyperlink>
    </w:p>
    <w:bookmarkEnd w:id="150"/>
    <w:bookmarkStart w:id="152"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51">
        <w:r>
          <w:rPr>
            <w:rStyle w:val="Hyperlink"/>
          </w:rPr>
          <w:t xml:space="preserve">https://doi.org/10.1080/10408398.2011.570463</w:t>
        </w:r>
      </w:hyperlink>
    </w:p>
    <w:bookmarkEnd w:id="152"/>
    <w:bookmarkStart w:id="154"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53">
        <w:r>
          <w:rPr>
            <w:rStyle w:val="Hyperlink"/>
          </w:rPr>
          <w:t xml:space="preserve">https://doi.org/10.1016/j.jenvman.2019.04.123</w:t>
        </w:r>
      </w:hyperlink>
    </w:p>
    <w:bookmarkEnd w:id="154"/>
    <w:bookmarkStart w:id="156"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55">
        <w:r>
          <w:rPr>
            <w:rStyle w:val="Hyperlink"/>
          </w:rPr>
          <w:t xml:space="preserve">https://doi.org/10.1007/s11356-020-07896-0</w:t>
        </w:r>
      </w:hyperlink>
    </w:p>
    <w:bookmarkEnd w:id="156"/>
    <w:bookmarkStart w:id="158"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57">
        <w:r>
          <w:rPr>
            <w:rStyle w:val="Hyperlink"/>
          </w:rPr>
          <w:t xml:space="preserve">https://doi.org/10.1016/0273-1223(95)00472-y</w:t>
        </w:r>
      </w:hyperlink>
    </w:p>
    <w:bookmarkEnd w:id="158"/>
    <w:bookmarkStart w:id="160"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59">
        <w:r>
          <w:rPr>
            <w:rStyle w:val="Hyperlink"/>
          </w:rPr>
          <w:t xml:space="preserve">https://doi.org/10.1186/s12302-018-0175-8</w:t>
        </w:r>
      </w:hyperlink>
    </w:p>
    <w:bookmarkEnd w:id="160"/>
    <w:bookmarkStart w:id="162"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61">
        <w:r>
          <w:rPr>
            <w:rStyle w:val="Hyperlink"/>
          </w:rPr>
          <w:t xml:space="preserve">https://doi.org/10.1002/jcp.1041070111</w:t>
        </w:r>
      </w:hyperlink>
    </w:p>
    <w:bookmarkEnd w:id="162"/>
    <w:bookmarkStart w:id="163"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63"/>
    <w:bookmarkStart w:id="165"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64">
        <w:r>
          <w:rPr>
            <w:rStyle w:val="Hyperlink"/>
          </w:rPr>
          <w:t xml:space="preserve">https://doi.org/10.1007/s11356-023-27506-z</w:t>
        </w:r>
      </w:hyperlink>
    </w:p>
    <w:bookmarkEnd w:id="165"/>
    <w:bookmarkStart w:id="167"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66">
        <w:r>
          <w:rPr>
            <w:rStyle w:val="Hyperlink"/>
          </w:rPr>
          <w:t xml:space="preserve">https://doi.org/J.scitotenv.2018.08.307</w:t>
        </w:r>
      </w:hyperlink>
    </w:p>
    <w:bookmarkEnd w:id="167"/>
    <w:bookmarkStart w:id="169"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68">
        <w:r>
          <w:rPr>
            <w:rStyle w:val="Hyperlink"/>
          </w:rPr>
          <w:t xml:space="preserve">https://doi.org/10.1016/j.jes.2021.03.026</w:t>
        </w:r>
      </w:hyperlink>
    </w:p>
    <w:bookmarkEnd w:id="169"/>
    <w:bookmarkStart w:id="171"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70">
        <w:r>
          <w:rPr>
            <w:rStyle w:val="Hyperlink"/>
          </w:rPr>
          <w:t xml:space="preserve">https://doi.org/10.1016/j.watres.2014.09.038</w:t>
        </w:r>
      </w:hyperlink>
    </w:p>
    <w:bookmarkEnd w:id="171"/>
    <w:bookmarkStart w:id="173"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72">
        <w:r>
          <w:rPr>
            <w:rStyle w:val="Hyperlink"/>
          </w:rPr>
          <w:t xml:space="preserve">https://doi.org/10.1038/s41545-022-00181-2</w:t>
        </w:r>
      </w:hyperlink>
    </w:p>
    <w:bookmarkEnd w:id="173"/>
    <w:bookmarkStart w:id="175"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74">
        <w:r>
          <w:rPr>
            <w:rStyle w:val="Hyperlink"/>
          </w:rPr>
          <w:t xml:space="preserve">https://doi.org/10.1016/s0273-1223(99)00531-4</w:t>
        </w:r>
      </w:hyperlink>
    </w:p>
    <w:bookmarkEnd w:id="175"/>
    <w:bookmarkStart w:id="177"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76">
        <w:r>
          <w:rPr>
            <w:rStyle w:val="Hyperlink"/>
          </w:rPr>
          <w:t xml:space="preserve">https://doi.org/10.1016/j.watres.2014.09.037</w:t>
        </w:r>
      </w:hyperlink>
    </w:p>
    <w:bookmarkEnd w:id="177"/>
    <w:bookmarkStart w:id="179"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78">
        <w:r>
          <w:rPr>
            <w:rStyle w:val="Hyperlink"/>
          </w:rPr>
          <w:t xml:space="preserve">https://doi.org/10.1139/f76-004</w:t>
        </w:r>
      </w:hyperlink>
    </w:p>
    <w:bookmarkEnd w:id="179"/>
    <w:bookmarkStart w:id="181"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80">
        <w:r>
          <w:rPr>
            <w:rStyle w:val="Hyperlink"/>
          </w:rPr>
          <w:t xml:space="preserve">https://doi.org/10.1371/journal.pone.0178691</w:t>
        </w:r>
      </w:hyperlink>
    </w:p>
    <w:bookmarkEnd w:id="181"/>
    <w:bookmarkStart w:id="182"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82"/>
    <w:bookmarkStart w:id="184"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83">
        <w:r>
          <w:rPr>
            <w:rStyle w:val="Hyperlink"/>
          </w:rPr>
          <w:t xml:space="preserve">https://doi.org/10.1016/0273-1223(95)00473-Z</w:t>
        </w:r>
      </w:hyperlink>
    </w:p>
    <w:bookmarkEnd w:id="184"/>
    <w:bookmarkStart w:id="186"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85">
        <w:r>
          <w:rPr>
            <w:rStyle w:val="Hyperlink"/>
          </w:rPr>
          <w:t xml:space="preserve">https://doi.org/10.1021/acsestwater.3c00477</w:t>
        </w:r>
      </w:hyperlink>
    </w:p>
    <w:bookmarkEnd w:id="186"/>
    <w:bookmarkStart w:id="188"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87">
        <w:r>
          <w:rPr>
            <w:rStyle w:val="Hyperlink"/>
          </w:rPr>
          <w:t xml:space="preserve">https://doi.org/10.1016/j.ecoenv.2024.116198</w:t>
        </w:r>
      </w:hyperlink>
    </w:p>
    <w:bookmarkEnd w:id="188"/>
    <w:bookmarkStart w:id="190"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89">
        <w:r>
          <w:rPr>
            <w:rStyle w:val="Hyperlink"/>
          </w:rPr>
          <w:t xml:space="preserve">https://doi.org/10.1016/j.watres.2019.114864</w:t>
        </w:r>
      </w:hyperlink>
    </w:p>
    <w:bookmarkEnd w:id="190"/>
    <w:bookmarkStart w:id="192"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91">
        <w:r>
          <w:rPr>
            <w:rStyle w:val="Hyperlink"/>
          </w:rPr>
          <w:t xml:space="preserve">https://doi.org/10.1016/j.watres.2020.115574</w:t>
        </w:r>
      </w:hyperlink>
    </w:p>
    <w:bookmarkEnd w:id="192"/>
    <w:bookmarkStart w:id="194"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93">
        <w:r>
          <w:rPr>
            <w:rStyle w:val="Hyperlink"/>
          </w:rPr>
          <w:t xml:space="preserve">https://doi.org/10.1016/j.jtbi.2023.111645</w:t>
        </w:r>
      </w:hyperlink>
    </w:p>
    <w:bookmarkEnd w:id="194"/>
    <w:bookmarkStart w:id="196"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95">
        <w:r>
          <w:rPr>
            <w:rStyle w:val="Hyperlink"/>
          </w:rPr>
          <w:t xml:space="preserve">https://doi.org/10.1016/j.bse.2014.12.013</w:t>
        </w:r>
      </w:hyperlink>
    </w:p>
    <w:bookmarkEnd w:id="196"/>
    <w:bookmarkStart w:id="198"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97">
        <w:r>
          <w:rPr>
            <w:rStyle w:val="Hyperlink"/>
          </w:rPr>
          <w:t xml:space="preserve">https://doi.org/10.1371/journal.pone.0018665</w:t>
        </w:r>
      </w:hyperlink>
    </w:p>
    <w:bookmarkEnd w:id="198"/>
    <w:bookmarkStart w:id="199"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99"/>
    <w:bookmarkStart w:id="201"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200">
        <w:r>
          <w:rPr>
            <w:rStyle w:val="Hyperlink"/>
          </w:rPr>
          <w:t xml:space="preserve">https://doi.org/10.1007/bf00408253</w:t>
        </w:r>
      </w:hyperlink>
    </w:p>
    <w:bookmarkEnd w:id="201"/>
    <w:bookmarkStart w:id="203"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202">
        <w:r>
          <w:rPr>
            <w:rStyle w:val="Hyperlink"/>
          </w:rPr>
          <w:t xml:space="preserve">https://doi.org/10.1016/j.chemosphere.2018.11.121</w:t>
        </w:r>
      </w:hyperlink>
    </w:p>
    <w:bookmarkEnd w:id="203"/>
    <w:bookmarkStart w:id="205"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204">
        <w:r>
          <w:rPr>
            <w:rStyle w:val="Hyperlink"/>
          </w:rPr>
          <w:t xml:space="preserve">https://doi.org/10.1073/pnas.1422108112</w:t>
        </w:r>
      </w:hyperlink>
    </w:p>
    <w:bookmarkEnd w:id="205"/>
    <w:bookmarkStart w:id="207"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206">
        <w:r>
          <w:rPr>
            <w:rStyle w:val="Hyperlink"/>
          </w:rPr>
          <w:t xml:space="preserve">https://doi.org/10.1038/s41556-024-01415-w</w:t>
        </w:r>
      </w:hyperlink>
    </w:p>
    <w:bookmarkEnd w:id="207"/>
    <w:bookmarkStart w:id="209"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08">
        <w:r>
          <w:rPr>
            <w:rStyle w:val="Hyperlink"/>
          </w:rPr>
          <w:t xml:space="preserve">https://doi.org/10.1007/s11356-019-06188-6</w:t>
        </w:r>
      </w:hyperlink>
    </w:p>
    <w:bookmarkEnd w:id="209"/>
    <w:bookmarkStart w:id="211"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10">
        <w:r>
          <w:rPr>
            <w:rStyle w:val="Hyperlink"/>
          </w:rPr>
          <w:t xml:space="preserve">https://doi.org/10.1007/s10811-008-9363-z</w:t>
        </w:r>
      </w:hyperlink>
    </w:p>
    <w:bookmarkEnd w:id="211"/>
    <w:bookmarkStart w:id="213"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12">
        <w:r>
          <w:rPr>
            <w:rStyle w:val="Hyperlink"/>
          </w:rPr>
          <w:t xml:space="preserve">https://doi.org/10.1007/s10811-016-0864-x</w:t>
        </w:r>
      </w:hyperlink>
    </w:p>
    <w:bookmarkEnd w:id="213"/>
    <w:bookmarkStart w:id="215"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14">
        <w:r>
          <w:rPr>
            <w:rStyle w:val="Hyperlink"/>
          </w:rPr>
          <w:t xml:space="preserve">https://doi.org/10.1046/j.1529-8817.1999.3561422.x</w:t>
        </w:r>
      </w:hyperlink>
    </w:p>
    <w:bookmarkEnd w:id="215"/>
    <w:bookmarkEnd w:id="216"/>
    <w:bookmarkEnd w:id="217"/>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8" Target="media/rId38.png"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2" Target="media/rId52.png" /><Relationship Type="http://schemas.openxmlformats.org/officeDocument/2006/relationships/image" Id="rId63" Target="media/rId63.png" /><Relationship Type="http://schemas.openxmlformats.org/officeDocument/2006/relationships/image" Id="rId57" Target="media/rId57.png" /><Relationship Type="http://schemas.openxmlformats.org/officeDocument/2006/relationships/image" Id="rId33" Target="media/rId33.png" /><Relationship Type="http://schemas.openxmlformats.org/officeDocument/2006/relationships/hyperlink" Id="rId94" Target="https://doi.org/10.1002/anie.200702496" TargetMode="External" /><Relationship Type="http://schemas.openxmlformats.org/officeDocument/2006/relationships/hyperlink" Id="rId161" Target="https://doi.org/10.1002/jcp.1041070111" TargetMode="External" /><Relationship Type="http://schemas.openxmlformats.org/officeDocument/2006/relationships/hyperlink" Id="rId200" Target="https://doi.org/10.1007/bf00408253" TargetMode="External" /><Relationship Type="http://schemas.openxmlformats.org/officeDocument/2006/relationships/hyperlink" Id="rId131" Target="https://doi.org/10.1007/s00253-006-0717-7" TargetMode="External" /><Relationship Type="http://schemas.openxmlformats.org/officeDocument/2006/relationships/hyperlink" Id="rId210" Target="https://doi.org/10.1007/s10811-008-9363-z" TargetMode="External" /><Relationship Type="http://schemas.openxmlformats.org/officeDocument/2006/relationships/hyperlink" Id="rId212" Target="https://doi.org/10.1007/s10811-016-0864-x" TargetMode="External" /><Relationship Type="http://schemas.openxmlformats.org/officeDocument/2006/relationships/hyperlink" Id="rId74" Target="https://doi.org/10.1007/s10811-017-1233-0" TargetMode="External" /><Relationship Type="http://schemas.openxmlformats.org/officeDocument/2006/relationships/hyperlink" Id="rId208" Target="https://doi.org/10.1007/s11356-019-06188-6" TargetMode="External" /><Relationship Type="http://schemas.openxmlformats.org/officeDocument/2006/relationships/hyperlink" Id="rId155" Target="https://doi.org/10.1007/s11356-020-07896-0" TargetMode="External" /><Relationship Type="http://schemas.openxmlformats.org/officeDocument/2006/relationships/hyperlink" Id="rId164" Target="https://doi.org/10.1007/s11356-023-27506-z" TargetMode="External" /><Relationship Type="http://schemas.openxmlformats.org/officeDocument/2006/relationships/hyperlink" Id="rId157" Target="https://doi.org/10.1016/0273-1223(95)00472-y" TargetMode="External" /><Relationship Type="http://schemas.openxmlformats.org/officeDocument/2006/relationships/hyperlink" Id="rId183" Target="https://doi.org/10.1016/0273-1223(95)00473-Z" TargetMode="External" /><Relationship Type="http://schemas.openxmlformats.org/officeDocument/2006/relationships/hyperlink" Id="rId105" Target="https://doi.org/10.1016/S0273-1223(99)00538-7" TargetMode="External" /><Relationship Type="http://schemas.openxmlformats.org/officeDocument/2006/relationships/hyperlink" Id="rId137" Target="https://doi.org/10.1016/j.apm.2015.04.016" TargetMode="External" /><Relationship Type="http://schemas.openxmlformats.org/officeDocument/2006/relationships/hyperlink" Id="rId84" Target="https://doi.org/10.1016/j.bpj.2023.11.2493" TargetMode="External" /><Relationship Type="http://schemas.openxmlformats.org/officeDocument/2006/relationships/hyperlink" Id="rId195" Target="https://doi.org/10.1016/j.bse.2014.12.013" TargetMode="External" /><Relationship Type="http://schemas.openxmlformats.org/officeDocument/2006/relationships/hyperlink" Id="rId119" Target="https://doi.org/10.1016/j.ceb.2021.07.011" TargetMode="External" /><Relationship Type="http://schemas.openxmlformats.org/officeDocument/2006/relationships/hyperlink" Id="rId202" Target="https://doi.org/10.1016/j.chemosphere.2018.11.121" TargetMode="External" /><Relationship Type="http://schemas.openxmlformats.org/officeDocument/2006/relationships/hyperlink" Id="rId187" Target="https://doi.org/10.1016/j.ecoenv.2024.116198" TargetMode="External" /><Relationship Type="http://schemas.openxmlformats.org/officeDocument/2006/relationships/hyperlink" Id="rId113" Target="https://doi.org/10.1016/j.ecolmodel.2023.110475" TargetMode="External" /><Relationship Type="http://schemas.openxmlformats.org/officeDocument/2006/relationships/hyperlink" Id="rId121" Target="https://doi.org/10.1016/j.envpol.2021.118594" TargetMode="External" /><Relationship Type="http://schemas.openxmlformats.org/officeDocument/2006/relationships/hyperlink" Id="rId88" Target="https://doi.org/10.1016/j.foodcont.2023.109697" TargetMode="External" /><Relationship Type="http://schemas.openxmlformats.org/officeDocument/2006/relationships/hyperlink" Id="rId125" Target="https://doi.org/10.1016/j.hal.2010.03.003" TargetMode="External" /><Relationship Type="http://schemas.openxmlformats.org/officeDocument/2006/relationships/hyperlink" Id="rId111" Target="https://doi.org/10.1016/j.hal.2019.101658" TargetMode="External" /><Relationship Type="http://schemas.openxmlformats.org/officeDocument/2006/relationships/hyperlink" Id="rId153" Target="https://doi.org/10.1016/j.jenvman.2019.04.123" TargetMode="External" /><Relationship Type="http://schemas.openxmlformats.org/officeDocument/2006/relationships/hyperlink" Id="rId168"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90" Target="https://doi.org/10.1016/j.talanta.2023.125303" TargetMode="External" /><Relationship Type="http://schemas.openxmlformats.org/officeDocument/2006/relationships/hyperlink" Id="rId100" Target="https://doi.org/10.1016/j.tcb.2012.11.006" TargetMode="External" /><Relationship Type="http://schemas.openxmlformats.org/officeDocument/2006/relationships/hyperlink" Id="rId107" Target="https://doi.org/10.1016/j.watres.2006.10.012" TargetMode="External" /><Relationship Type="http://schemas.openxmlformats.org/officeDocument/2006/relationships/hyperlink" Id="rId176" Target="https://doi.org/10.1016/j.watres.2014.09.037" TargetMode="External" /><Relationship Type="http://schemas.openxmlformats.org/officeDocument/2006/relationships/hyperlink" Id="rId170" Target="https://doi.org/10.1016/j.watres.2014.09.038" TargetMode="External" /><Relationship Type="http://schemas.openxmlformats.org/officeDocument/2006/relationships/hyperlink" Id="rId129" Target="https://doi.org/10.1016/j.watres.2019.04.004" TargetMode="External" /><Relationship Type="http://schemas.openxmlformats.org/officeDocument/2006/relationships/hyperlink" Id="rId123" Target="https://doi.org/10.1016/j.watres.2019.06.066" TargetMode="External" /><Relationship Type="http://schemas.openxmlformats.org/officeDocument/2006/relationships/hyperlink" Id="rId189" Target="https://doi.org/10.1016/j.watres.2019.114864" TargetMode="External" /><Relationship Type="http://schemas.openxmlformats.org/officeDocument/2006/relationships/hyperlink" Id="rId191" Target="https://doi.org/10.1016/j.watres.2020.115574" TargetMode="External" /><Relationship Type="http://schemas.openxmlformats.org/officeDocument/2006/relationships/hyperlink" Id="rId92" Target="https://doi.org/10.1016/j.watres.2020.116478" TargetMode="External" /><Relationship Type="http://schemas.openxmlformats.org/officeDocument/2006/relationships/hyperlink" Id="rId135" Target="https://doi.org/10.1016/j.watres.2022.118670" TargetMode="External" /><Relationship Type="http://schemas.openxmlformats.org/officeDocument/2006/relationships/hyperlink" Id="rId86" Target="https://doi.org/10.1016/j.watres.2023.119667" TargetMode="External" /><Relationship Type="http://schemas.openxmlformats.org/officeDocument/2006/relationships/hyperlink" Id="rId133" Target="https://doi.org/10.1016/j.watres.2023.120485" TargetMode="External" /><Relationship Type="http://schemas.openxmlformats.org/officeDocument/2006/relationships/hyperlink" Id="rId174" Target="https://doi.org/10.1016/s0273-1223(99)00531-4" TargetMode="External" /><Relationship Type="http://schemas.openxmlformats.org/officeDocument/2006/relationships/hyperlink" Id="rId185" Target="https://doi.org/10.1021/acsestwater.3c00477" TargetMode="External" /><Relationship Type="http://schemas.openxmlformats.org/officeDocument/2006/relationships/hyperlink" Id="rId103" Target="https://doi.org/10.1021/es102992p" TargetMode="External" /><Relationship Type="http://schemas.openxmlformats.org/officeDocument/2006/relationships/hyperlink" Id="rId98" Target="https://doi.org/10.1038/nature10999" TargetMode="External" /><Relationship Type="http://schemas.openxmlformats.org/officeDocument/2006/relationships/hyperlink" Id="rId147" Target="https://doi.org/10.1038/s41467-018-05388-x" TargetMode="External" /><Relationship Type="http://schemas.openxmlformats.org/officeDocument/2006/relationships/hyperlink" Id="rId76" Target="https://doi.org/10.1038/s41467-024-54175-4" TargetMode="External" /><Relationship Type="http://schemas.openxmlformats.org/officeDocument/2006/relationships/hyperlink" Id="rId172" Target="https://doi.org/10.1038/s41545-022-00181-2" TargetMode="External" /><Relationship Type="http://schemas.openxmlformats.org/officeDocument/2006/relationships/hyperlink" Id="rId206" Target="https://doi.org/10.1038/s41556-024-01415-w" TargetMode="External" /><Relationship Type="http://schemas.openxmlformats.org/officeDocument/2006/relationships/hyperlink" Id="rId81" Target="https://doi.org/10.1038/sj.onc.1207325" TargetMode="External" /><Relationship Type="http://schemas.openxmlformats.org/officeDocument/2006/relationships/hyperlink" Id="rId214" Target="https://doi.org/10.1046/j.1529-8817.1999.3561422.x" TargetMode="External" /><Relationship Type="http://schemas.openxmlformats.org/officeDocument/2006/relationships/hyperlink" Id="rId117" Target="https://doi.org/10.1073/pnas.0802312105" TargetMode="External" /><Relationship Type="http://schemas.openxmlformats.org/officeDocument/2006/relationships/hyperlink" Id="rId204" Target="https://doi.org/10.1073/pnas.1422108112" TargetMode="External" /><Relationship Type="http://schemas.openxmlformats.org/officeDocument/2006/relationships/hyperlink" Id="rId151" Target="https://doi.org/10.1080/10408398.2011.570463" TargetMode="External" /><Relationship Type="http://schemas.openxmlformats.org/officeDocument/2006/relationships/hyperlink" Id="rId149" Target="https://doi.org/10.1080/10408699891274246" TargetMode="External" /><Relationship Type="http://schemas.openxmlformats.org/officeDocument/2006/relationships/hyperlink" Id="rId127" Target="https://doi.org/10.1081/ese-200048262" TargetMode="External" /><Relationship Type="http://schemas.openxmlformats.org/officeDocument/2006/relationships/hyperlink" Id="rId141" Target="https://doi.org/10.1111/are.15568" TargetMode="External" /><Relationship Type="http://schemas.openxmlformats.org/officeDocument/2006/relationships/hyperlink" Id="rId143" Target="https://doi.org/10.1111/gtc.12461" TargetMode="External" /><Relationship Type="http://schemas.openxmlformats.org/officeDocument/2006/relationships/hyperlink" Id="rId96" Target="https://doi.org/10.1111/j.1365-2184.1984.tb00604.x" TargetMode="External" /><Relationship Type="http://schemas.openxmlformats.org/officeDocument/2006/relationships/hyperlink" Id="rId79" Target="https://doi.org/10.1111/j.1529-8817.1993.tb00285.x" TargetMode="External" /><Relationship Type="http://schemas.openxmlformats.org/officeDocument/2006/relationships/hyperlink" Id="rId178" Target="https://doi.org/10.1139/f76-004" TargetMode="External" /><Relationship Type="http://schemas.openxmlformats.org/officeDocument/2006/relationships/hyperlink" Id="rId139" Target="https://doi.org/10.1146/annurev.mi.03.100149.002103" TargetMode="External" /><Relationship Type="http://schemas.openxmlformats.org/officeDocument/2006/relationships/hyperlink" Id="rId159" Target="https://doi.org/10.1186/s12302-018-0175-8" TargetMode="External" /><Relationship Type="http://schemas.openxmlformats.org/officeDocument/2006/relationships/hyperlink" Id="rId197" Target="https://doi.org/10.1371/journal.pone.0018665" TargetMode="External" /><Relationship Type="http://schemas.openxmlformats.org/officeDocument/2006/relationships/hyperlink" Id="rId180" Target="https://doi.org/10.1371/journal.pone.0178691" TargetMode="External" /><Relationship Type="http://schemas.openxmlformats.org/officeDocument/2006/relationships/hyperlink" Id="rId109" Target="https://doi.org/10.2166/wst.2004.0524" TargetMode="External" /><Relationship Type="http://schemas.openxmlformats.org/officeDocument/2006/relationships/hyperlink" Id="rId145" Target="https://doi.org/10.4014/jmb.1702.02069" TargetMode="External" /><Relationship Type="http://schemas.openxmlformats.org/officeDocument/2006/relationships/hyperlink" Id="rId166"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94" Target="https://doi.org/10.1002/anie.200702496" TargetMode="External" /><Relationship Type="http://schemas.openxmlformats.org/officeDocument/2006/relationships/hyperlink" Id="rId161" Target="https://doi.org/10.1002/jcp.1041070111" TargetMode="External" /><Relationship Type="http://schemas.openxmlformats.org/officeDocument/2006/relationships/hyperlink" Id="rId200" Target="https://doi.org/10.1007/bf00408253" TargetMode="External" /><Relationship Type="http://schemas.openxmlformats.org/officeDocument/2006/relationships/hyperlink" Id="rId131" Target="https://doi.org/10.1007/s00253-006-0717-7" TargetMode="External" /><Relationship Type="http://schemas.openxmlformats.org/officeDocument/2006/relationships/hyperlink" Id="rId210" Target="https://doi.org/10.1007/s10811-008-9363-z" TargetMode="External" /><Relationship Type="http://schemas.openxmlformats.org/officeDocument/2006/relationships/hyperlink" Id="rId212" Target="https://doi.org/10.1007/s10811-016-0864-x" TargetMode="External" /><Relationship Type="http://schemas.openxmlformats.org/officeDocument/2006/relationships/hyperlink" Id="rId74" Target="https://doi.org/10.1007/s10811-017-1233-0" TargetMode="External" /><Relationship Type="http://schemas.openxmlformats.org/officeDocument/2006/relationships/hyperlink" Id="rId208" Target="https://doi.org/10.1007/s11356-019-06188-6" TargetMode="External" /><Relationship Type="http://schemas.openxmlformats.org/officeDocument/2006/relationships/hyperlink" Id="rId155" Target="https://doi.org/10.1007/s11356-020-07896-0" TargetMode="External" /><Relationship Type="http://schemas.openxmlformats.org/officeDocument/2006/relationships/hyperlink" Id="rId164" Target="https://doi.org/10.1007/s11356-023-27506-z" TargetMode="External" /><Relationship Type="http://schemas.openxmlformats.org/officeDocument/2006/relationships/hyperlink" Id="rId157" Target="https://doi.org/10.1016/0273-1223(95)00472-y" TargetMode="External" /><Relationship Type="http://schemas.openxmlformats.org/officeDocument/2006/relationships/hyperlink" Id="rId183" Target="https://doi.org/10.1016/0273-1223(95)00473-Z" TargetMode="External" /><Relationship Type="http://schemas.openxmlformats.org/officeDocument/2006/relationships/hyperlink" Id="rId105" Target="https://doi.org/10.1016/S0273-1223(99)00538-7" TargetMode="External" /><Relationship Type="http://schemas.openxmlformats.org/officeDocument/2006/relationships/hyperlink" Id="rId137" Target="https://doi.org/10.1016/j.apm.2015.04.016" TargetMode="External" /><Relationship Type="http://schemas.openxmlformats.org/officeDocument/2006/relationships/hyperlink" Id="rId84" Target="https://doi.org/10.1016/j.bpj.2023.11.2493" TargetMode="External" /><Relationship Type="http://schemas.openxmlformats.org/officeDocument/2006/relationships/hyperlink" Id="rId195" Target="https://doi.org/10.1016/j.bse.2014.12.013" TargetMode="External" /><Relationship Type="http://schemas.openxmlformats.org/officeDocument/2006/relationships/hyperlink" Id="rId119" Target="https://doi.org/10.1016/j.ceb.2021.07.011" TargetMode="External" /><Relationship Type="http://schemas.openxmlformats.org/officeDocument/2006/relationships/hyperlink" Id="rId202" Target="https://doi.org/10.1016/j.chemosphere.2018.11.121" TargetMode="External" /><Relationship Type="http://schemas.openxmlformats.org/officeDocument/2006/relationships/hyperlink" Id="rId187" Target="https://doi.org/10.1016/j.ecoenv.2024.116198" TargetMode="External" /><Relationship Type="http://schemas.openxmlformats.org/officeDocument/2006/relationships/hyperlink" Id="rId113" Target="https://doi.org/10.1016/j.ecolmodel.2023.110475" TargetMode="External" /><Relationship Type="http://schemas.openxmlformats.org/officeDocument/2006/relationships/hyperlink" Id="rId121" Target="https://doi.org/10.1016/j.envpol.2021.118594" TargetMode="External" /><Relationship Type="http://schemas.openxmlformats.org/officeDocument/2006/relationships/hyperlink" Id="rId88" Target="https://doi.org/10.1016/j.foodcont.2023.109697" TargetMode="External" /><Relationship Type="http://schemas.openxmlformats.org/officeDocument/2006/relationships/hyperlink" Id="rId125" Target="https://doi.org/10.1016/j.hal.2010.03.003" TargetMode="External" /><Relationship Type="http://schemas.openxmlformats.org/officeDocument/2006/relationships/hyperlink" Id="rId111" Target="https://doi.org/10.1016/j.hal.2019.101658" TargetMode="External" /><Relationship Type="http://schemas.openxmlformats.org/officeDocument/2006/relationships/hyperlink" Id="rId153" Target="https://doi.org/10.1016/j.jenvman.2019.04.123" TargetMode="External" /><Relationship Type="http://schemas.openxmlformats.org/officeDocument/2006/relationships/hyperlink" Id="rId168"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90" Target="https://doi.org/10.1016/j.talanta.2023.125303" TargetMode="External" /><Relationship Type="http://schemas.openxmlformats.org/officeDocument/2006/relationships/hyperlink" Id="rId100" Target="https://doi.org/10.1016/j.tcb.2012.11.006" TargetMode="External" /><Relationship Type="http://schemas.openxmlformats.org/officeDocument/2006/relationships/hyperlink" Id="rId107" Target="https://doi.org/10.1016/j.watres.2006.10.012" TargetMode="External" /><Relationship Type="http://schemas.openxmlformats.org/officeDocument/2006/relationships/hyperlink" Id="rId176" Target="https://doi.org/10.1016/j.watres.2014.09.037" TargetMode="External" /><Relationship Type="http://schemas.openxmlformats.org/officeDocument/2006/relationships/hyperlink" Id="rId170" Target="https://doi.org/10.1016/j.watres.2014.09.038" TargetMode="External" /><Relationship Type="http://schemas.openxmlformats.org/officeDocument/2006/relationships/hyperlink" Id="rId129" Target="https://doi.org/10.1016/j.watres.2019.04.004" TargetMode="External" /><Relationship Type="http://schemas.openxmlformats.org/officeDocument/2006/relationships/hyperlink" Id="rId123" Target="https://doi.org/10.1016/j.watres.2019.06.066" TargetMode="External" /><Relationship Type="http://schemas.openxmlformats.org/officeDocument/2006/relationships/hyperlink" Id="rId189" Target="https://doi.org/10.1016/j.watres.2019.114864" TargetMode="External" /><Relationship Type="http://schemas.openxmlformats.org/officeDocument/2006/relationships/hyperlink" Id="rId191" Target="https://doi.org/10.1016/j.watres.2020.115574" TargetMode="External" /><Relationship Type="http://schemas.openxmlformats.org/officeDocument/2006/relationships/hyperlink" Id="rId92" Target="https://doi.org/10.1016/j.watres.2020.116478" TargetMode="External" /><Relationship Type="http://schemas.openxmlformats.org/officeDocument/2006/relationships/hyperlink" Id="rId135" Target="https://doi.org/10.1016/j.watres.2022.118670" TargetMode="External" /><Relationship Type="http://schemas.openxmlformats.org/officeDocument/2006/relationships/hyperlink" Id="rId86" Target="https://doi.org/10.1016/j.watres.2023.119667" TargetMode="External" /><Relationship Type="http://schemas.openxmlformats.org/officeDocument/2006/relationships/hyperlink" Id="rId133" Target="https://doi.org/10.1016/j.watres.2023.120485" TargetMode="External" /><Relationship Type="http://schemas.openxmlformats.org/officeDocument/2006/relationships/hyperlink" Id="rId174" Target="https://doi.org/10.1016/s0273-1223(99)00531-4" TargetMode="External" /><Relationship Type="http://schemas.openxmlformats.org/officeDocument/2006/relationships/hyperlink" Id="rId185" Target="https://doi.org/10.1021/acsestwater.3c00477" TargetMode="External" /><Relationship Type="http://schemas.openxmlformats.org/officeDocument/2006/relationships/hyperlink" Id="rId103" Target="https://doi.org/10.1021/es102992p" TargetMode="External" /><Relationship Type="http://schemas.openxmlformats.org/officeDocument/2006/relationships/hyperlink" Id="rId98" Target="https://doi.org/10.1038/nature10999" TargetMode="External" /><Relationship Type="http://schemas.openxmlformats.org/officeDocument/2006/relationships/hyperlink" Id="rId147" Target="https://doi.org/10.1038/s41467-018-05388-x" TargetMode="External" /><Relationship Type="http://schemas.openxmlformats.org/officeDocument/2006/relationships/hyperlink" Id="rId76" Target="https://doi.org/10.1038/s41467-024-54175-4" TargetMode="External" /><Relationship Type="http://schemas.openxmlformats.org/officeDocument/2006/relationships/hyperlink" Id="rId172" Target="https://doi.org/10.1038/s41545-022-00181-2" TargetMode="External" /><Relationship Type="http://schemas.openxmlformats.org/officeDocument/2006/relationships/hyperlink" Id="rId206" Target="https://doi.org/10.1038/s41556-024-01415-w" TargetMode="External" /><Relationship Type="http://schemas.openxmlformats.org/officeDocument/2006/relationships/hyperlink" Id="rId81" Target="https://doi.org/10.1038/sj.onc.1207325" TargetMode="External" /><Relationship Type="http://schemas.openxmlformats.org/officeDocument/2006/relationships/hyperlink" Id="rId214" Target="https://doi.org/10.1046/j.1529-8817.1999.3561422.x" TargetMode="External" /><Relationship Type="http://schemas.openxmlformats.org/officeDocument/2006/relationships/hyperlink" Id="rId117" Target="https://doi.org/10.1073/pnas.0802312105" TargetMode="External" /><Relationship Type="http://schemas.openxmlformats.org/officeDocument/2006/relationships/hyperlink" Id="rId204" Target="https://doi.org/10.1073/pnas.1422108112" TargetMode="External" /><Relationship Type="http://schemas.openxmlformats.org/officeDocument/2006/relationships/hyperlink" Id="rId151" Target="https://doi.org/10.1080/10408398.2011.570463" TargetMode="External" /><Relationship Type="http://schemas.openxmlformats.org/officeDocument/2006/relationships/hyperlink" Id="rId149" Target="https://doi.org/10.1080/10408699891274246" TargetMode="External" /><Relationship Type="http://schemas.openxmlformats.org/officeDocument/2006/relationships/hyperlink" Id="rId127" Target="https://doi.org/10.1081/ese-200048262" TargetMode="External" /><Relationship Type="http://schemas.openxmlformats.org/officeDocument/2006/relationships/hyperlink" Id="rId141" Target="https://doi.org/10.1111/are.15568" TargetMode="External" /><Relationship Type="http://schemas.openxmlformats.org/officeDocument/2006/relationships/hyperlink" Id="rId143" Target="https://doi.org/10.1111/gtc.12461" TargetMode="External" /><Relationship Type="http://schemas.openxmlformats.org/officeDocument/2006/relationships/hyperlink" Id="rId96" Target="https://doi.org/10.1111/j.1365-2184.1984.tb00604.x" TargetMode="External" /><Relationship Type="http://schemas.openxmlformats.org/officeDocument/2006/relationships/hyperlink" Id="rId79" Target="https://doi.org/10.1111/j.1529-8817.1993.tb00285.x" TargetMode="External" /><Relationship Type="http://schemas.openxmlformats.org/officeDocument/2006/relationships/hyperlink" Id="rId178" Target="https://doi.org/10.1139/f76-004" TargetMode="External" /><Relationship Type="http://schemas.openxmlformats.org/officeDocument/2006/relationships/hyperlink" Id="rId139" Target="https://doi.org/10.1146/annurev.mi.03.100149.002103" TargetMode="External" /><Relationship Type="http://schemas.openxmlformats.org/officeDocument/2006/relationships/hyperlink" Id="rId159" Target="https://doi.org/10.1186/s12302-018-0175-8" TargetMode="External" /><Relationship Type="http://schemas.openxmlformats.org/officeDocument/2006/relationships/hyperlink" Id="rId197" Target="https://doi.org/10.1371/journal.pone.0018665" TargetMode="External" /><Relationship Type="http://schemas.openxmlformats.org/officeDocument/2006/relationships/hyperlink" Id="rId180" Target="https://doi.org/10.1371/journal.pone.0178691" TargetMode="External" /><Relationship Type="http://schemas.openxmlformats.org/officeDocument/2006/relationships/hyperlink" Id="rId109" Target="https://doi.org/10.2166/wst.2004.0524" TargetMode="External" /><Relationship Type="http://schemas.openxmlformats.org/officeDocument/2006/relationships/hyperlink" Id="rId145" Target="https://doi.org/10.4014/jmb.1702.02069" TargetMode="External" /><Relationship Type="http://schemas.openxmlformats.org/officeDocument/2006/relationships/hyperlink" Id="rId166"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2025-04-29T14:27:43Z</dcterms:created>
  <dcterms:modified xsi:type="dcterms:W3CDTF">2025-04-29T14:27:43Z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2-Methylisoborneol (MIB), a secondary metabolite produced by odor-forming cyanobacteria, causes musty odors in drinking water, yet its intracellular transport and extracellular release remain poorly understood. Field surveys and laboratory cultures revealed that the ratio of dissolved to total MIB (f = dMIB/tMIB) varies systematically during cyanobacterial growth due to cell crowding effects. We developed a model linking the growth stage (St) of cyanobacteria to MIB distribution. During the exponential phase, f decreases and reaches a minimum at the logistic growth inflection point (T_0, St = 0.5), after which it rises slightly due to increased extracellular release. In the stationary phase, f stabilizes between 0.4 and 0.6, mainly influenced by cell density and carrying capacity. Applying this model to Lake Taihu, we explained two odor events observed in 2022–2023, identified high-risk zones, and showed how light and temperature shifts affect T_0 and odor risk. This approach enhances understanding of cyanobacterial growth and MIB release dynamics, supports early warning of odor events, and aids water utilities in selecting appropriate algal control strategies—whether targeting extracellular MIB removal or minimizing cell lysis during treatment.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2025-04-29</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