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5.png" ContentType="image/png"/>
  <Override PartName="/word/media/rId49.png" ContentType="image/png"/>
  <Override PartName="/word/media/rId54.png" ContentType="image/png"/>
  <Override PartName="/word/media/rId65.png" ContentType="image/png"/>
  <Override PartName="/word/media/rId59.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Mechanistic Modeling of MIB Release Dynamics and Water Quality Implications in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w:t>
      </w:r>
      <w:r>
        <w:rPr>
          <w:vertAlign w:val="superscript"/>
        </w:rPr>
        <w:t xml:space="preserve">-2</w:t>
      </w:r>
      <w:r>
        <w:t xml:space="preserve"> </w:t>
      </w:r>
      <w:r>
        <w:t xml:space="preserve">d</w:t>
      </w:r>
      <w:r>
        <w:rPr>
          <w:vertAlign w:val="superscript"/>
        </w:rPr>
        <w:t xml:space="preserve">-1</w:t>
      </w:r>
      <w:r>
        <w:t xml:space="preserve">), insights not captured by conventional monitoring. The model supports early warning and guides utility responses by linking cellular physiology to odor risk.</w:t>
      </w:r>
    </w:p>
    <w:bookmarkEnd w:id="22"/>
    <w:bookmarkStart w:id="23"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rPr>
          <w:vertAlign w:val="superscript"/>
        </w:rPr>
        <w:t xml:space="preserve">1–3</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MIB can be produced by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rPr>
          <w:vertAlign w:val="superscript"/>
        </w:rPr>
        <w:t xml:space="preserve">15–21</w:t>
      </w:r>
      <w:r>
        <w:t xml:space="preserve">. MIB is a secondary metabolite of odor-producing cyanobacteria, existing in a bound form within the cells by associating with intracellular proteins, which is known as intracellular MIB (</w:t>
      </w:r>
      <m:oMath>
        <m:sSub>
          <m:e>
            <m:r>
              <m:t>i</m:t>
            </m:r>
          </m:e>
          <m:sub>
            <m:r>
              <m:rPr>
                <m:nor/>
                <m:sty m:val="p"/>
              </m:rPr>
              <m:t>MIB</m:t>
            </m:r>
          </m:sub>
        </m:sSub>
      </m:oMath>
      <w:r>
        <w:t xml:space="preserve">)</w:t>
      </w:r>
      <w:r>
        <w:rPr>
          <w:vertAlign w:val="superscript"/>
        </w:rPr>
        <w:t xml:space="preserve">22,23</w:t>
      </w:r>
      <w:r>
        <w:t xml:space="preserve">. When the cell wall ruptures or cells undergo lysis upon death, the intracellular MIB is released into the surrounding water, becoming extracellular MIB (</w:t>
      </w:r>
      <m:oMath>
        <m:sSub>
          <m:e>
            <m:r>
              <m:t>e</m:t>
            </m:r>
          </m:e>
          <m:sub>
            <m:r>
              <m:rPr>
                <m:nor/>
                <m:sty m:val="p"/>
              </m:rPr>
              <m:t>MIB</m:t>
            </m:r>
          </m:sub>
        </m:sSub>
      </m:oMath>
      <w:r>
        <w:t xml:space="preserve">), and the sum of intracellular and extracellular MIB constitutes the total MIB concentration (</w:t>
      </w:r>
      <m:oMath>
        <m:sSub>
          <m:e>
            <m:r>
              <m:t>t</m:t>
            </m:r>
          </m:e>
          <m:sub>
            <m:r>
              <m:rPr>
                <m:nor/>
                <m:sty m:val="p"/>
              </m:rPr>
              <m:t>MIB</m:t>
            </m:r>
          </m:sub>
        </m:sSub>
      </m:oMath>
      <w:r>
        <w:t xml:space="preserve">)</w:t>
      </w:r>
      <w:r>
        <w:rPr>
          <w:vertAlign w:val="superscript"/>
        </w:rPr>
        <w:t xml:space="preserve">24,25</w:t>
      </w:r>
      <w:r>
        <w:t xml:space="preserve">.</w:t>
      </w:r>
    </w:p>
    <w:p>
      <w:pPr>
        <w:pStyle w:val="BodyText"/>
      </w:pPr>
      <w:r>
        <w:t xml:space="preserve">The intracellular and extracellular distribution of MIB is not constant, which may be related to its biosynthesis and release mechanisms</w:t>
      </w:r>
      <w:r>
        <w:rPr>
          <w:vertAlign w:val="superscript"/>
        </w:rPr>
        <w:t xml:space="preserve">25–28</w:t>
      </w:r>
      <w:r>
        <w:t xml:space="preserve">. The biosynthetic pathway of MIB in cyanobacteria primarily involves the methylation of the precursor geranyl diphosphate (GPP) and the subsequent cyclization of methyl-GPP</w:t>
      </w:r>
      <w:r>
        <w:rPr>
          <w:vertAlign w:val="superscript"/>
        </w:rPr>
        <w:t xml:space="preserve">29–31</w:t>
      </w:r>
      <w:r>
        <w:t xml:space="preserve">. During the cyclization process, 2-methylisoborneol synthase (2-MIBS) is encapsulated within the Sg Enc protein shell, where it catalyzes the formation of MIB</w:t>
      </w:r>
      <w:r>
        <w:rPr>
          <w:vertAlign w:val="superscript"/>
        </w:rPr>
        <w:t xml:space="preserve">32</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rPr>
          <w:vertAlign w:val="superscript"/>
        </w:rPr>
        <w:t xml:space="preserve">25,27,33</w:t>
      </w:r>
      <w:r>
        <w:t xml:space="preserve">. TMIB concentrations increase during the exponential phase and decline in the decline phase, consistent with changes in cell density</w:t>
      </w:r>
      <w:r>
        <w:rPr>
          <w:vertAlign w:val="superscript"/>
        </w:rPr>
        <w:t xml:space="preserve">27</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rPr>
          <w:vertAlign w:val="superscript"/>
        </w:rPr>
        <w:t xml:space="preserve">28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rPr>
          <w:vertAlign w:val="superscript"/>
        </w:rPr>
        <w:t xml:space="preserve">25,34,35</w:t>
      </w:r>
      <w:r>
        <w:t xml:space="preserve">. One hypothesis proposes that cyanobacteria increase extracellular geosmin/MIB levels under unfavorable environmental conditions to suppress the growth of competing algal species, thereby maintaining ecological dominance</w:t>
      </w:r>
      <w:r>
        <w:rPr>
          <w:vertAlign w:val="superscript"/>
        </w:rPr>
        <w:t xml:space="preserve">35</w:t>
      </w:r>
      <w:r>
        <w:t xml:space="preserve">. Alternatively, some researchers suggest that extracellular MIB release is merely a consequence of cell damage or death under adverse conditions</w:t>
      </w:r>
      <w:r>
        <w:rPr>
          <w:vertAlign w:val="superscript"/>
        </w:rPr>
        <w:t xml:space="preserve">25,36</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rPr>
          <w:vertAlign w:val="superscript"/>
        </w:rPr>
        <w:t xml:space="preserve">37–40</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rPr>
          <w:vertAlign w:val="superscript"/>
        </w:rPr>
        <w:t xml:space="preserve">41,42</w:t>
      </w:r>
      <w:r>
        <w:t xml:space="preserve">. Additionally, under crowding effects, cells may undergo death due to mechanisms such as triggering programmed cell death, metabolic stress-induced cell damage, mechanical damage caused by spatial constraints, and cell-to-cell interactions</w:t>
      </w:r>
      <w:r>
        <w:rPr>
          <w:vertAlign w:val="superscript"/>
        </w:rPr>
        <w:t xml:space="preserve">43–45</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rPr>
          <w:vertAlign w:val="superscript"/>
        </w:rPr>
        <w:t xml:space="preserve">46–48</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rPr>
          <w:vertAlign w:val="superscript"/>
        </w:rPr>
        <w:t xml:space="preserve">49,50</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rPr>
          <w:vertAlign w:val="superscript"/>
        </w:rPr>
        <w:t xml:space="preserve">48,51</w:t>
      </w:r>
      <w:r>
        <w:t xml:space="preserve">.</w:t>
      </w:r>
    </w:p>
    <w:p>
      <w:pPr>
        <w:pStyle w:val="BodyText"/>
      </w:pPr>
      <w:r>
        <w:t xml:space="preserve">Based on the literature description and our previous research, we found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4"/>
    <w:bookmarkStart w:id="25"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rPr>
          <w:vertAlign w:val="superscript"/>
        </w:rPr>
        <w:t xml:space="preserve">52</w:t>
      </w:r>
      <w:r>
        <w:t xml:space="preserve"> </w:t>
      </w:r>
      <w:r>
        <w:t xml:space="preserve">and allowed to settle for 48 hours. The samples were then pre-concentrated 20-fold and stored in the dark until cell enumeration. Cyanobacterial species were identified according to</w:t>
      </w:r>
      <w:r>
        <w:rPr>
          <w:vertAlign w:val="superscript"/>
        </w:rPr>
        <w:t xml:space="preserve">53</w:t>
      </w:r>
      <w:r>
        <w:t xml:space="preserve">, with revisions based on</w:t>
      </w:r>
      <w:r>
        <w:rPr>
          <w:vertAlign w:val="superscript"/>
        </w:rPr>
        <w:t xml:space="preserve">54</w:t>
      </w:r>
      <w:r>
        <w:t xml:space="preserve">. Phytoplankton identification and enumeration were performed using an upright microscope (Olympus BX53, Japan) following the protocol established by</w:t>
      </w:r>
      <w:r>
        <w:rPr>
          <w:vertAlign w:val="superscript"/>
        </w:rPr>
        <w:t xml:space="preserve">55</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rPr>
          <w:vertAlign w:val="superscript"/>
        </w:rPr>
        <w:t xml:space="preserve">56</w:t>
      </w:r>
      <w:r>
        <w:t xml:space="preserve">, and analysis was conducted within 72 hours using solid-phase microextraction (SPME) coupled with gas chromatography-mass spectrometry (GC-MS) (Agilent 6890/5975, Agilent Tech., USA) following the procedures established by</w:t>
      </w:r>
      <w:r>
        <w:rPr>
          <w:vertAlign w:val="superscript"/>
        </w:rPr>
        <w:t xml:space="preserve">57</w:t>
      </w:r>
      <w:r>
        <w:t xml:space="preserve"> </w:t>
      </w:r>
      <w:r>
        <w:t xml:space="preserve">and previous studies</w:t>
      </w:r>
      <w:r>
        <w:rPr>
          <w:vertAlign w:val="superscript"/>
        </w:rPr>
        <w:t xml:space="preserve">16</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5"/>
    <w:bookmarkStart w:id="30"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rPr>
          <w:vertAlign w:val="superscript"/>
        </w:rPr>
        <w:t xml:space="preserve">48,50</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30"/>
    <w:bookmarkStart w:id="32"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S11). This distribution characterizes the probability of various tMIB concentrations occurring at different cyanobacterial growth stages, providing a basis for assessing MIB-related odor risk.</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2"/>
    <w:bookmarkStart w:id="33"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3"/>
    <w:bookmarkEnd w:id="34"/>
    <w:bookmarkStart w:id="64"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8"/>
        </w:tc>
      </w:tr>
    </w:tbl>
    <w:bookmarkEnd w:id="39"/>
    <w:bookmarkStart w:id="44"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6872404"/>
                  <wp:effectExtent b="0" l="0" r="0" t="0"/>
                  <wp:docPr descr="" title="" id="41" name="Picture"/>
                  <a:graphic>
                    <a:graphicData uri="http://schemas.openxmlformats.org/drawingml/2006/picture">
                      <pic:pic>
                        <pic:nvPicPr>
                          <pic:cNvPr descr="../figures/modelconcept_revised.png" id="42" name="Picture"/>
                          <pic:cNvPicPr>
                            <a:picLocks noChangeArrowheads="1" noChangeAspect="1"/>
                          </pic:cNvPicPr>
                        </pic:nvPicPr>
                        <pic:blipFill>
                          <a:blip r:embed="rId40"/>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rPr>
                <w:vertAlign w:val="superscript"/>
              </w:rPr>
              <w:t xml:space="preserve">33</w:t>
            </w:r>
            <w:r>
              <w:t xml:space="preserve">, and panel D from</w:t>
            </w:r>
            <w:r>
              <w:rPr>
                <w:vertAlign w:val="superscript"/>
              </w:rPr>
              <w:t xml:space="preserve">18</w:t>
            </w:r>
            <w:r>
              <w:t xml:space="preserve">; logistic fitting was performed in this study.</w:t>
            </w:r>
          </w:p>
          <w:bookmarkEnd w:id="43"/>
        </w:tc>
      </w:tr>
    </w:tbl>
    <w:bookmarkEnd w:id="44"/>
    <w:bookmarkStart w:id="53"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8" w:name="fig-period"/>
          <w:p>
            <w:pPr>
              <w:pStyle w:val="Compact"/>
              <w:jc w:val="center"/>
            </w:pPr>
            <w:r>
              <w:drawing>
                <wp:inline>
                  <wp:extent cx="4602480" cy="4820503"/>
                  <wp:effectExtent b="0" l="0" r="0" t="0"/>
                  <wp:docPr descr="" title="" id="46" name="Picture"/>
                  <a:graphic>
                    <a:graphicData uri="http://schemas.openxmlformats.org/drawingml/2006/picture">
                      <pic:pic>
                        <pic:nvPicPr>
                          <pic:cNvPr descr="../figures/period_revised.png" id="47" name="Picture"/>
                          <pic:cNvPicPr>
                            <a:picLocks noChangeArrowheads="1" noChangeAspect="1"/>
                          </pic:cNvPicPr>
                        </pic:nvPicPr>
                        <pic:blipFill>
                          <a:blip r:embed="rId45"/>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8"/>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2" w:name="fig-periodallmonth"/>
          <w:p>
            <w:pPr>
              <w:pStyle w:val="Compact"/>
              <w:jc w:val="center"/>
            </w:pPr>
            <w:r>
              <w:drawing>
                <wp:inline>
                  <wp:extent cx="5753100" cy="2632493"/>
                  <wp:effectExtent b="0" l="0" r="0" t="0"/>
                  <wp:docPr descr="" title="" id="50" name="Picture"/>
                  <a:graphic>
                    <a:graphicData uri="http://schemas.openxmlformats.org/drawingml/2006/picture">
                      <pic:pic>
                        <pic:nvPicPr>
                          <pic:cNvPr descr="../figures/periodallmonth_revised.png" id="51" name="Picture"/>
                          <pic:cNvPicPr>
                            <a:picLocks noChangeArrowheads="1" noChangeAspect="1"/>
                          </pic:cNvPicPr>
                        </pic:nvPicPr>
                        <pic:blipFill>
                          <a:blip r:embed="rId49"/>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2"/>
        </w:tc>
      </w:tr>
    </w:tbl>
    <w:bookmarkEnd w:id="53"/>
    <w:bookmarkStart w:id="58" w:name="Xc9fc0495718dda0beab26885e3b56e361b5dc54"/>
    <w:p>
      <w:pPr>
        <w:pStyle w:val="Heading2"/>
      </w:pPr>
      <w:r>
        <w:t xml:space="preserve">MIB Risk Distribution and Seasonal Variation Across Taihu Lake</w:t>
      </w:r>
    </w:p>
    <w:p>
      <w:pPr>
        <w:pStyle w:val="FirstParagraph"/>
      </w:pPr>
      <w:r>
        <w:t xml:space="preserve">Further analysis of the relationship between the</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revealed the distribution of odor risk throughout the year in Taihu Lake (</w:t>
      </w:r>
      <w:hyperlink w:anchor="fig-risk">
        <w:r>
          <w:rPr>
            <w:rStyle w:val="Hyperlink"/>
          </w:rPr>
          <w:t xml:space="preserve">Fig. 5</w:t>
        </w:r>
      </w:hyperlink>
      <w:r>
        <w:t xml:space="preserve">, Fig. S10).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7" w:name="fig-risk"/>
          <w:p>
            <w:pPr>
              <w:pStyle w:val="Compact"/>
              <w:jc w:val="center"/>
            </w:pPr>
            <w:r>
              <w:drawing>
                <wp:inline>
                  <wp:extent cx="5753100" cy="2632493"/>
                  <wp:effectExtent b="0" l="0" r="0" t="0"/>
                  <wp:docPr descr="" title="" id="55" name="Picture"/>
                  <a:graphic>
                    <a:graphicData uri="http://schemas.openxmlformats.org/drawingml/2006/picture">
                      <pic:pic>
                        <pic:nvPicPr>
                          <pic:cNvPr descr="../figures/risk1_revised.png" id="56" name="Picture"/>
                          <pic:cNvPicPr>
                            <a:picLocks noChangeArrowheads="1" noChangeAspect="1"/>
                          </pic:cNvPicPr>
                        </pic:nvPicPr>
                        <pic:blipFill>
                          <a:blip r:embed="rId54"/>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7"/>
        </w:tc>
      </w:tr>
    </w:tbl>
    <w:bookmarkEnd w:id="58"/>
    <w:bookmarkStart w:id="63"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67670"/>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58,59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60</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61</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62,63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63–66</w:t>
      </w:r>
      <w:r>
        <w:t xml:space="preserve">. From April to May, when the surface water temperature exceeds 20°C, MIB-producing cyanobacteria are already able to grow at a considerable rate</w:t>
      </w:r>
      <w:r>
        <w:rPr>
          <w:vertAlign w:val="superscript"/>
        </w:rPr>
        <w:t xml:space="preserve">67–69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66,70</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71</w:t>
      </w:r>
      <w:r>
        <w:t xml:space="preserve">. Research on microcystin production in Lake Taihu supports this timeline, with significant increases in microcystin concentrations observed only after May</w:t>
      </w:r>
      <w:r>
        <w:rPr>
          <w:vertAlign w:val="superscript"/>
        </w:rPr>
        <w:t xml:space="preserve">62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S12), further contributing to their differential contributions to odor events in aquatic systems.</w:t>
      </w:r>
    </w:p>
    <w:bookmarkEnd w:id="70"/>
    <w:bookmarkStart w:id="71"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9,72–74</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4"/>
    <w:bookmarkStart w:id="76" w:name="associated-content"/>
    <w:p>
      <w:pPr>
        <w:pStyle w:val="Heading1"/>
      </w:pPr>
      <w:r>
        <w:t xml:space="preserve">ASSOCIATED CONTENT</w:t>
      </w:r>
    </w:p>
    <w:bookmarkStart w:id="75"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5"/>
    <w:bookmarkEnd w:id="76"/>
    <w:bookmarkStart w:id="81" w:name="author-information"/>
    <w:p>
      <w:pPr>
        <w:pStyle w:val="Heading1"/>
      </w:pPr>
      <w:r>
        <w:t xml:space="preserve">AUTHOR INFORMATION</w:t>
      </w:r>
    </w:p>
    <w:bookmarkStart w:id="77"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7"/>
    <w:bookmarkStart w:id="78"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8"/>
    <w:bookmarkStart w:id="79" w:name="author-contributions"/>
    <w:p>
      <w:pPr>
        <w:pStyle w:val="Heading2"/>
      </w:pPr>
      <w:r>
        <w:t xml:space="preserve">Author contributions</w:t>
      </w:r>
    </w:p>
    <w:bookmarkEnd w:id="79"/>
    <w:bookmarkStart w:id="80" w:name="notes"/>
    <w:p>
      <w:pPr>
        <w:pStyle w:val="Heading2"/>
      </w:pPr>
      <w:r>
        <w:t xml:space="preserve">Notes</w:t>
      </w:r>
    </w:p>
    <w:p>
      <w:pPr>
        <w:pStyle w:val="FirstParagraph"/>
      </w:pPr>
      <w:r>
        <w:t xml:space="preserve">The authors declare no competing financial interest.</w:t>
      </w:r>
    </w:p>
    <w:bookmarkEnd w:id="80"/>
    <w:bookmarkEnd w:id="81"/>
    <w:bookmarkStart w:id="223" w:name="references"/>
    <w:p>
      <w:pPr>
        <w:pStyle w:val="Heading1"/>
      </w:pPr>
      <w:r>
        <w:t xml:space="preserve">References</w:t>
      </w:r>
    </w:p>
    <w:bookmarkStart w:id="222" w:name="refs"/>
    <w:bookmarkStart w:id="82"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2"/>
    <w:bookmarkStart w:id="84"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3">
        <w:r>
          <w:rPr>
            <w:rStyle w:val="Hyperlink"/>
          </w:rPr>
          <w:t xml:space="preserve">10.1016/j.watres.2020.116478</w:t>
        </w:r>
      </w:hyperlink>
      <w:r>
        <w:t xml:space="preserve">.</w:t>
      </w:r>
    </w:p>
    <w:bookmarkEnd w:id="84"/>
    <w:bookmarkStart w:id="86"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5">
        <w:r>
          <w:rPr>
            <w:rStyle w:val="Hyperlink"/>
          </w:rPr>
          <w:t xml:space="preserve">10.1016/j.watres.2014.09.037</w:t>
        </w:r>
      </w:hyperlink>
      <w:r>
        <w:t xml:space="preserve">.</w:t>
      </w:r>
    </w:p>
    <w:bookmarkEnd w:id="86"/>
    <w:bookmarkStart w:id="88"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7">
        <w:r>
          <w:rPr>
            <w:rStyle w:val="Hyperlink"/>
          </w:rPr>
          <w:t xml:space="preserve">10.2166/wst.2004.0524</w:t>
        </w:r>
      </w:hyperlink>
      <w:r>
        <w:t xml:space="preserve">.</w:t>
      </w:r>
    </w:p>
    <w:bookmarkEnd w:id="88"/>
    <w:bookmarkStart w:id="90"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9">
        <w:r>
          <w:rPr>
            <w:rStyle w:val="Hyperlink"/>
          </w:rPr>
          <w:t xml:space="preserve">10.1021/acsestwater.3c00477</w:t>
        </w:r>
      </w:hyperlink>
      <w:r>
        <w:t xml:space="preserve">.</w:t>
      </w:r>
    </w:p>
    <w:bookmarkEnd w:id="90"/>
    <w:bookmarkStart w:id="92"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1">
        <w:r>
          <w:rPr>
            <w:rStyle w:val="Hyperlink"/>
          </w:rPr>
          <w:t xml:space="preserve">10.1016/s0273-1223(99)00531-4</w:t>
        </w:r>
      </w:hyperlink>
      <w:r>
        <w:t xml:space="preserve">.</w:t>
      </w:r>
    </w:p>
    <w:bookmarkEnd w:id="92"/>
    <w:bookmarkStart w:id="94"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3">
        <w:r>
          <w:rPr>
            <w:rStyle w:val="Hyperlink"/>
          </w:rPr>
          <w:t xml:space="preserve">10.1016/S0273-1223(99)00538-7</w:t>
        </w:r>
      </w:hyperlink>
      <w:r>
        <w:t xml:space="preserve">.</w:t>
      </w:r>
    </w:p>
    <w:bookmarkEnd w:id="94"/>
    <w:bookmarkStart w:id="96"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5">
        <w:r>
          <w:rPr>
            <w:rStyle w:val="Hyperlink"/>
          </w:rPr>
          <w:t xml:space="preserve">10.1016/j.watres.2020.115574</w:t>
        </w:r>
      </w:hyperlink>
      <w:r>
        <w:t xml:space="preserve">.</w:t>
      </w:r>
    </w:p>
    <w:bookmarkEnd w:id="96"/>
    <w:bookmarkStart w:id="98"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7">
        <w:r>
          <w:rPr>
            <w:rStyle w:val="Hyperlink"/>
          </w:rPr>
          <w:t xml:space="preserve">10.1016/j.watres.2019.06.066</w:t>
        </w:r>
      </w:hyperlink>
      <w:r>
        <w:t xml:space="preserve">.</w:t>
      </w:r>
    </w:p>
    <w:bookmarkEnd w:id="98"/>
    <w:bookmarkStart w:id="99"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9"/>
    <w:bookmarkStart w:id="100"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0"/>
    <w:bookmarkStart w:id="102"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1">
        <w:r>
          <w:rPr>
            <w:rStyle w:val="Hyperlink"/>
          </w:rPr>
          <w:t xml:space="preserve">10.1139/f76-004</w:t>
        </w:r>
      </w:hyperlink>
      <w:r>
        <w:t xml:space="preserve">.</w:t>
      </w:r>
    </w:p>
    <w:bookmarkEnd w:id="102"/>
    <w:bookmarkStart w:id="104"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3">
        <w:r>
          <w:rPr>
            <w:rStyle w:val="Hyperlink"/>
          </w:rPr>
          <w:t xml:space="preserve">10.1073/pnas.1422108112</w:t>
        </w:r>
      </w:hyperlink>
      <w:r>
        <w:t xml:space="preserve">.</w:t>
      </w:r>
    </w:p>
    <w:bookmarkEnd w:id="104"/>
    <w:bookmarkStart w:id="106"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5">
        <w:r>
          <w:rPr>
            <w:rStyle w:val="Hyperlink"/>
          </w:rPr>
          <w:t xml:space="preserve">10.1002/anie.200702496</w:t>
        </w:r>
      </w:hyperlink>
      <w:r>
        <w:t xml:space="preserve">.</w:t>
      </w:r>
    </w:p>
    <w:bookmarkEnd w:id="106"/>
    <w:bookmarkStart w:id="108"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7">
        <w:r>
          <w:rPr>
            <w:rStyle w:val="Hyperlink"/>
          </w:rPr>
          <w:t xml:space="preserve">10.1016/j.jes.2021.03.026</w:t>
        </w:r>
      </w:hyperlink>
      <w:r>
        <w:t xml:space="preserve">.</w:t>
      </w:r>
    </w:p>
    <w:bookmarkEnd w:id="108"/>
    <w:bookmarkStart w:id="110"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9">
        <w:r>
          <w:rPr>
            <w:rStyle w:val="Hyperlink"/>
          </w:rPr>
          <w:t xml:space="preserve">10.1016/j.watres.2014.09.038</w:t>
        </w:r>
      </w:hyperlink>
      <w:r>
        <w:t xml:space="preserve">.</w:t>
      </w:r>
    </w:p>
    <w:bookmarkEnd w:id="110"/>
    <w:bookmarkStart w:id="112"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1">
        <w:r>
          <w:rPr>
            <w:rStyle w:val="Hyperlink"/>
          </w:rPr>
          <w:t xml:space="preserve">10.1016/j.watres.2023.120485</w:t>
        </w:r>
      </w:hyperlink>
      <w:r>
        <w:t xml:space="preserve">.</w:t>
      </w:r>
    </w:p>
    <w:bookmarkEnd w:id="112"/>
    <w:bookmarkStart w:id="114"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3">
        <w:r>
          <w:rPr>
            <w:rStyle w:val="Hyperlink"/>
          </w:rPr>
          <w:t xml:space="preserve">https://doi.org/10.1016/j.watres.2023.119667</w:t>
        </w:r>
      </w:hyperlink>
      <w:r>
        <w:t xml:space="preserve">.</w:t>
      </w:r>
    </w:p>
    <w:bookmarkEnd w:id="114"/>
    <w:bookmarkStart w:id="116"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5">
        <w:r>
          <w:rPr>
            <w:rStyle w:val="Hyperlink"/>
          </w:rPr>
          <w:t xml:space="preserve">10.1016/j.watres.2006.10.012</w:t>
        </w:r>
      </w:hyperlink>
      <w:r>
        <w:t xml:space="preserve">.</w:t>
      </w:r>
    </w:p>
    <w:bookmarkEnd w:id="116"/>
    <w:bookmarkStart w:id="118"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7">
        <w:r>
          <w:rPr>
            <w:rStyle w:val="Hyperlink"/>
          </w:rPr>
          <w:t xml:space="preserve">10.1016/0273-1223(95)00473-Z</w:t>
        </w:r>
      </w:hyperlink>
      <w:r>
        <w:t xml:space="preserve">.</w:t>
      </w:r>
    </w:p>
    <w:bookmarkEnd w:id="118"/>
    <w:bookmarkStart w:id="120"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9">
        <w:r>
          <w:rPr>
            <w:rStyle w:val="Hyperlink"/>
          </w:rPr>
          <w:t xml:space="preserve">10.1007/s10811-008-9363-z</w:t>
        </w:r>
      </w:hyperlink>
      <w:r>
        <w:t xml:space="preserve">.</w:t>
      </w:r>
    </w:p>
    <w:bookmarkEnd w:id="120"/>
    <w:bookmarkStart w:id="121"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1"/>
    <w:bookmarkStart w:id="123"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2">
        <w:r>
          <w:rPr>
            <w:rStyle w:val="Hyperlink"/>
          </w:rPr>
          <w:t xml:space="preserve">10.1007/bf00408253</w:t>
        </w:r>
      </w:hyperlink>
      <w:r>
        <w:t xml:space="preserve">.</w:t>
      </w:r>
    </w:p>
    <w:bookmarkEnd w:id="123"/>
    <w:bookmarkStart w:id="125"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4">
        <w:r>
          <w:rPr>
            <w:rStyle w:val="Hyperlink"/>
          </w:rPr>
          <w:t xml:space="preserve">10.1016/0273-1223(95)00472-y</w:t>
        </w:r>
      </w:hyperlink>
      <w:r>
        <w:t xml:space="preserve">.</w:t>
      </w:r>
    </w:p>
    <w:bookmarkEnd w:id="125"/>
    <w:bookmarkStart w:id="127"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6">
        <w:r>
          <w:rPr>
            <w:rStyle w:val="Hyperlink"/>
          </w:rPr>
          <w:t xml:space="preserve">10.1007/s10811-016-0864-x</w:t>
        </w:r>
      </w:hyperlink>
      <w:r>
        <w:t xml:space="preserve">.</w:t>
      </w:r>
    </w:p>
    <w:bookmarkEnd w:id="127"/>
    <w:bookmarkStart w:id="129"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8">
        <w:r>
          <w:rPr>
            <w:rStyle w:val="Hyperlink"/>
          </w:rPr>
          <w:t xml:space="preserve">10.4014/jmb.1702.02069</w:t>
        </w:r>
      </w:hyperlink>
      <w:r>
        <w:t xml:space="preserve">.</w:t>
      </w:r>
    </w:p>
    <w:bookmarkEnd w:id="129"/>
    <w:bookmarkStart w:id="131"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0">
        <w:r>
          <w:rPr>
            <w:rStyle w:val="Hyperlink"/>
          </w:rPr>
          <w:t xml:space="preserve">10.1016/j.ecoenv.2024.116198</w:t>
        </w:r>
      </w:hyperlink>
      <w:r>
        <w:t xml:space="preserve">.</w:t>
      </w:r>
    </w:p>
    <w:bookmarkEnd w:id="131"/>
    <w:bookmarkStart w:id="133"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2">
        <w:r>
          <w:rPr>
            <w:rStyle w:val="Hyperlink"/>
          </w:rPr>
          <w:t xml:space="preserve">10.1007/s10811-017-1233-0</w:t>
        </w:r>
      </w:hyperlink>
      <w:r>
        <w:t xml:space="preserve">.</w:t>
      </w:r>
    </w:p>
    <w:bookmarkEnd w:id="133"/>
    <w:bookmarkStart w:id="135"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4">
        <w:r>
          <w:rPr>
            <w:rStyle w:val="Hyperlink"/>
          </w:rPr>
          <w:t xml:space="preserve">10.1021/es102992p</w:t>
        </w:r>
      </w:hyperlink>
      <w:r>
        <w:t xml:space="preserve">.</w:t>
      </w:r>
    </w:p>
    <w:bookmarkEnd w:id="135"/>
    <w:bookmarkStart w:id="137"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6">
        <w:r>
          <w:rPr>
            <w:rStyle w:val="Hyperlink"/>
          </w:rPr>
          <w:t xml:space="preserve">10.1371/journal.pone.0018665</w:t>
        </w:r>
      </w:hyperlink>
      <w:r>
        <w:t xml:space="preserve">.</w:t>
      </w:r>
    </w:p>
    <w:bookmarkEnd w:id="137"/>
    <w:bookmarkStart w:id="139"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8">
        <w:r>
          <w:rPr>
            <w:rStyle w:val="Hyperlink"/>
          </w:rPr>
          <w:t xml:space="preserve">10.1073/pnas.0802312105</w:t>
        </w:r>
      </w:hyperlink>
      <w:r>
        <w:t xml:space="preserve">.</w:t>
      </w:r>
    </w:p>
    <w:bookmarkEnd w:id="139"/>
    <w:bookmarkStart w:id="141"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0">
        <w:r>
          <w:rPr>
            <w:rStyle w:val="Hyperlink"/>
          </w:rPr>
          <w:t xml:space="preserve">10.1038/s41467-024-54175-4</w:t>
        </w:r>
      </w:hyperlink>
      <w:r>
        <w:t xml:space="preserve">.</w:t>
      </w:r>
    </w:p>
    <w:bookmarkEnd w:id="141"/>
    <w:bookmarkStart w:id="143"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2">
        <w:r>
          <w:rPr>
            <w:rStyle w:val="Hyperlink"/>
          </w:rPr>
          <w:t xml:space="preserve">10.1016/j.watres.2022.118670</w:t>
        </w:r>
      </w:hyperlink>
      <w:r>
        <w:t xml:space="preserve">.</w:t>
      </w:r>
    </w:p>
    <w:bookmarkEnd w:id="143"/>
    <w:bookmarkStart w:id="145"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4">
        <w:r>
          <w:rPr>
            <w:rStyle w:val="Hyperlink"/>
          </w:rPr>
          <w:t xml:space="preserve">10.1016/j.hal.2019.101658</w:t>
        </w:r>
      </w:hyperlink>
      <w:r>
        <w:t xml:space="preserve">.</w:t>
      </w:r>
    </w:p>
    <w:bookmarkEnd w:id="145"/>
    <w:bookmarkStart w:id="147"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6">
        <w:r>
          <w:rPr>
            <w:rStyle w:val="Hyperlink"/>
          </w:rPr>
          <w:t xml:space="preserve">10.1016/j.bse.2014.12.013</w:t>
        </w:r>
      </w:hyperlink>
      <w:r>
        <w:t xml:space="preserve">.</w:t>
      </w:r>
    </w:p>
    <w:bookmarkEnd w:id="147"/>
    <w:bookmarkStart w:id="149"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8">
        <w:r>
          <w:rPr>
            <w:rStyle w:val="Hyperlink"/>
          </w:rPr>
          <w:t xml:space="preserve">10.1046/j.1529-8817.1999.3561422.x</w:t>
        </w:r>
      </w:hyperlink>
      <w:r>
        <w:t xml:space="preserve">.</w:t>
      </w:r>
    </w:p>
    <w:bookmarkEnd w:id="149"/>
    <w:bookmarkStart w:id="151"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0">
        <w:r>
          <w:rPr>
            <w:rStyle w:val="Hyperlink"/>
          </w:rPr>
          <w:t xml:space="preserve">10.1016/j.tcb.2012.11.006</w:t>
        </w:r>
      </w:hyperlink>
      <w:r>
        <w:t xml:space="preserve">.</w:t>
      </w:r>
    </w:p>
    <w:bookmarkEnd w:id="151"/>
    <w:bookmarkStart w:id="153"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2">
        <w:r>
          <w:rPr>
            <w:rStyle w:val="Hyperlink"/>
          </w:rPr>
          <w:t xml:space="preserve">10.1016/j.bpj.2023.11.2493</w:t>
        </w:r>
      </w:hyperlink>
      <w:r>
        <w:t xml:space="preserve">.</w:t>
      </w:r>
    </w:p>
    <w:bookmarkEnd w:id="153"/>
    <w:bookmarkStart w:id="155"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4">
        <w:r>
          <w:rPr>
            <w:rStyle w:val="Hyperlink"/>
          </w:rPr>
          <w:t xml:space="preserve">10.1038/s41556-024-01415-w</w:t>
        </w:r>
      </w:hyperlink>
      <w:r>
        <w:t xml:space="preserve">.</w:t>
      </w:r>
    </w:p>
    <w:bookmarkEnd w:id="155"/>
    <w:bookmarkStart w:id="157"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6">
        <w:r>
          <w:rPr>
            <w:rStyle w:val="Hyperlink"/>
          </w:rPr>
          <w:t xml:space="preserve">10.1016/j.ceb.2021.07.011</w:t>
        </w:r>
      </w:hyperlink>
      <w:r>
        <w:t xml:space="preserve">.</w:t>
      </w:r>
    </w:p>
    <w:bookmarkEnd w:id="157"/>
    <w:bookmarkStart w:id="159"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8">
        <w:r>
          <w:rPr>
            <w:rStyle w:val="Hyperlink"/>
          </w:rPr>
          <w:t xml:space="preserve">10.1111/j.1365-2184.1984.tb00604.x</w:t>
        </w:r>
      </w:hyperlink>
      <w:r>
        <w:t xml:space="preserve">.</w:t>
      </w:r>
    </w:p>
    <w:bookmarkEnd w:id="159"/>
    <w:bookmarkStart w:id="161"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0">
        <w:r>
          <w:rPr>
            <w:rStyle w:val="Hyperlink"/>
          </w:rPr>
          <w:t xml:space="preserve">10.1038/nature10999</w:t>
        </w:r>
      </w:hyperlink>
      <w:r>
        <w:t xml:space="preserve">.</w:t>
      </w:r>
    </w:p>
    <w:bookmarkEnd w:id="161"/>
    <w:bookmarkStart w:id="163"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2">
        <w:r>
          <w:rPr>
            <w:rStyle w:val="Hyperlink"/>
          </w:rPr>
          <w:t xml:space="preserve">10.1038/sj.onc.1207325</w:t>
        </w:r>
      </w:hyperlink>
      <w:r>
        <w:t xml:space="preserve">.</w:t>
      </w:r>
    </w:p>
    <w:bookmarkEnd w:id="163"/>
    <w:bookmarkStart w:id="165"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4">
        <w:r>
          <w:rPr>
            <w:rStyle w:val="Hyperlink"/>
          </w:rPr>
          <w:t xml:space="preserve">10.1111/gtc.12461</w:t>
        </w:r>
      </w:hyperlink>
      <w:r>
        <w:t xml:space="preserve">.</w:t>
      </w:r>
    </w:p>
    <w:bookmarkEnd w:id="165"/>
    <w:bookmarkStart w:id="167"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6">
        <w:r>
          <w:rPr>
            <w:rStyle w:val="Hyperlink"/>
          </w:rPr>
          <w:t xml:space="preserve">10.1002/jcp.1041070111</w:t>
        </w:r>
      </w:hyperlink>
      <w:r>
        <w:t xml:space="preserve">.</w:t>
      </w:r>
    </w:p>
    <w:bookmarkEnd w:id="167"/>
    <w:bookmarkStart w:id="169"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8">
        <w:r>
          <w:rPr>
            <w:rStyle w:val="Hyperlink"/>
          </w:rPr>
          <w:t xml:space="preserve">10.1371/journal.pone.0178691</w:t>
        </w:r>
      </w:hyperlink>
      <w:r>
        <w:t xml:space="preserve">.</w:t>
      </w:r>
    </w:p>
    <w:bookmarkEnd w:id="169"/>
    <w:bookmarkStart w:id="171"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0">
        <w:r>
          <w:rPr>
            <w:rStyle w:val="Hyperlink"/>
          </w:rPr>
          <w:t xml:space="preserve">10.1016/j.apm.2015.04.016</w:t>
        </w:r>
      </w:hyperlink>
      <w:r>
        <w:t xml:space="preserve">.</w:t>
      </w:r>
    </w:p>
    <w:bookmarkEnd w:id="171"/>
    <w:bookmarkStart w:id="173"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2">
        <w:r>
          <w:rPr>
            <w:rStyle w:val="Hyperlink"/>
          </w:rPr>
          <w:t xml:space="preserve">10.1080/10408699891274246</w:t>
        </w:r>
      </w:hyperlink>
      <w:r>
        <w:t xml:space="preserve">.</w:t>
      </w:r>
    </w:p>
    <w:bookmarkEnd w:id="173"/>
    <w:bookmarkStart w:id="175"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4">
        <w:r>
          <w:rPr>
            <w:rStyle w:val="Hyperlink"/>
          </w:rPr>
          <w:t xml:space="preserve">10.1016/j.jtbi.2023.111645</w:t>
        </w:r>
      </w:hyperlink>
      <w:r>
        <w:t xml:space="preserve">.</w:t>
      </w:r>
    </w:p>
    <w:bookmarkEnd w:id="175"/>
    <w:bookmarkStart w:id="177"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6">
        <w:r>
          <w:rPr>
            <w:rStyle w:val="Hyperlink"/>
          </w:rPr>
          <w:t xml:space="preserve">10.1016/j.ecolmodel.2023.110475</w:t>
        </w:r>
      </w:hyperlink>
      <w:r>
        <w:t xml:space="preserve">.</w:t>
      </w:r>
    </w:p>
    <w:bookmarkEnd w:id="177"/>
    <w:bookmarkStart w:id="179" w:name="ref-peleg2011microbial"/>
    <w:p>
      <w:pPr>
        <w:pStyle w:val="Bibliography"/>
      </w:pPr>
      <w:r>
        <w:t xml:space="preserve">(51)</w:t>
      </w:r>
      <w:r>
        <w:t xml:space="preserve"> </w:t>
      </w:r>
      <w:r>
        <w:t xml:space="preserve">	</w:t>
      </w:r>
      <w:r>
        <w:t xml:space="preserve">Peleg, M.; Corradini, M. G. Microbial Growth Curves: What the Models Tell Us and What They Cannot.</w:t>
      </w:r>
      <w:r>
        <w:t xml:space="preserve"> </w:t>
      </w:r>
      <w:r>
        <w:rPr>
          <w:i/>
          <w:iCs/>
        </w:rPr>
        <w:t xml:space="preserve">Critical Reviews in Food Science and Nutrition</w:t>
      </w:r>
      <w:r>
        <w:t xml:space="preserve"> </w:t>
      </w:r>
      <w:r>
        <w:rPr>
          <w:b/>
          <w:bCs/>
        </w:rPr>
        <w:t xml:space="preserve">2011</w:t>
      </w:r>
      <w:r>
        <w:t xml:space="preserve">,</w:t>
      </w:r>
      <w:r>
        <w:t xml:space="preserve"> </w:t>
      </w:r>
      <w:r>
        <w:rPr>
          <w:i/>
          <w:iCs/>
        </w:rPr>
        <w:t xml:space="preserve">51</w:t>
      </w:r>
      <w:r>
        <w:t xml:space="preserve"> </w:t>
      </w:r>
      <w:r>
        <w:t xml:space="preserve">(10), 917–945. https://doi.org/</w:t>
      </w:r>
      <w:hyperlink r:id="rId178">
        <w:r>
          <w:rPr>
            <w:rStyle w:val="Hyperlink"/>
          </w:rPr>
          <w:t xml:space="preserve">10.1080/10408398.2011.570463</w:t>
        </w:r>
      </w:hyperlink>
      <w:r>
        <w:t xml:space="preserve">.</w:t>
      </w:r>
    </w:p>
    <w:bookmarkEnd w:id="179"/>
    <w:bookmarkStart w:id="180" w:name="ref-sherr1993preservation"/>
    <w:p>
      <w:pPr>
        <w:pStyle w:val="Bibliography"/>
      </w:pPr>
      <w:r>
        <w:t xml:space="preserve">(52)</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0"/>
    <w:bookmarkStart w:id="181" w:name="ref-komarek1998cyanoprokaryota"/>
    <w:p>
      <w:pPr>
        <w:pStyle w:val="Bibliography"/>
      </w:pPr>
      <w:r>
        <w:t xml:space="preserve">(53)</w:t>
      </w:r>
      <w:r>
        <w:t xml:space="preserve"> </w:t>
      </w:r>
      <w:r>
        <w:t xml:space="preserve">	</w:t>
      </w:r>
      <w:r>
        <w:t xml:space="preserve">Komárek, J.; Anagnostidis, K.</w:t>
      </w:r>
      <w:r>
        <w:t xml:space="preserve"> </w:t>
      </w:r>
      <w:r>
        <w:rPr>
          <w:i/>
          <w:iCs/>
        </w:rPr>
        <w:t xml:space="preserve">Cyanoprokaryota 1</w:t>
      </w:r>
      <w:r>
        <w:t xml:space="preserve">; Deu, 1998; Vol. 19(1).</w:t>
      </w:r>
    </w:p>
    <w:bookmarkEnd w:id="181"/>
    <w:bookmarkStart w:id="182" w:name="ref-komarek2014taxonomic"/>
    <w:p>
      <w:pPr>
        <w:pStyle w:val="Bibliography"/>
      </w:pPr>
      <w:r>
        <w:t xml:space="preserve">(54)</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2"/>
    <w:bookmarkStart w:id="183" w:name="ref-utermohl1958vervollkommnung"/>
    <w:p>
      <w:pPr>
        <w:pStyle w:val="Bibliography"/>
      </w:pPr>
      <w:r>
        <w:t xml:space="preserve">(55)</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3"/>
    <w:bookmarkStart w:id="185" w:name="ref-li2010cyanobacterial"/>
    <w:p>
      <w:pPr>
        <w:pStyle w:val="Bibliography"/>
      </w:pPr>
      <w:r>
        <w:t xml:space="preserve">(56)</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4">
        <w:r>
          <w:rPr>
            <w:rStyle w:val="Hyperlink"/>
          </w:rPr>
          <w:t xml:space="preserve">10.1016/j.hal.2010.03.003</w:t>
        </w:r>
      </w:hyperlink>
      <w:r>
        <w:t xml:space="preserve">.</w:t>
      </w:r>
    </w:p>
    <w:bookmarkEnd w:id="185"/>
    <w:bookmarkStart w:id="187" w:name="ref-liang2005removal"/>
    <w:p>
      <w:pPr>
        <w:pStyle w:val="Bibliography"/>
      </w:pPr>
      <w:r>
        <w:t xml:space="preserve">(57)</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6">
        <w:r>
          <w:rPr>
            <w:rStyle w:val="Hyperlink"/>
          </w:rPr>
          <w:t xml:space="preserve">10.1081/ese-200048262</w:t>
        </w:r>
      </w:hyperlink>
      <w:r>
        <w:t xml:space="preserve">.</w:t>
      </w:r>
    </w:p>
    <w:bookmarkEnd w:id="187"/>
    <w:bookmarkStart w:id="189" w:name="ref-liu2019production"/>
    <w:p>
      <w:pPr>
        <w:pStyle w:val="Bibliography"/>
      </w:pPr>
      <w:r>
        <w:t xml:space="preserve">(58)</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88">
        <w:r>
          <w:rPr>
            <w:rStyle w:val="Hyperlink"/>
          </w:rPr>
          <w:t xml:space="preserve">10.1016/j.watres.2019.04.004</w:t>
        </w:r>
      </w:hyperlink>
      <w:r>
        <w:t xml:space="preserve">.</w:t>
      </w:r>
    </w:p>
    <w:bookmarkEnd w:id="189"/>
    <w:bookmarkStart w:id="191" w:name="ref-perkins2019managing"/>
    <w:p>
      <w:pPr>
        <w:pStyle w:val="Bibliography"/>
      </w:pPr>
      <w:r>
        <w:t xml:space="preserve">(59)</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0">
        <w:r>
          <w:rPr>
            <w:rStyle w:val="Hyperlink"/>
          </w:rPr>
          <w:t xml:space="preserve">10.1016/j.jenvman.2019.04.123</w:t>
        </w:r>
      </w:hyperlink>
      <w:r>
        <w:t xml:space="preserve">.</w:t>
      </w:r>
    </w:p>
    <w:bookmarkEnd w:id="191"/>
    <w:bookmarkStart w:id="193" w:name="ref-bafford1993intracellular"/>
    <w:p>
      <w:pPr>
        <w:pStyle w:val="Bibliography"/>
      </w:pPr>
      <w:r>
        <w:t xml:space="preserve">(60)</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2">
        <w:r>
          <w:rPr>
            <w:rStyle w:val="Hyperlink"/>
          </w:rPr>
          <w:t xml:space="preserve">10.1111/j.1529-8817.1993.tb00285.x</w:t>
        </w:r>
      </w:hyperlink>
      <w:r>
        <w:t xml:space="preserve">.</w:t>
      </w:r>
    </w:p>
    <w:bookmarkEnd w:id="193"/>
    <w:bookmarkStart w:id="195" w:name="ref-pavel2018contact"/>
    <w:p>
      <w:pPr>
        <w:pStyle w:val="Bibliography"/>
      </w:pPr>
      <w:r>
        <w:t xml:space="preserve">(61)</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194">
        <w:r>
          <w:rPr>
            <w:rStyle w:val="Hyperlink"/>
          </w:rPr>
          <w:t xml:space="preserve">10.1038/s41467-018-05388-x</w:t>
        </w:r>
      </w:hyperlink>
      <w:r>
        <w:t xml:space="preserve">.</w:t>
      </w:r>
    </w:p>
    <w:bookmarkEnd w:id="195"/>
    <w:bookmarkStart w:id="197" w:name="ref-li2022cooccurrence"/>
    <w:p>
      <w:pPr>
        <w:pStyle w:val="Bibliography"/>
      </w:pPr>
      <w:r>
        <w:t xml:space="preserve">(62)</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196">
        <w:r>
          <w:rPr>
            <w:rStyle w:val="Hyperlink"/>
          </w:rPr>
          <w:t xml:space="preserve">10.1016/j.envpol.2021.118594</w:t>
        </w:r>
      </w:hyperlink>
      <w:r>
        <w:t xml:space="preserve">.</w:t>
      </w:r>
    </w:p>
    <w:bookmarkEnd w:id="197"/>
    <w:bookmarkStart w:id="199" w:name="ref-shi2023distribution"/>
    <w:p>
      <w:pPr>
        <w:pStyle w:val="Bibliography"/>
      </w:pPr>
      <w:r>
        <w:t xml:space="preserve">(63)</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198">
        <w:r>
          <w:rPr>
            <w:rStyle w:val="Hyperlink"/>
          </w:rPr>
          <w:t xml:space="preserve">10.1007/s11356-023-27506-z</w:t>
        </w:r>
      </w:hyperlink>
      <w:r>
        <w:t xml:space="preserve">.</w:t>
      </w:r>
    </w:p>
    <w:bookmarkEnd w:id="199"/>
    <w:bookmarkStart w:id="201" w:name="ref-qi2020characterization"/>
    <w:p>
      <w:pPr>
        <w:pStyle w:val="Bibliography"/>
      </w:pPr>
      <w:r>
        <w:t xml:space="preserve">(64)</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0">
        <w:r>
          <w:rPr>
            <w:rStyle w:val="Hyperlink"/>
          </w:rPr>
          <w:t xml:space="preserve">10.1007/s11356-020-07896-0</w:t>
        </w:r>
      </w:hyperlink>
      <w:r>
        <w:t xml:space="preserve">.</w:t>
      </w:r>
    </w:p>
    <w:bookmarkEnd w:id="201"/>
    <w:bookmarkStart w:id="203" w:name="ref-rong2018source"/>
    <w:p>
      <w:pPr>
        <w:pStyle w:val="Bibliography"/>
      </w:pPr>
      <w:r>
        <w:t xml:space="preserve">(65)</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2">
        <w:r>
          <w:rPr>
            <w:rStyle w:val="Hyperlink"/>
          </w:rPr>
          <w:t xml:space="preserve">10.1186/s12302-018-0175-8</w:t>
        </w:r>
      </w:hyperlink>
      <w:r>
        <w:t xml:space="preserve">.</w:t>
      </w:r>
    </w:p>
    <w:bookmarkEnd w:id="203"/>
    <w:bookmarkStart w:id="205" w:name="ref-su2022lightdominated"/>
    <w:p>
      <w:pPr>
        <w:pStyle w:val="Bibliography"/>
      </w:pPr>
      <w:r>
        <w:t xml:space="preserve">(66)</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04">
        <w:r>
          <w:rPr>
            <w:rStyle w:val="Hyperlink"/>
          </w:rPr>
          <w:t xml:space="preserve">10.1038/s41545-022-00181-2</w:t>
        </w:r>
      </w:hyperlink>
      <w:r>
        <w:t xml:space="preserve">.</w:t>
      </w:r>
    </w:p>
    <w:bookmarkEnd w:id="205"/>
    <w:bookmarkStart w:id="207" w:name="ref-nan2021enclosure"/>
    <w:p>
      <w:pPr>
        <w:pStyle w:val="Bibliography"/>
      </w:pPr>
      <w:r>
        <w:t xml:space="preserve">(67)</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06">
        <w:r>
          <w:rPr>
            <w:rStyle w:val="Hyperlink"/>
          </w:rPr>
          <w:t xml:space="preserve">10.1111/are.15568</w:t>
        </w:r>
      </w:hyperlink>
      <w:r>
        <w:t xml:space="preserve">.</w:t>
      </w:r>
    </w:p>
    <w:bookmarkEnd w:id="207"/>
    <w:bookmarkStart w:id="209" w:name="ref-wang2019causality"/>
    <w:p>
      <w:pPr>
        <w:pStyle w:val="Bibliography"/>
      </w:pPr>
      <w:r>
        <w:t xml:space="preserve">(68)</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08">
        <w:r>
          <w:rPr>
            <w:rStyle w:val="Hyperlink"/>
          </w:rPr>
          <w:t xml:space="preserve">10.1016/j.watres.2019.114864</w:t>
        </w:r>
      </w:hyperlink>
      <w:r>
        <w:t xml:space="preserve">.</w:t>
      </w:r>
    </w:p>
    <w:bookmarkEnd w:id="209"/>
    <w:bookmarkStart w:id="211" w:name="ref-yu2019taste"/>
    <w:p>
      <w:pPr>
        <w:pStyle w:val="Bibliography"/>
      </w:pPr>
      <w:r>
        <w:t xml:space="preserve">(69)</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0">
        <w:r>
          <w:rPr>
            <w:rStyle w:val="Hyperlink"/>
          </w:rPr>
          <w:t xml:space="preserve">10.1007/s11356-019-06188-6</w:t>
        </w:r>
      </w:hyperlink>
      <w:r>
        <w:t xml:space="preserve">.</w:t>
      </w:r>
    </w:p>
    <w:bookmarkEnd w:id="211"/>
    <w:bookmarkStart w:id="213" w:name="ref-su2019succession"/>
    <w:p>
      <w:pPr>
        <w:pStyle w:val="Bibliography"/>
      </w:pPr>
      <w:r>
        <w:t xml:space="preserve">(70)</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2">
        <w:r>
          <w:rPr>
            <w:rStyle w:val="Hyperlink"/>
          </w:rPr>
          <w:t xml:space="preserve">J.scitotenv.2018.08.307</w:t>
        </w:r>
      </w:hyperlink>
      <w:r>
        <w:t xml:space="preserve">.</w:t>
      </w:r>
    </w:p>
    <w:bookmarkEnd w:id="213"/>
    <w:bookmarkStart w:id="215" w:name="ref-xuwei2019the"/>
    <w:p>
      <w:pPr>
        <w:pStyle w:val="Bibliography"/>
      </w:pPr>
      <w:r>
        <w:t xml:space="preserve">(71)</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14">
        <w:r>
          <w:rPr>
            <w:rStyle w:val="Hyperlink"/>
          </w:rPr>
          <w:t xml:space="preserve">10.1016/j.chemosphere.2018.11.121</w:t>
        </w:r>
      </w:hyperlink>
      <w:r>
        <w:t xml:space="preserve">.</w:t>
      </w:r>
    </w:p>
    <w:bookmarkEnd w:id="215"/>
    <w:bookmarkStart w:id="217" w:name="ref-li2022different"/>
    <w:p>
      <w:pPr>
        <w:pStyle w:val="Bibliography"/>
      </w:pPr>
      <w:r>
        <w:t xml:space="preserve">(72)</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16">
        <w:r>
          <w:rPr>
            <w:rStyle w:val="Hyperlink"/>
          </w:rPr>
          <w:t xml:space="preserve">10.1016/j.cej.2022.135962</w:t>
        </w:r>
      </w:hyperlink>
      <w:r>
        <w:t xml:space="preserve">.</w:t>
      </w:r>
    </w:p>
    <w:bookmarkEnd w:id="217"/>
    <w:bookmarkStart w:id="219" w:name="ref-zamyadi2015fate"/>
    <w:p>
      <w:pPr>
        <w:pStyle w:val="Bibliography"/>
      </w:pPr>
      <w:r>
        <w:t xml:space="preserve">(73)</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18">
        <w:r>
          <w:rPr>
            <w:rStyle w:val="Hyperlink"/>
          </w:rPr>
          <w:t xml:space="preserve">10.1016/j.watres.2015.06.038</w:t>
        </w:r>
      </w:hyperlink>
      <w:r>
        <w:t xml:space="preserve">.</w:t>
      </w:r>
    </w:p>
    <w:bookmarkEnd w:id="219"/>
    <w:bookmarkStart w:id="221" w:name="ref-drikas2009removal"/>
    <w:p>
      <w:pPr>
        <w:pStyle w:val="Bibliography"/>
      </w:pPr>
      <w:r>
        <w:t xml:space="preserve">(74)</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0">
        <w:r>
          <w:rPr>
            <w:rStyle w:val="Hyperlink"/>
          </w:rPr>
          <w:t xml:space="preserve">10.1016/j.watres.2009.08.016</w:t>
        </w:r>
      </w:hyperlink>
      <w:r>
        <w:t xml:space="preserve">.</w:t>
      </w:r>
    </w:p>
    <w:bookmarkEnd w:id="221"/>
    <w:bookmarkEnd w:id="222"/>
    <w:bookmarkEnd w:id="22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5" Target="media/rId35.png" /><Relationship Type="http://schemas.openxmlformats.org/officeDocument/2006/relationships/hyperlink" Id="rId105"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122" Target="https://doi.org/10.1007/bf00408253" TargetMode="External" /><Relationship Type="http://schemas.openxmlformats.org/officeDocument/2006/relationships/hyperlink" Id="rId119" Target="https://doi.org/10.1007/s10811-008-9363-z" TargetMode="External" /><Relationship Type="http://schemas.openxmlformats.org/officeDocument/2006/relationships/hyperlink" Id="rId126" Target="https://doi.org/10.1007/s10811-016-0864-x" TargetMode="External" /><Relationship Type="http://schemas.openxmlformats.org/officeDocument/2006/relationships/hyperlink" Id="rId132" Target="https://doi.org/10.1007/s10811-017-1233-0" TargetMode="External" /><Relationship Type="http://schemas.openxmlformats.org/officeDocument/2006/relationships/hyperlink" Id="rId210" Target="https://doi.org/10.1007/s11356-019-06188-6" TargetMode="External" /><Relationship Type="http://schemas.openxmlformats.org/officeDocument/2006/relationships/hyperlink" Id="rId200" Target="https://doi.org/10.1007/s11356-020-07896-0" TargetMode="External" /><Relationship Type="http://schemas.openxmlformats.org/officeDocument/2006/relationships/hyperlink" Id="rId198" Target="https://doi.org/10.1007/s11356-023-27506-z" TargetMode="External" /><Relationship Type="http://schemas.openxmlformats.org/officeDocument/2006/relationships/hyperlink" Id="rId124" Target="https://doi.org/10.1016/0273-1223(95)00472-y" TargetMode="External" /><Relationship Type="http://schemas.openxmlformats.org/officeDocument/2006/relationships/hyperlink" Id="rId117" Target="https://doi.org/10.1016/0273-1223(95)00473-Z" TargetMode="External" /><Relationship Type="http://schemas.openxmlformats.org/officeDocument/2006/relationships/hyperlink" Id="rId93" Target="https://doi.org/10.1016/S0273-1223(99)00538-7" TargetMode="External" /><Relationship Type="http://schemas.openxmlformats.org/officeDocument/2006/relationships/hyperlink" Id="rId170" Target="https://doi.org/10.1016/j.apm.2015.04.016" TargetMode="External" /><Relationship Type="http://schemas.openxmlformats.org/officeDocument/2006/relationships/hyperlink" Id="rId152" Target="https://doi.org/10.1016/j.bpj.2023.11.2493" TargetMode="External" /><Relationship Type="http://schemas.openxmlformats.org/officeDocument/2006/relationships/hyperlink" Id="rId146" Target="https://doi.org/10.1016/j.bse.2014.12.013" TargetMode="External" /><Relationship Type="http://schemas.openxmlformats.org/officeDocument/2006/relationships/hyperlink" Id="rId156" Target="https://doi.org/10.1016/j.ceb.2021.07.011" TargetMode="External" /><Relationship Type="http://schemas.openxmlformats.org/officeDocument/2006/relationships/hyperlink" Id="rId216" Target="https://doi.org/10.1016/j.cej.2022.135962" TargetMode="External" /><Relationship Type="http://schemas.openxmlformats.org/officeDocument/2006/relationships/hyperlink" Id="rId214" Target="https://doi.org/10.1016/j.chemosphere.2018.11.121" TargetMode="External" /><Relationship Type="http://schemas.openxmlformats.org/officeDocument/2006/relationships/hyperlink" Id="rId130" Target="https://doi.org/10.1016/j.ecoenv.2024.116198" TargetMode="External" /><Relationship Type="http://schemas.openxmlformats.org/officeDocument/2006/relationships/hyperlink" Id="rId176" Target="https://doi.org/10.1016/j.ecolmodel.2023.110475" TargetMode="External" /><Relationship Type="http://schemas.openxmlformats.org/officeDocument/2006/relationships/hyperlink" Id="rId196" Target="https://doi.org/10.1016/j.envpol.2021.118594" TargetMode="External" /><Relationship Type="http://schemas.openxmlformats.org/officeDocument/2006/relationships/hyperlink" Id="rId184" Target="https://doi.org/10.1016/j.hal.2010.03.003" TargetMode="External" /><Relationship Type="http://schemas.openxmlformats.org/officeDocument/2006/relationships/hyperlink" Id="rId144" Target="https://doi.org/10.1016/j.hal.2019.101658" TargetMode="External" /><Relationship Type="http://schemas.openxmlformats.org/officeDocument/2006/relationships/hyperlink" Id="rId190" Target="https://doi.org/10.1016/j.jenvman.2019.04.123" TargetMode="External" /><Relationship Type="http://schemas.openxmlformats.org/officeDocument/2006/relationships/hyperlink" Id="rId107" Target="https://doi.org/10.1016/j.jes.2021.03.026" TargetMode="External" /><Relationship Type="http://schemas.openxmlformats.org/officeDocument/2006/relationships/hyperlink" Id="rId174" Target="https://doi.org/10.1016/j.jtbi.2023.111645" TargetMode="External" /><Relationship Type="http://schemas.openxmlformats.org/officeDocument/2006/relationships/hyperlink" Id="rId150" Target="https://doi.org/10.1016/j.tcb.2012.11.006" TargetMode="External" /><Relationship Type="http://schemas.openxmlformats.org/officeDocument/2006/relationships/hyperlink" Id="rId115" Target="https://doi.org/10.1016/j.watres.2006.10.012" TargetMode="External" /><Relationship Type="http://schemas.openxmlformats.org/officeDocument/2006/relationships/hyperlink" Id="rId220" Target="https://doi.org/10.1016/j.watres.2009.08.016" TargetMode="External" /><Relationship Type="http://schemas.openxmlformats.org/officeDocument/2006/relationships/hyperlink" Id="rId85" Target="https://doi.org/10.1016/j.watres.2014.09.037" TargetMode="External" /><Relationship Type="http://schemas.openxmlformats.org/officeDocument/2006/relationships/hyperlink" Id="rId109"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88" Target="https://doi.org/10.1016/j.watres.2019.04.004" TargetMode="External" /><Relationship Type="http://schemas.openxmlformats.org/officeDocument/2006/relationships/hyperlink" Id="rId97" Target="https://doi.org/10.1016/j.watres.2019.06.066" TargetMode="External" /><Relationship Type="http://schemas.openxmlformats.org/officeDocument/2006/relationships/hyperlink" Id="rId208" Target="https://doi.org/10.1016/j.watres.2019.114864" TargetMode="External" /><Relationship Type="http://schemas.openxmlformats.org/officeDocument/2006/relationships/hyperlink" Id="rId95"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113" Target="https://doi.org/10.1016/j.watres.2023.119667" TargetMode="External" /><Relationship Type="http://schemas.openxmlformats.org/officeDocument/2006/relationships/hyperlink" Id="rId111" Target="https://doi.org/10.1016/j.watres.2023.120485" TargetMode="External" /><Relationship Type="http://schemas.openxmlformats.org/officeDocument/2006/relationships/hyperlink" Id="rId91" Target="https://doi.org/10.1016/s0273-1223(99)00531-4" TargetMode="External" /><Relationship Type="http://schemas.openxmlformats.org/officeDocument/2006/relationships/hyperlink" Id="rId89" Target="https://doi.org/10.1021/acsestwater.3c00477" TargetMode="External" /><Relationship Type="http://schemas.openxmlformats.org/officeDocument/2006/relationships/hyperlink" Id="rId134" Target="https://doi.org/10.1021/es102992p" TargetMode="External" /><Relationship Type="http://schemas.openxmlformats.org/officeDocument/2006/relationships/hyperlink" Id="rId160" Target="https://doi.org/10.1038/nature10999" TargetMode="External" /><Relationship Type="http://schemas.openxmlformats.org/officeDocument/2006/relationships/hyperlink" Id="rId194" Target="https://doi.org/10.1038/s41467-018-05388-x" TargetMode="External" /><Relationship Type="http://schemas.openxmlformats.org/officeDocument/2006/relationships/hyperlink" Id="rId140" Target="https://doi.org/10.1038/s41467-024-54175-4" TargetMode="External" /><Relationship Type="http://schemas.openxmlformats.org/officeDocument/2006/relationships/hyperlink" Id="rId204" Target="https://doi.org/10.1038/s41545-022-00181-2" TargetMode="External" /><Relationship Type="http://schemas.openxmlformats.org/officeDocument/2006/relationships/hyperlink" Id="rId154" Target="https://doi.org/10.1038/s41556-024-01415-w" TargetMode="External" /><Relationship Type="http://schemas.openxmlformats.org/officeDocument/2006/relationships/hyperlink" Id="rId162" Target="https://doi.org/10.1038/sj.onc.1207325" TargetMode="External" /><Relationship Type="http://schemas.openxmlformats.org/officeDocument/2006/relationships/hyperlink" Id="rId148" Target="https://doi.org/10.1046/j.1529-8817.1999.3561422.x" TargetMode="External" /><Relationship Type="http://schemas.openxmlformats.org/officeDocument/2006/relationships/hyperlink" Id="rId138" Target="https://doi.org/10.1073/pnas.0802312105" TargetMode="External" /><Relationship Type="http://schemas.openxmlformats.org/officeDocument/2006/relationships/hyperlink" Id="rId103" Target="https://doi.org/10.1073/pnas.1422108112" TargetMode="External" /><Relationship Type="http://schemas.openxmlformats.org/officeDocument/2006/relationships/hyperlink" Id="rId178" Target="https://doi.org/10.1080/10408398.2011.570463" TargetMode="External" /><Relationship Type="http://schemas.openxmlformats.org/officeDocument/2006/relationships/hyperlink" Id="rId172" Target="https://doi.org/10.1080/10408699891274246" TargetMode="External" /><Relationship Type="http://schemas.openxmlformats.org/officeDocument/2006/relationships/hyperlink" Id="rId186" Target="https://doi.org/10.1081/ese-200048262" TargetMode="External" /><Relationship Type="http://schemas.openxmlformats.org/officeDocument/2006/relationships/hyperlink" Id="rId206"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58" Target="https://doi.org/10.1111/j.1365-2184.1984.tb00604.x" TargetMode="External" /><Relationship Type="http://schemas.openxmlformats.org/officeDocument/2006/relationships/hyperlink" Id="rId192" Target="https://doi.org/10.1111/j.1529-8817.1993.tb00285.x" TargetMode="External" /><Relationship Type="http://schemas.openxmlformats.org/officeDocument/2006/relationships/hyperlink" Id="rId101" Target="https://doi.org/10.1139/f76-004" TargetMode="External" /><Relationship Type="http://schemas.openxmlformats.org/officeDocument/2006/relationships/hyperlink" Id="rId202" Target="https://doi.org/10.1186/s12302-018-0175-8" TargetMode="External" /><Relationship Type="http://schemas.openxmlformats.org/officeDocument/2006/relationships/hyperlink" Id="rId136" Target="https://doi.org/10.1371/journal.pone.0018665" TargetMode="External" /><Relationship Type="http://schemas.openxmlformats.org/officeDocument/2006/relationships/hyperlink" Id="rId168" Target="https://doi.org/10.1371/journal.pone.0178691" TargetMode="External" /><Relationship Type="http://schemas.openxmlformats.org/officeDocument/2006/relationships/hyperlink" Id="rId87" Target="https://doi.org/10.2166/wst.2004.0524" TargetMode="External" /><Relationship Type="http://schemas.openxmlformats.org/officeDocument/2006/relationships/hyperlink" Id="rId128" Target="https://doi.org/10.4014/jmb.1702.02069" TargetMode="External" /><Relationship Type="http://schemas.openxmlformats.org/officeDocument/2006/relationships/hyperlink" Id="rId212"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5"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122" Target="https://doi.org/10.1007/bf00408253" TargetMode="External" /><Relationship Type="http://schemas.openxmlformats.org/officeDocument/2006/relationships/hyperlink" Id="rId119" Target="https://doi.org/10.1007/s10811-008-9363-z" TargetMode="External" /><Relationship Type="http://schemas.openxmlformats.org/officeDocument/2006/relationships/hyperlink" Id="rId126" Target="https://doi.org/10.1007/s10811-016-0864-x" TargetMode="External" /><Relationship Type="http://schemas.openxmlformats.org/officeDocument/2006/relationships/hyperlink" Id="rId132" Target="https://doi.org/10.1007/s10811-017-1233-0" TargetMode="External" /><Relationship Type="http://schemas.openxmlformats.org/officeDocument/2006/relationships/hyperlink" Id="rId210" Target="https://doi.org/10.1007/s11356-019-06188-6" TargetMode="External" /><Relationship Type="http://schemas.openxmlformats.org/officeDocument/2006/relationships/hyperlink" Id="rId200" Target="https://doi.org/10.1007/s11356-020-07896-0" TargetMode="External" /><Relationship Type="http://schemas.openxmlformats.org/officeDocument/2006/relationships/hyperlink" Id="rId198" Target="https://doi.org/10.1007/s11356-023-27506-z" TargetMode="External" /><Relationship Type="http://schemas.openxmlformats.org/officeDocument/2006/relationships/hyperlink" Id="rId124" Target="https://doi.org/10.1016/0273-1223(95)00472-y" TargetMode="External" /><Relationship Type="http://schemas.openxmlformats.org/officeDocument/2006/relationships/hyperlink" Id="rId117" Target="https://doi.org/10.1016/0273-1223(95)00473-Z" TargetMode="External" /><Relationship Type="http://schemas.openxmlformats.org/officeDocument/2006/relationships/hyperlink" Id="rId93" Target="https://doi.org/10.1016/S0273-1223(99)00538-7" TargetMode="External" /><Relationship Type="http://schemas.openxmlformats.org/officeDocument/2006/relationships/hyperlink" Id="rId170" Target="https://doi.org/10.1016/j.apm.2015.04.016" TargetMode="External" /><Relationship Type="http://schemas.openxmlformats.org/officeDocument/2006/relationships/hyperlink" Id="rId152" Target="https://doi.org/10.1016/j.bpj.2023.11.2493" TargetMode="External" /><Relationship Type="http://schemas.openxmlformats.org/officeDocument/2006/relationships/hyperlink" Id="rId146" Target="https://doi.org/10.1016/j.bse.2014.12.013" TargetMode="External" /><Relationship Type="http://schemas.openxmlformats.org/officeDocument/2006/relationships/hyperlink" Id="rId156" Target="https://doi.org/10.1016/j.ceb.2021.07.011" TargetMode="External" /><Relationship Type="http://schemas.openxmlformats.org/officeDocument/2006/relationships/hyperlink" Id="rId216" Target="https://doi.org/10.1016/j.cej.2022.135962" TargetMode="External" /><Relationship Type="http://schemas.openxmlformats.org/officeDocument/2006/relationships/hyperlink" Id="rId214" Target="https://doi.org/10.1016/j.chemosphere.2018.11.121" TargetMode="External" /><Relationship Type="http://schemas.openxmlformats.org/officeDocument/2006/relationships/hyperlink" Id="rId130" Target="https://doi.org/10.1016/j.ecoenv.2024.116198" TargetMode="External" /><Relationship Type="http://schemas.openxmlformats.org/officeDocument/2006/relationships/hyperlink" Id="rId176" Target="https://doi.org/10.1016/j.ecolmodel.2023.110475" TargetMode="External" /><Relationship Type="http://schemas.openxmlformats.org/officeDocument/2006/relationships/hyperlink" Id="rId196" Target="https://doi.org/10.1016/j.envpol.2021.118594" TargetMode="External" /><Relationship Type="http://schemas.openxmlformats.org/officeDocument/2006/relationships/hyperlink" Id="rId184" Target="https://doi.org/10.1016/j.hal.2010.03.003" TargetMode="External" /><Relationship Type="http://schemas.openxmlformats.org/officeDocument/2006/relationships/hyperlink" Id="rId144" Target="https://doi.org/10.1016/j.hal.2019.101658" TargetMode="External" /><Relationship Type="http://schemas.openxmlformats.org/officeDocument/2006/relationships/hyperlink" Id="rId190" Target="https://doi.org/10.1016/j.jenvman.2019.04.123" TargetMode="External" /><Relationship Type="http://schemas.openxmlformats.org/officeDocument/2006/relationships/hyperlink" Id="rId107" Target="https://doi.org/10.1016/j.jes.2021.03.026" TargetMode="External" /><Relationship Type="http://schemas.openxmlformats.org/officeDocument/2006/relationships/hyperlink" Id="rId174" Target="https://doi.org/10.1016/j.jtbi.2023.111645" TargetMode="External" /><Relationship Type="http://schemas.openxmlformats.org/officeDocument/2006/relationships/hyperlink" Id="rId150" Target="https://doi.org/10.1016/j.tcb.2012.11.006" TargetMode="External" /><Relationship Type="http://schemas.openxmlformats.org/officeDocument/2006/relationships/hyperlink" Id="rId115" Target="https://doi.org/10.1016/j.watres.2006.10.012" TargetMode="External" /><Relationship Type="http://schemas.openxmlformats.org/officeDocument/2006/relationships/hyperlink" Id="rId220" Target="https://doi.org/10.1016/j.watres.2009.08.016" TargetMode="External" /><Relationship Type="http://schemas.openxmlformats.org/officeDocument/2006/relationships/hyperlink" Id="rId85" Target="https://doi.org/10.1016/j.watres.2014.09.037" TargetMode="External" /><Relationship Type="http://schemas.openxmlformats.org/officeDocument/2006/relationships/hyperlink" Id="rId109"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88" Target="https://doi.org/10.1016/j.watres.2019.04.004" TargetMode="External" /><Relationship Type="http://schemas.openxmlformats.org/officeDocument/2006/relationships/hyperlink" Id="rId97" Target="https://doi.org/10.1016/j.watres.2019.06.066" TargetMode="External" /><Relationship Type="http://schemas.openxmlformats.org/officeDocument/2006/relationships/hyperlink" Id="rId208" Target="https://doi.org/10.1016/j.watres.2019.114864" TargetMode="External" /><Relationship Type="http://schemas.openxmlformats.org/officeDocument/2006/relationships/hyperlink" Id="rId95"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113" Target="https://doi.org/10.1016/j.watres.2023.119667" TargetMode="External" /><Relationship Type="http://schemas.openxmlformats.org/officeDocument/2006/relationships/hyperlink" Id="rId111" Target="https://doi.org/10.1016/j.watres.2023.120485" TargetMode="External" /><Relationship Type="http://schemas.openxmlformats.org/officeDocument/2006/relationships/hyperlink" Id="rId91" Target="https://doi.org/10.1016/s0273-1223(99)00531-4" TargetMode="External" /><Relationship Type="http://schemas.openxmlformats.org/officeDocument/2006/relationships/hyperlink" Id="rId89" Target="https://doi.org/10.1021/acsestwater.3c00477" TargetMode="External" /><Relationship Type="http://schemas.openxmlformats.org/officeDocument/2006/relationships/hyperlink" Id="rId134" Target="https://doi.org/10.1021/es102992p" TargetMode="External" /><Relationship Type="http://schemas.openxmlformats.org/officeDocument/2006/relationships/hyperlink" Id="rId160" Target="https://doi.org/10.1038/nature10999" TargetMode="External" /><Relationship Type="http://schemas.openxmlformats.org/officeDocument/2006/relationships/hyperlink" Id="rId194" Target="https://doi.org/10.1038/s41467-018-05388-x" TargetMode="External" /><Relationship Type="http://schemas.openxmlformats.org/officeDocument/2006/relationships/hyperlink" Id="rId140" Target="https://doi.org/10.1038/s41467-024-54175-4" TargetMode="External" /><Relationship Type="http://schemas.openxmlformats.org/officeDocument/2006/relationships/hyperlink" Id="rId204" Target="https://doi.org/10.1038/s41545-022-00181-2" TargetMode="External" /><Relationship Type="http://schemas.openxmlformats.org/officeDocument/2006/relationships/hyperlink" Id="rId154" Target="https://doi.org/10.1038/s41556-024-01415-w" TargetMode="External" /><Relationship Type="http://schemas.openxmlformats.org/officeDocument/2006/relationships/hyperlink" Id="rId162" Target="https://doi.org/10.1038/sj.onc.1207325" TargetMode="External" /><Relationship Type="http://schemas.openxmlformats.org/officeDocument/2006/relationships/hyperlink" Id="rId148" Target="https://doi.org/10.1046/j.1529-8817.1999.3561422.x" TargetMode="External" /><Relationship Type="http://schemas.openxmlformats.org/officeDocument/2006/relationships/hyperlink" Id="rId138" Target="https://doi.org/10.1073/pnas.0802312105" TargetMode="External" /><Relationship Type="http://schemas.openxmlformats.org/officeDocument/2006/relationships/hyperlink" Id="rId103" Target="https://doi.org/10.1073/pnas.1422108112" TargetMode="External" /><Relationship Type="http://schemas.openxmlformats.org/officeDocument/2006/relationships/hyperlink" Id="rId178" Target="https://doi.org/10.1080/10408398.2011.570463" TargetMode="External" /><Relationship Type="http://schemas.openxmlformats.org/officeDocument/2006/relationships/hyperlink" Id="rId172" Target="https://doi.org/10.1080/10408699891274246" TargetMode="External" /><Relationship Type="http://schemas.openxmlformats.org/officeDocument/2006/relationships/hyperlink" Id="rId186" Target="https://doi.org/10.1081/ese-200048262" TargetMode="External" /><Relationship Type="http://schemas.openxmlformats.org/officeDocument/2006/relationships/hyperlink" Id="rId206"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58" Target="https://doi.org/10.1111/j.1365-2184.1984.tb00604.x" TargetMode="External" /><Relationship Type="http://schemas.openxmlformats.org/officeDocument/2006/relationships/hyperlink" Id="rId192" Target="https://doi.org/10.1111/j.1529-8817.1993.tb00285.x" TargetMode="External" /><Relationship Type="http://schemas.openxmlformats.org/officeDocument/2006/relationships/hyperlink" Id="rId101" Target="https://doi.org/10.1139/f76-004" TargetMode="External" /><Relationship Type="http://schemas.openxmlformats.org/officeDocument/2006/relationships/hyperlink" Id="rId202" Target="https://doi.org/10.1186/s12302-018-0175-8" TargetMode="External" /><Relationship Type="http://schemas.openxmlformats.org/officeDocument/2006/relationships/hyperlink" Id="rId136" Target="https://doi.org/10.1371/journal.pone.0018665" TargetMode="External" /><Relationship Type="http://schemas.openxmlformats.org/officeDocument/2006/relationships/hyperlink" Id="rId168" Target="https://doi.org/10.1371/journal.pone.0178691" TargetMode="External" /><Relationship Type="http://schemas.openxmlformats.org/officeDocument/2006/relationships/hyperlink" Id="rId87" Target="https://doi.org/10.2166/wst.2004.0524" TargetMode="External" /><Relationship Type="http://schemas.openxmlformats.org/officeDocument/2006/relationships/hyperlink" Id="rId128" Target="https://doi.org/10.4014/jmb.1702.02069" TargetMode="External" /><Relationship Type="http://schemas.openxmlformats.org/officeDocument/2006/relationships/hyperlink" Id="rId212"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Mechanistic Modeling of MIB Release Dynamics and Water Quality Implications in Lake Taihu</dc:title>
  <dc:creator>Yufan Ai†,1,4, Yongnian Wu†,2, Ming Su†,1,4,✉, Yuying Gui1,3, Yifan Du1, Jiao Fang1, Tengxin Cao1,4, and Min Yang1,4,✉</dc:creator>
  <dc:language>en</dc:language>
  <cp:keywords/>
  <dcterms:created xsi:type="dcterms:W3CDTF">2025-06-01T06:37:59Z</dcterms:created>
  <dcterms:modified xsi:type="dcterms:W3CDTF">2025-06-01T06:37:59Z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