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0.png" ContentType="image/png"/>
  <Override PartName="/word/media/rId44.png" ContentType="image/png"/>
  <Override PartName="/word/media/rId49.png" ContentType="image/png"/>
  <Override PartName="/word/media/rId53.png" ContentType="image/png"/>
  <Override PartName="/word/media/rId64.png" ContentType="image/png"/>
  <Override PartName="/word/media/rId58.png" ContentType="image/png"/>
  <Override PartName="/word/media/rId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MIB Release Dynamics and Implications for Lake Taihu</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2" w:name="abstract"/>
    <w:p>
      <w:pPr>
        <w:pStyle w:val="Heading1"/>
      </w:pPr>
      <w:r>
        <w:t xml:space="preserve">Abstract</w:t>
      </w:r>
    </w:p>
    <w:p>
      <w:pPr>
        <w:pStyle w:val="FirstParagraph"/>
      </w:pPr>
      <w:r>
        <w:t xml:space="preserve">2-Methylisoborneol (MIB) is a potent odorant produced by cyanobacteria that severely impairs drinking water quality even at trace levels, yet its intracellular dynamics and release mechanisms remain largely unresolved, hindering effective prediction and control of odor events. Field surveys and laboratory cultures revealed that the ratio of dissolved to total MIB (</w:t>
      </w:r>
      <m:oMath>
        <m:r>
          <m:t>f</m:t>
        </m:r>
      </m:oMath>
      <w:r>
        <w:t xml:space="preserve"> </w:t>
      </w:r>
      <w:r>
        <w:t xml:space="preserve">= dMIB/tMIB) varies systematically during cyanobacterial growth due to cell crowding effects. We developed a model linking the growth stage (</w:t>
      </w:r>
      <m:oMath>
        <m:r>
          <m:t>S</m:t>
        </m:r>
        <m:r>
          <m:t>t</m:t>
        </m:r>
      </m:oMath>
      <w:r>
        <w:t xml:space="preserve">) of cyanobacteria to MIB distribution. During the log phase,</w:t>
      </w:r>
      <w:r>
        <w:t xml:space="preserve"> </w:t>
      </w:r>
      <m:oMath>
        <m:r>
          <m:t>f</m:t>
        </m:r>
      </m:oMath>
      <w:r>
        <w:t xml:space="preserve"> </w:t>
      </w:r>
      <w:r>
        <w:t xml:space="preserve">decreases and reaches a minimum at the logistic growth inflection point (</w:t>
      </w:r>
      <m:oMath>
        <m:sSub>
          <m:e>
            <m:r>
              <m:t>T</m:t>
            </m:r>
          </m:e>
          <m:sub>
            <m:r>
              <m:t>0</m:t>
            </m:r>
          </m:sub>
        </m:sSub>
      </m:oMath>
      <w:r>
        <w:t xml:space="preserve">,</w:t>
      </w:r>
      <w:r>
        <w:t xml:space="preserve"> </w:t>
      </w:r>
      <m:oMath>
        <m:r>
          <m:t>S</m:t>
        </m:r>
        <m:r>
          <m:t>t</m:t>
        </m:r>
      </m:oMath>
      <w:r>
        <w:t xml:space="preserve"> </w:t>
      </w:r>
      <w:r>
        <w:t xml:space="preserve">= 0.5), after which it rises slightly due to increased extracellular release. In the stationary phase,</w:t>
      </w:r>
      <w:r>
        <w:t xml:space="preserve"> </w:t>
      </w:r>
      <m:oMath>
        <m:r>
          <m:t>f</m:t>
        </m:r>
      </m:oMath>
      <w:r>
        <w:t xml:space="preserve"> </w:t>
      </w:r>
      <w:r>
        <w:t xml:space="preserve">stabilizes between 0.4 and 0.6, mainly influenced by cell density and carrying capacity. Applying this model to Lake Taihu, we not only reproduced two odor events in 2022–2023 but also revealed growth-phase–dependent MIB release dynamics and risk peaks at ~15 °C and &gt; 30 °C under moderate light doses (0.1–0.4 mol m</w:t>
      </w:r>
      <w:r>
        <w:rPr>
          <w:vertAlign w:val="superscript"/>
        </w:rPr>
        <w:t xml:space="preserve">-2</w:t>
      </w:r>
      <w:r>
        <w:t xml:space="preserve"> </w:t>
      </w:r>
      <w:r>
        <w:t xml:space="preserve">d</w:t>
      </w:r>
      <w:r>
        <w:rPr>
          <w:vertAlign w:val="superscript"/>
        </w:rPr>
        <w:t xml:space="preserve">-1</w:t>
      </w:r>
      <w:r>
        <w:t xml:space="preserve">), insights not captured by conventional monitoring. The model supports early warning and guides utility responses by linking cellular physiology to odor risk.</w:t>
      </w:r>
    </w:p>
    <w:bookmarkEnd w:id="22"/>
    <w:bookmarkStart w:id="23" w:name="introduction"/>
    <w:p>
      <w:pPr>
        <w:pStyle w:val="Heading1"/>
      </w:pPr>
      <w:r>
        <w:t xml:space="preserve">Introduction</w:t>
      </w:r>
    </w:p>
    <w:p>
      <w:pPr>
        <w:pStyle w:val="FirstParagraph"/>
      </w:pPr>
      <w:r>
        <w:t xml:space="preserve">The issue of taste and odor (T&amp;O) in drinking water sources is one of the most prominent water quality concerns, with earthy-musty odors caused by 2-methylisoborneol (MIB) being a major type of T&amp;O problem</w:t>
      </w:r>
      <w:r>
        <w:rPr>
          <w:vertAlign w:val="superscript"/>
        </w:rPr>
        <w:t xml:space="preserve">1–3</w:t>
      </w:r>
      <w:r>
        <w:t xml:space="preserve">. MIB is an odorous terpenoid derivative that has become a persistent and problematic contaminant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rPr>
          <w:vertAlign w:val="superscript"/>
        </w:rPr>
        <w:t xml:space="preserve">4–10</w:t>
      </w:r>
      <w:r>
        <w:t xml:space="preserve">. MIB can be produced by actinomycetes</w:t>
      </w:r>
      <w:r>
        <w:rPr>
          <w:vertAlign w:val="superscript"/>
        </w:rPr>
        <w:t xml:space="preserve">11</w:t>
      </w:r>
      <w:r>
        <w:t xml:space="preserve">, cyanobacteria</w:t>
      </w:r>
      <w:r>
        <w:rPr>
          <w:vertAlign w:val="superscript"/>
        </w:rPr>
        <w:t xml:space="preserve">12</w:t>
      </w:r>
      <w:r>
        <w:t xml:space="preserve">, fungi</w:t>
      </w:r>
      <w:r>
        <w:rPr>
          <w:vertAlign w:val="superscript"/>
        </w:rPr>
        <w:t xml:space="preserve">13</w:t>
      </w:r>
      <w:r>
        <w:t xml:space="preserve">, and myxobacteria</w:t>
      </w:r>
      <w:r>
        <w:rPr>
          <w:vertAlign w:val="superscript"/>
        </w:rPr>
        <w:t xml:space="preserve">14</w:t>
      </w:r>
      <w:r>
        <w:t xml:space="preserve">. However, in drinking water sources, filamentous cyanobacteria are the primary producers, including</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rPr>
          <w:vertAlign w:val="superscript"/>
        </w:rPr>
        <w:t xml:space="preserve">15–21</w:t>
      </w:r>
      <w:r>
        <w:t xml:space="preserve">. MIB is a secondary metabolite of odor-producing cyanobacteria, existing in a bound form within the cells by associating with intracellular proteins, which is known as intracellular MIB (</w:t>
      </w:r>
      <m:oMath>
        <m:sSub>
          <m:e>
            <m:r>
              <m:t>i</m:t>
            </m:r>
          </m:e>
          <m:sub>
            <m:r>
              <m:rPr>
                <m:nor/>
                <m:sty m:val="p"/>
              </m:rPr>
              <m:t>MIB</m:t>
            </m:r>
          </m:sub>
        </m:sSub>
      </m:oMath>
      <w:r>
        <w:t xml:space="preserve">)</w:t>
      </w:r>
      <w:r>
        <w:rPr>
          <w:vertAlign w:val="superscript"/>
        </w:rPr>
        <w:t xml:space="preserve">22,23</w:t>
      </w:r>
      <w:r>
        <w:t xml:space="preserve">. When the cell wall ruptures or cells undergo lysis upon death, the intracellular MIB is released into the surrounding water, becoming extracellular MIB (</w:t>
      </w:r>
      <m:oMath>
        <m:sSub>
          <m:e>
            <m:r>
              <m:t>e</m:t>
            </m:r>
          </m:e>
          <m:sub>
            <m:r>
              <m:rPr>
                <m:nor/>
                <m:sty m:val="p"/>
              </m:rPr>
              <m:t>MIB</m:t>
            </m:r>
          </m:sub>
        </m:sSub>
      </m:oMath>
      <w:r>
        <w:t xml:space="preserve">), and the sum of intracellular and extracellular MIB constitutes the total MIB concentration (</w:t>
      </w:r>
      <m:oMath>
        <m:sSub>
          <m:e>
            <m:r>
              <m:t>t</m:t>
            </m:r>
          </m:e>
          <m:sub>
            <m:r>
              <m:rPr>
                <m:nor/>
                <m:sty m:val="p"/>
              </m:rPr>
              <m:t>MIB</m:t>
            </m:r>
          </m:sub>
        </m:sSub>
      </m:oMath>
      <w:r>
        <w:t xml:space="preserve">)</w:t>
      </w:r>
      <w:r>
        <w:rPr>
          <w:vertAlign w:val="superscript"/>
        </w:rPr>
        <w:t xml:space="preserve">24,25</w:t>
      </w:r>
      <w:r>
        <w:t xml:space="preserve">.</w:t>
      </w:r>
    </w:p>
    <w:p>
      <w:pPr>
        <w:pStyle w:val="BodyText"/>
      </w:pPr>
      <w:r>
        <w:t xml:space="preserve">The intracellular and extracellular distribution of MIB is not constant, which may be related to its biosynthesis and release mechanisms</w:t>
      </w:r>
      <w:r>
        <w:rPr>
          <w:vertAlign w:val="superscript"/>
        </w:rPr>
        <w:t xml:space="preserve">25–28</w:t>
      </w:r>
      <w:r>
        <w:t xml:space="preserve">. The biosynthetic pathway of MIB in cyanobacteria primarily involves the methylation of the precursor geranyl diphosphate (GPP) and the subsequent cyclization of methyl-GPP</w:t>
      </w:r>
      <w:r>
        <w:rPr>
          <w:vertAlign w:val="superscript"/>
        </w:rPr>
        <w:t xml:space="preserve">29–31</w:t>
      </w:r>
      <w:r>
        <w:t xml:space="preserve">. During the cyclization process, 2-methylisoborneol synthase (2-MIBS) is encapsulated within the Sg Enc protein shell, where it catalyzes the formation of MIB</w:t>
      </w:r>
      <w:r>
        <w:rPr>
          <w:vertAlign w:val="superscript"/>
        </w:rPr>
        <w:t xml:space="preserve">32</w:t>
      </w:r>
      <w:r>
        <w:t xml:space="preserve">. However, as the Sg Enc protein shell lacks obvious pores and the direct observation of MIB migration remains challenging, the mechanisms governing MIB release and its intracellular-extracellular distribution patterns are not yet well understood.</w:t>
      </w:r>
    </w:p>
    <w:p>
      <w:pPr>
        <w:pStyle w:val="BodyText"/>
      </w:pPr>
      <w:r>
        <w:t xml:space="preserve">The MIB production capacity of odor-producing cyanobacteria is a complex phenomenon that varies significantly with growth stages and environmental stressors</w:t>
      </w:r>
      <w:r>
        <w:rPr>
          <w:vertAlign w:val="superscript"/>
        </w:rPr>
        <w:t xml:space="preserve">25,27,33</w:t>
      </w:r>
      <w:r>
        <w:t xml:space="preserve">. TMIB concentrations increase during the exponential phase and decline in the decline phase, consistent with changes in cell density</w:t>
      </w:r>
      <w:r>
        <w:rPr>
          <w:vertAlign w:val="superscript"/>
        </w:rPr>
        <w:t xml:space="preserve">27</w:t>
      </w:r>
      <w:r>
        <w:t xml:space="preserve">. During the lag phase, MIB remains primarily intracellular, with the highest intracellular MIB concentration observed in the late exponential phase, while its release into the extracellular environment mainly occurs during the stationary and decline phases</w:t>
      </w:r>
      <w:r>
        <w:rPr>
          <w:vertAlign w:val="superscript"/>
        </w:rPr>
        <w:t xml:space="preserve">28</w:t>
      </w:r>
      <w:r>
        <w:t xml:space="preserve">. Some studies suggest a negative correlation between MIB production and cell growth rate, as</w:t>
      </w:r>
      <w:r>
        <w:t xml:space="preserve"> </w:t>
      </w:r>
      <w:r>
        <w:rPr>
          <w:i/>
          <w:iCs/>
        </w:rPr>
        <w:t xml:space="preserve">Pseudanabaena</w:t>
      </w:r>
      <w:r>
        <w:t xml:space="preserve"> </w:t>
      </w:r>
      <w:r>
        <w:t xml:space="preserve">sp. accumulates higher intracellular MIB concentrations and secretes more extracellular MIB under growth-inhibiting temperature and light conditions</w:t>
      </w:r>
      <w:r>
        <w:rPr>
          <w:vertAlign w:val="superscript"/>
        </w:rPr>
        <w:t xml:space="preserve">25,34,35</w:t>
      </w:r>
      <w:r>
        <w:t xml:space="preserve">. One hypothesis proposes that cyanobacteria increase extracellular geosmin/MIB levels under unfavorable environmental conditions to suppress the growth of competing algal species, thereby maintaining ecological dominance</w:t>
      </w:r>
      <w:r>
        <w:rPr>
          <w:vertAlign w:val="superscript"/>
        </w:rPr>
        <w:t xml:space="preserve">35</w:t>
      </w:r>
      <w:r>
        <w:t xml:space="preserve">. Alternatively, some researchers suggest that extracellular MIB release is merely a consequence of cell damage or death under adverse conditions</w:t>
      </w:r>
      <w:r>
        <w:rPr>
          <w:vertAlign w:val="superscript"/>
        </w:rPr>
        <w:t xml:space="preserve">25,36</w:t>
      </w:r>
      <w:r>
        <w:t xml:space="preserve">.</w:t>
      </w:r>
    </w:p>
    <w:p>
      <w:pPr>
        <w:pStyle w:val="BodyText"/>
      </w:pPr>
      <w:r>
        <w:t xml:space="preserve">In high-cell-density environments, due to limited space and resources, cells may experience a crowding effect that inhibits their proliferation, migration, metabolism, and other activities, thereby impacting their growth and death</w:t>
      </w:r>
      <w:r>
        <w:rPr>
          <w:vertAlign w:val="superscript"/>
        </w:rPr>
        <w:t xml:space="preserve">37–40</w:t>
      </w:r>
      <w:r>
        <w:t xml:space="preserve">. Under the influence of crowding effects, the main mechanisms that limit cell growth include resource competition, spatial constraints, and cell cycle arrest (</w:t>
      </w:r>
      <m:oMath>
        <m:r>
          <m:t>G</m:t>
        </m:r>
        <m:r>
          <m:t>0</m:t>
        </m:r>
      </m:oMath>
      <w:r>
        <w:t xml:space="preserve"> </w:t>
      </w:r>
      <w:r>
        <w:t xml:space="preserve">phase)</w:t>
      </w:r>
      <w:r>
        <w:rPr>
          <w:vertAlign w:val="superscript"/>
        </w:rPr>
        <w:t xml:space="preserve">41,42</w:t>
      </w:r>
      <w:r>
        <w:t xml:space="preserve">. Additionally, under crowding effects, cells may undergo death due to mechanisms such as triggering programmed cell death, metabolic stress-induced cell damage, mechanical damage caused by spatial constraints, and cell-to-cell interactions</w:t>
      </w:r>
      <w:r>
        <w:rPr>
          <w:vertAlign w:val="superscript"/>
        </w:rPr>
        <w:t xml:space="preserve">43–45</w:t>
      </w:r>
      <w:r>
        <w:t xml:space="preserve">. The crowding effect influences the growth and death of cell populations, which in turn indirectly affects the release of intracellular metabolic products.</w:t>
      </w:r>
    </w:p>
    <w:p>
      <w:pPr>
        <w:pStyle w:val="BodyText"/>
      </w:pPr>
      <w:r>
        <w:t xml:space="preserve">The crowding effect on cells can be effectively described using cell growth models, which reflect the influence of limited space and resources on population dynamics. Among these, the Logistic growth model is particularly suitable for characterizing the proliferation of cyanobacteria under nutrient-limited or high-density conditions</w:t>
      </w:r>
      <w:r>
        <w:rPr>
          <w:vertAlign w:val="superscript"/>
        </w:rPr>
        <w:t xml:space="preserve">46–48</w:t>
      </w:r>
      <w:r>
        <w:t xml:space="preserve">. This model incorporates two key parameters—intrinsic growth rate (</w:t>
      </w:r>
      <m:oMath>
        <m:r>
          <m:t>r</m:t>
        </m:r>
      </m:oMath>
      <w:r>
        <w:t xml:space="preserve">) and carrying capacity (</w:t>
      </w:r>
      <m:oMath>
        <m:r>
          <m:t>K</m:t>
        </m:r>
      </m:oMath>
      <w:r>
        <w:t xml:space="preserve">)—to describe the sigmoidal growth pattern commonly observed in microbial systems</w:t>
      </w:r>
      <w:r>
        <w:rPr>
          <w:vertAlign w:val="superscript"/>
        </w:rPr>
        <w:t xml:space="preserve">49,50</w:t>
      </w:r>
      <w:r>
        <w:t xml:space="preserve">. Its ability to capture growth deceleration and inflection points makes it especially useful for analyzing shifts in metabolic activity and the timing of compound release, such as MIB. Compared to other empirical models, the Logistic model provides a mechanistic basis for understanding population-level regulation and is therefore widely adopted in both theoretical studies and practical applications involving algal bloom dynamics</w:t>
      </w:r>
      <w:r>
        <w:rPr>
          <w:vertAlign w:val="superscript"/>
        </w:rPr>
        <w:t xml:space="preserve">48,51</w:t>
      </w:r>
      <w:r>
        <w:t xml:space="preserve">.</w:t>
      </w:r>
    </w:p>
    <w:p>
      <w:pPr>
        <w:pStyle w:val="BodyText"/>
      </w:pPr>
      <w:r>
        <w:t xml:space="preserve">Based on the literature description and our previous research, we found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in odor-producing cyanobacteria during the growth process is not a constant but exhibits a certain pattern of variation. Therefore, we hypothesize that the changes in</w:t>
      </w:r>
      <w:r>
        <w:t xml:space="preserve"> </w:t>
      </w:r>
      <m:oMath>
        <m:r>
          <m:t>f</m:t>
        </m:r>
      </m:oMath>
      <w:r>
        <w:t xml:space="preserve"> </w:t>
      </w:r>
      <w:r>
        <w:t xml:space="preserve">may be related to the cell crowding effect. To test this hypothesis, we developed a model describing the variation of</w:t>
      </w:r>
      <w:r>
        <w:t xml:space="preserve"> </w:t>
      </w:r>
      <m:oMath>
        <m:r>
          <m:t>f</m:t>
        </m:r>
      </m:oMath>
      <w:r>
        <w:t xml:space="preserve"> </w:t>
      </w:r>
      <w:r>
        <w:t xml:space="preserve">over time based on indoor culture data of odor-producing cyanobacteria and the Logistic growth model. This model was used to explain the release pattern of MIB during the cell growth process and was ultimately applied to describe the growth stage distribution of odor-producing cyanobacteria and predict the odor risk during MIB outbreaks in Taihu Lake. The results of this study provide a new perspective on the release patterns of MIB during the growth stages of odor-producing cyanobacteria, enhancing the understanding of MIB release processes, and offering valuable references for assess the development of odor-producing cyanobacteria as well as MIB episodes in lakes and reservoirs.</w:t>
      </w:r>
    </w:p>
    <w:bookmarkEnd w:id="23"/>
    <w:bookmarkStart w:id="34" w:name="materials-and-methods"/>
    <w:p>
      <w:pPr>
        <w:pStyle w:val="Heading1"/>
      </w:pPr>
      <w:r>
        <w:t xml:space="preserve">Materials and Methods</w:t>
      </w:r>
    </w:p>
    <w:bookmarkStart w:id="24"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w:t>
      </w:r>
      <w:r>
        <w:rPr>
          <w:vertAlign w:val="superscript"/>
        </w:rPr>
        <w:t xml:space="preserve">2</w:t>
      </w:r>
      <w:r>
        <w:t xml:space="preserve">. In recent years, rapid industrialization and urbanization in the surrounding watershed have led to increasingly frequent outbreaks of algal blooms.</w:t>
      </w:r>
      <w:r>
        <w:t xml:space="preserve"> </w:t>
      </w:r>
      <w:r>
        <w:rPr>
          <w:i/>
          <w:iCs/>
        </w:rPr>
        <w:t xml:space="preserve">Microcystis</w:t>
      </w:r>
      <w:r>
        <w:t xml:space="preserve"> </w:t>
      </w:r>
      <w:r>
        <w:t xml:space="preserve">and</w:t>
      </w:r>
      <w:r>
        <w:t xml:space="preserve"> </w:t>
      </w:r>
      <w:r>
        <w:rPr>
          <w:i/>
          <w:iCs/>
        </w:rPr>
        <w:t xml:space="preserve">Pseudanabaena</w:t>
      </w:r>
      <w:r>
        <w:t xml:space="preserve"> </w:t>
      </w:r>
      <w:r>
        <w:t xml:space="preserve">have become the dominant harmful algal species in the lake, resulting in deteriorating water quality. The presence of microcystins and the odorous compound 2-methylisoborneol (MIB) has further impacted water usage in the surrounding regions. From March 2022 to February 2023, water samples were collected monthly from 31 sampling sites distributed across different regions of the lake (Fig. S1). With an average depth of approximately 2 m and well-mixed conditions, approximately 2 liters of surface water samples were collected from 0.5 m below the water surface using a Kemmerer water sampler.</w:t>
      </w:r>
    </w:p>
    <w:bookmarkEnd w:id="24"/>
    <w:bookmarkStart w:id="25" w:name="X96ecfbfd371e4355c0a5c4e560a56cc6f5e463d"/>
    <w:p>
      <w:pPr>
        <w:pStyle w:val="Heading2"/>
      </w:pPr>
      <w:r>
        <w:t xml:space="preserve">Phytoplankton identification and physico-chemical analysis</w:t>
      </w:r>
    </w:p>
    <w:p>
      <w:pPr>
        <w:pStyle w:val="FirstParagraph"/>
      </w:pPr>
      <w:r>
        <w:t xml:space="preserve">Subsamples (1000 mL) for cell counting were preserved with 5% Lugol’s iodine solution</w:t>
      </w:r>
      <w:r>
        <w:rPr>
          <w:vertAlign w:val="superscript"/>
        </w:rPr>
        <w:t xml:space="preserve">52</w:t>
      </w:r>
      <w:r>
        <w:t xml:space="preserve"> </w:t>
      </w:r>
      <w:r>
        <w:t xml:space="preserve">and allowed to settle for 48 hours. The samples were then pre-concentrated 20-fold and stored in the dark until cell enumeration. Cyanobacterial species were identified according to</w:t>
      </w:r>
      <w:r>
        <w:rPr>
          <w:vertAlign w:val="superscript"/>
        </w:rPr>
        <w:t xml:space="preserve">53</w:t>
      </w:r>
      <w:r>
        <w:t xml:space="preserve">, with revisions based on</w:t>
      </w:r>
      <w:r>
        <w:rPr>
          <w:vertAlign w:val="superscript"/>
        </w:rPr>
        <w:t xml:space="preserve">54</w:t>
      </w:r>
      <w:r>
        <w:t xml:space="preserve">. Phytoplankton identification and enumeration were performed using an upright microscope (Olympus BX53, Japan) following the protocol established by</w:t>
      </w:r>
      <w:r>
        <w:rPr>
          <w:vertAlign w:val="superscript"/>
        </w:rPr>
        <w:t xml:space="preserve">55</w:t>
      </w:r>
      <w:r>
        <w:t xml:space="preserve">. Subsamples for MIB analysis were stored in amber glass bottles with airtight seals. The production potential of MIB was calculated by measuring its total concentration. To prevent biodegradation, 10 mg L</w:t>
      </w:r>
      <w:r>
        <w:rPr>
          <w:vertAlign w:val="superscript"/>
        </w:rPr>
        <w:t xml:space="preserve">-1</w:t>
      </w:r>
      <w:r>
        <w:t xml:space="preserve"> </w:t>
      </w:r>
      <w:r>
        <w:t xml:space="preserve">HgCl</w:t>
      </w:r>
      <w:r>
        <w:rPr>
          <w:vertAlign w:val="subscript"/>
        </w:rPr>
        <w:t xml:space="preserve">2</w:t>
      </w:r>
      <w:r>
        <w:t xml:space="preserve"> </w:t>
      </w:r>
      <w:r>
        <w:t xml:space="preserve">was added to the samples</w:t>
      </w:r>
      <w:r>
        <w:rPr>
          <w:vertAlign w:val="superscript"/>
        </w:rPr>
        <w:t xml:space="preserve">56</w:t>
      </w:r>
      <w:r>
        <w:t xml:space="preserve">, and analysis was conducted within 72 hours using solid-phase microextraction (SPME) coupled with gas chromatography-mass spectrometry (GC-MS) (Agilent 6890/5975, Agilent Tech., USA) following the procedures established by</w:t>
      </w:r>
      <w:r>
        <w:rPr>
          <w:vertAlign w:val="superscript"/>
        </w:rPr>
        <w:t xml:space="preserve">57</w:t>
      </w:r>
      <w:r>
        <w:t xml:space="preserve"> </w:t>
      </w:r>
      <w:r>
        <w:t xml:space="preserve">and previous studies</w:t>
      </w:r>
      <w:r>
        <w:rPr>
          <w:vertAlign w:val="superscript"/>
        </w:rPr>
        <w:t xml:space="preserve">16</w:t>
      </w:r>
      <w:r>
        <w:t xml:space="preserve">.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5"/>
    <w:bookmarkStart w:id="30" w:name="model-development"/>
    <w:p>
      <w:pPr>
        <w:pStyle w:val="Heading2"/>
      </w:pPr>
      <w:r>
        <w:t xml:space="preserve">Model Development</w:t>
      </w:r>
    </w:p>
    <w:p>
      <w:pPr>
        <w:pStyle w:val="FirstParagraph"/>
      </w:pPr>
      <w:r>
        <w:t xml:space="preserve">The Logistic growth model was employed to fit the changes in cell density of cultured</w:t>
      </w:r>
      <w:r>
        <w:t xml:space="preserve"> </w:t>
      </w:r>
      <w:r>
        <w:rPr>
          <w:i/>
          <w:iCs/>
        </w:rPr>
        <w:t xml:space="preserve">Pseudanabaena</w:t>
      </w:r>
      <w:r>
        <w:t xml:space="preserve"> </w:t>
      </w:r>
      <w:r>
        <w:t xml:space="preserve">(</w:t>
      </w:r>
      <w:hyperlink w:anchor="eq-nt">
        <w:r>
          <w:rPr>
            <w:rStyle w:val="Hyperlink"/>
          </w:rPr>
          <w:t xml:space="preserve">Eq. 1</w:t>
        </w:r>
      </w:hyperlink>
      <w:r>
        <w:t xml:space="preserve">).</w:t>
      </w:r>
    </w:p>
    <w:p>
      <w:pPr>
        <w:pStyle w:val="BodyText"/>
      </w:pPr>
      <w:bookmarkStart w:id="26"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6"/>
    </w:p>
    <w:p>
      <w:pPr>
        <w:pStyle w:val="FirstParagraph"/>
      </w:pPr>
      <w:bookmarkStart w:id="27"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7"/>
    </w:p>
    <w:p>
      <w:pPr>
        <w:pStyle w:val="FirstParagraph"/>
      </w:pPr>
      <w:r>
        <w:t xml:space="preserve">The parameter</w:t>
      </w:r>
      <w:r>
        <w:t xml:space="preserve"> </w:t>
      </w:r>
      <m:oMath>
        <m:r>
          <m:t>K</m:t>
        </m:r>
      </m:oMath>
      <w:r>
        <w:t xml:space="preserve"> </w:t>
      </w:r>
      <w:r>
        <w:t xml:space="preserve">represents the environmental carrying capacity, which denotes the maximum cell density that algae can reach under specific environmental conditions.</w:t>
      </w:r>
      <w:r>
        <w:t xml:space="preserve"> </w:t>
      </w:r>
      <m:oMath>
        <m:sSub>
          <m:e>
            <m:r>
              <m:t>N</m:t>
            </m:r>
          </m:e>
          <m:sub>
            <m:r>
              <m:t>0</m:t>
            </m:r>
          </m:sub>
        </m:sSub>
      </m:oMath>
      <w:r>
        <w:t xml:space="preserve"> </w:t>
      </w:r>
      <w:r>
        <w:t xml:space="preserve">is the initial cell density at</w:t>
      </w:r>
      <w:r>
        <w:t xml:space="preserve"> </w:t>
      </w:r>
      <m:oMath>
        <m:r>
          <m:t>t</m:t>
        </m:r>
      </m:oMath>
      <w:r>
        <w:t xml:space="preserve"> </w:t>
      </w:r>
      <w:r>
        <w:t xml:space="preserve">= 0, while</w:t>
      </w:r>
      <w:r>
        <w:t xml:space="preserve"> </w:t>
      </w:r>
      <m:oMath>
        <m:r>
          <m:t>r</m:t>
        </m:r>
      </m:oMath>
      <w:r>
        <w:t xml:space="preserve"> </w:t>
      </w:r>
      <w:r>
        <w:t xml:space="preserve">represents the intrinsic growth rate, indicating the maximum growth rate of cells under ideal conditions</w:t>
      </w:r>
      <w:r>
        <w:rPr>
          <w:vertAlign w:val="superscript"/>
        </w:rPr>
        <w:t xml:space="preserve">48,50</w:t>
      </w:r>
      <w:r>
        <w:t xml:space="preserve">.</w:t>
      </w:r>
      <w:r>
        <w:t xml:space="preserve"> </w:t>
      </w:r>
      <m:oMath>
        <m:r>
          <m:t>θ</m:t>
        </m:r>
      </m:oMath>
      <w:r>
        <w:t xml:space="preserve"> </w:t>
      </w:r>
      <w:r>
        <w:t xml:space="preserve">denotes the initial growth potential.</w:t>
      </w:r>
    </w:p>
    <w:p>
      <w:pPr>
        <w:pStyle w:val="BodyText"/>
      </w:pPr>
      <w:r>
        <w:t xml:space="preserve">In aquatic environments, MIB primarily exists in two forms: intracellular MIB (iMIB) and extracellular MIB (eMIB), with their sum constituting the total MIB (tMIB). The eMIB fraction is mainly released into the water due to the lysis of odor-producing cyanobacterial cells. The ratio</w:t>
      </w:r>
      <w:r>
        <w:t xml:space="preserve"> </w:t>
      </w:r>
      <m:oMath>
        <m:r>
          <m:t>f</m:t>
        </m:r>
      </m:oMath>
      <w:r>
        <w:t xml:space="preserve"> </w:t>
      </w:r>
      <w:r>
        <w:t xml:space="preserve">(eMIB/tMIB) serves as an odor index, reflecting both the proportion of dissolved MIB in total MIB and the relative abundance of cells at different growth stages. To characterize the temporal variation of eMIB and tMIB produced by</w:t>
      </w:r>
      <w:r>
        <w:t xml:space="preserve"> </w:t>
      </w:r>
      <w:r>
        <w:rPr>
          <w:i/>
          <w:iCs/>
        </w:rPr>
        <w:t xml:space="preserve">Pseudanabaena cinerea</w:t>
      </w:r>
      <w:r>
        <w:t xml:space="preserve"> </w:t>
      </w:r>
      <w:r>
        <w:t xml:space="preserve">FACHB 1277 (obtained from the Freshwater Algae Culture Collection at the Institute of Hydrobiology) during cultivation, a time-dependent model for</w:t>
      </w:r>
      <w:r>
        <w:t xml:space="preserve"> </w:t>
      </w:r>
      <m:oMath>
        <m:r>
          <m:t>f</m:t>
        </m:r>
      </m:oMath>
      <w:r>
        <w:t xml:space="preserve"> </w:t>
      </w:r>
      <w:r>
        <w:t xml:space="preserve">was constructed. Since eMIB is associated with cell lysis and death, different approaches were used to describe the variation of</w:t>
      </w:r>
      <w:r>
        <w:t xml:space="preserve"> </w:t>
      </w:r>
      <m:oMath>
        <m:r>
          <m:t>f</m:t>
        </m:r>
      </m:oMath>
      <w:r>
        <w:t xml:space="preserve"> </w:t>
      </w:r>
      <w:r>
        <w:t xml:space="preserve">based on cell density. When the cell density was low (less than 80% of</w:t>
      </w:r>
      <w:r>
        <w:t xml:space="preserve"> </w:t>
      </w:r>
      <m:oMath>
        <m:r>
          <m:t>K</m:t>
        </m:r>
      </m:oMath>
      <w:r>
        <w:t xml:space="preserve">), the variation in</w:t>
      </w:r>
      <w:r>
        <w:t xml:space="preserve"> </w:t>
      </w:r>
      <m:oMath>
        <m:r>
          <m:t>f</m:t>
        </m:r>
      </m:oMath>
      <w:r>
        <w:t xml:space="preserve"> </w:t>
      </w:r>
      <w:r>
        <w:t xml:space="preserve">was derived based on the cell crowding effect. Specifically,</w:t>
      </w:r>
      <w:r>
        <w:t xml:space="preserve"> </w:t>
      </w:r>
      <w:hyperlink w:anchor="eq-f1">
        <w:r>
          <w:rPr>
            <w:rStyle w:val="Hyperlink"/>
          </w:rPr>
          <w:t xml:space="preserve">Eq. 3</w:t>
        </w:r>
      </w:hyperlink>
      <w:r>
        <w:t xml:space="preserve"> </w:t>
      </w:r>
      <w:r>
        <w:t xml:space="preserve">was obtained by differentiating the logistic growth equation (</w:t>
      </w:r>
      <w:hyperlink w:anchor="eq-nt">
        <w:r>
          <w:rPr>
            <w:rStyle w:val="Hyperlink"/>
          </w:rPr>
          <w:t xml:space="preserve">Eq. 1</w:t>
        </w:r>
      </w:hyperlink>
      <w:r>
        <w:t xml:space="preserve">) with respect to time, which reflects the dynamic change in cell abundance during the early to mid-growth stages (</w:t>
      </w:r>
      <w:hyperlink w:anchor="eq-f1">
        <w:r>
          <w:rPr>
            <w:rStyle w:val="Hyperlink"/>
          </w:rPr>
          <w:t xml:space="preserve">Eq. 3</w:t>
        </w:r>
      </w:hyperlink>
      <w:r>
        <w:t xml:space="preserve">). When the cell density approached the carrying capacity (greater than 80% of</w:t>
      </w:r>
      <w:r>
        <w:t xml:space="preserve"> </w:t>
      </w:r>
      <m:oMath>
        <m:r>
          <m:t>K</m:t>
        </m:r>
      </m:oMath>
      <w:r>
        <w:t xml:space="preserve">), the remaining capacity for growth was used to express the decline phase and corresponding change in</w:t>
      </w:r>
      <w:r>
        <w:t xml:space="preserve"> </w:t>
      </w:r>
      <m:oMath>
        <m:r>
          <m:t>f</m:t>
        </m:r>
      </m:oMath>
      <w:r>
        <w:t xml:space="preserve"> </w:t>
      </w:r>
      <w:r>
        <w:t xml:space="preserve">(</w:t>
      </w:r>
      <w:hyperlink w:anchor="eq-f2">
        <w:r>
          <w:rPr>
            <w:rStyle w:val="Hyperlink"/>
          </w:rPr>
          <w:t xml:space="preserve">Eq. 4</w:t>
        </w:r>
      </w:hyperlink>
      <w:r>
        <w:t xml:space="preserve">).</w:t>
      </w:r>
    </w:p>
    <w:p>
      <w:pPr>
        <w:pStyle w:val="BodyText"/>
      </w:pPr>
      <w:bookmarkStart w:id="28"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28"/>
    </w:p>
    <w:p>
      <w:pPr>
        <w:pStyle w:val="FirstParagraph"/>
      </w:pPr>
      <w:bookmarkStart w:id="29"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29"/>
    </w:p>
    <w:p>
      <w:pPr>
        <w:pStyle w:val="FirstParagraph"/>
      </w:pPr>
      <w:r>
        <w:t xml:space="preserve">In this model,</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represents the cell doubling time under cultivation conditions, and</w:t>
      </w:r>
      <w:r>
        <w:t xml:space="preserve"> </w:t>
      </w:r>
      <m:oMath>
        <m:r>
          <m:t>β</m:t>
        </m:r>
      </m:oMath>
      <w:r>
        <w:t xml:space="preserve"> </w:t>
      </w:r>
      <w:r>
        <w:t xml:space="preserve">is a correction factor that accounts for the accumulation and volatilization effects of MIB in the cultivation system. Logistic curve fitting was applied to the cell growth data under various environmental conditions using</w:t>
      </w:r>
      <w:r>
        <w:t xml:space="preserve"> </w:t>
      </w:r>
      <w:hyperlink w:anchor="eq-nt">
        <w:r>
          <w:rPr>
            <w:rStyle w:val="Hyperlink"/>
          </w:rPr>
          <w:t xml:space="preserve">Eq. 1</w:t>
        </w:r>
      </w:hyperlink>
      <w:r>
        <w:t xml:space="preserve">, yielding the initial cell density (</w:t>
      </w:r>
      <m:oMath>
        <m:sSub>
          <m:e>
            <m:r>
              <m:t>N</m:t>
            </m:r>
          </m:e>
          <m:sub>
            <m:r>
              <m:t>0</m:t>
            </m:r>
          </m:sub>
        </m:sSub>
      </m:oMath>
      <w:r>
        <w:t xml:space="preserve">), environmental carrying capacity (</w:t>
      </w:r>
      <m:oMath>
        <m:r>
          <m:t>K</m:t>
        </m:r>
      </m:oMath>
      <w:r>
        <w:t xml:space="preserve">), and intrinsic growth rate (</w:t>
      </w:r>
      <m:oMath>
        <m:r>
          <m:t>r</m:t>
        </m:r>
      </m:oMath>
      <w:r>
        <w:t xml:space="preserve">). These parameters, along with</w:t>
      </w:r>
      <w:r>
        <w:t xml:space="preserve"> </w:t>
      </w:r>
      <m:oMath>
        <m:r>
          <m:t>f</m:t>
        </m:r>
      </m:oMath>
      <w:r>
        <w:t xml:space="preserve"> </w:t>
      </w:r>
      <w:r>
        <w:t xml:space="preserve">and</w:t>
      </w:r>
      <w:r>
        <w:t xml:space="preserve"> </w:t>
      </w:r>
      <m:oMath>
        <m:r>
          <m:t>t</m:t>
        </m:r>
      </m:oMath>
      <w:r>
        <w:t xml:space="preserve">, were then incorporated into</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linear regression was employed to estimate the model parameters</w:t>
      </w:r>
      <w:r>
        <w:t xml:space="preserve"> </w:t>
      </w:r>
      <m:oMath>
        <m:sSub>
          <m:e>
            <m:r>
              <m:t>α</m:t>
            </m:r>
          </m:e>
          <m:sub>
            <m:r>
              <m:t>1</m:t>
            </m:r>
          </m:sub>
        </m:sSub>
      </m:oMath>
      <w:r>
        <w:t xml:space="preserve">,</w:t>
      </w:r>
      <w:r>
        <w:t xml:space="preserve"> </w:t>
      </w:r>
      <m:oMath>
        <m:sSub>
          <m:e>
            <m:r>
              <m:t>α</m:t>
            </m:r>
          </m:e>
          <m:sub>
            <m:r>
              <m:t>2</m:t>
            </m:r>
          </m:sub>
        </m:sSub>
      </m:oMath>
      <w:r>
        <w:t xml:space="preserve"> </w:t>
      </w:r>
      <w:r>
        <w:t xml:space="preserve">and</w:t>
      </w:r>
      <w:r>
        <w:t xml:space="preserve"> </w:t>
      </w:r>
      <m:oMath>
        <m:r>
          <m:t>β</m:t>
        </m:r>
      </m:oMath>
      <w:r>
        <w:t xml:space="preserve"> </w:t>
      </w:r>
      <w:r>
        <w:t xml:space="preserve">along with their statistical significance. Furthermore, by adjusting the intrinsic growth rate</w:t>
      </w:r>
      <w:r>
        <w:t xml:space="preserve"> </w:t>
      </w:r>
      <m:oMath>
        <m:r>
          <m:t>r</m:t>
        </m:r>
      </m:oMath>
      <w:r>
        <w:t xml:space="preserve">, this model enables the simulation of potential trends in cell growth and MIB production under different environmental conditions.</w:t>
      </w:r>
    </w:p>
    <w:bookmarkEnd w:id="30"/>
    <w:bookmarkStart w:id="32" w:name="mib-risk-assessment"/>
    <w:p>
      <w:pPr>
        <w:pStyle w:val="Heading2"/>
      </w:pPr>
      <w:r>
        <w:t xml:space="preserve">MIB risk assessment</w:t>
      </w:r>
    </w:p>
    <w:p>
      <w:pPr>
        <w:pStyle w:val="FirstParagraph"/>
      </w:pPr>
      <w:r>
        <w:t xml:space="preserve">Given a known value of</w:t>
      </w:r>
      <w:r>
        <w:t xml:space="preserve"> </w:t>
      </w:r>
      <m:oMath>
        <m:r>
          <m:t>f</m:t>
        </m:r>
      </m:oMath>
      <w:r>
        <w:t xml:space="preserve">, the cyanobacteria growth time</w:t>
      </w:r>
      <w:r>
        <w:t xml:space="preserve"> </w:t>
      </w:r>
      <m:oMath>
        <m:r>
          <m:t>t</m:t>
        </m:r>
      </m:oMath>
      <w:r>
        <w:t xml:space="preserve"> </w:t>
      </w:r>
      <w:r>
        <w:t xml:space="preserve">can be determined based on</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Subsequently, the corresponding growth stage indicator</w:t>
      </w:r>
      <w:r>
        <w:t xml:space="preserve"> </w:t>
      </w:r>
      <m:oMath>
        <m:r>
          <m:t>S</m:t>
        </m:r>
        <m:r>
          <m:t>t</m:t>
        </m:r>
      </m:oMath>
      <w:r>
        <w:t xml:space="preserve"> </w:t>
      </w:r>
      <w:r>
        <w:t xml:space="preserve">can be calculated using</w:t>
      </w:r>
      <w:r>
        <w:t xml:space="preserve"> </w:t>
      </w:r>
      <w:hyperlink w:anchor="eq-st">
        <w:r>
          <w:rPr>
            <w:rStyle w:val="Hyperlink"/>
          </w:rPr>
          <w:t xml:space="preserve">Eq. 5</w:t>
        </w:r>
      </w:hyperlink>
      <w:r>
        <w:t xml:space="preserve">. By combining the estimated</w:t>
      </w:r>
      <w:r>
        <w:t xml:space="preserve"> </w:t>
      </w:r>
      <m:oMath>
        <m:r>
          <m:t>S</m:t>
        </m:r>
        <m:r>
          <m:t>t</m:t>
        </m:r>
      </m:oMath>
      <w:r>
        <w:t xml:space="preserve"> </w:t>
      </w:r>
      <w:r>
        <w:t xml:space="preserve">values with observed tMIB concentrations from field monitoring, a frequency distribution histogram of</w:t>
      </w:r>
      <w:r>
        <w:t xml:space="preserve"> </w:t>
      </w:r>
      <m:oMath>
        <m:r>
          <m:t>S</m:t>
        </m:r>
        <m:r>
          <m:t>t</m:t>
        </m:r>
      </m:oMath>
      <w:r>
        <w:t xml:space="preserve"> </w:t>
      </w:r>
      <w:r>
        <w:t xml:space="preserve">versus tMIB is generated (Fig. S9). This distribution characterizes the probability of various tMIB concentrations occurring at different cyanobacterial growth stages, providing a basis for assessing MIB-related odor risk.</w:t>
      </w:r>
    </w:p>
    <w:p>
      <w:pPr>
        <w:pStyle w:val="BodyText"/>
      </w:pPr>
      <w:bookmarkStart w:id="31" w:name="eq-st"/>
      <m:oMathPara>
        <m:oMathParaPr>
          <m:jc m:val="center"/>
        </m:oMathParaPr>
        <m:oMath>
          <m:r>
            <m:t>S</m:t>
          </m:r>
          <m:r>
            <m:t>t</m:t>
          </m:r>
          <m:r>
            <m:rPr>
              <m:sty m:val="p"/>
            </m:rPr>
            <m:t>=</m:t>
          </m:r>
          <m:f>
            <m:fPr>
              <m:type m:val="bar"/>
            </m:fPr>
            <m:num>
              <m:r>
                <m:t>t</m:t>
              </m:r>
            </m:num>
            <m:den>
              <m:r>
                <m:t>2</m:t>
              </m:r>
              <m:sSub>
                <m:e>
                  <m:r>
                    <m:t>T</m:t>
                  </m:r>
                </m:e>
                <m:sub>
                  <m:r>
                    <m:t>0</m:t>
                  </m:r>
                </m:sub>
              </m:sSub>
            </m:den>
          </m:f>
          <m:r>
            <m:t>  </m:t>
          </m:r>
          <m:d>
            <m:dPr>
              <m:begChr m:val="("/>
              <m:sepChr m:val=""/>
              <m:endChr m:val=")"/>
              <m:grow/>
            </m:dPr>
            <m:e>
              <m:r>
                <m:t>5</m:t>
              </m:r>
            </m:e>
          </m:d>
        </m:oMath>
      </m:oMathPara>
      <w:bookmarkEnd w:id="31"/>
    </w:p>
    <w:p>
      <w:pPr>
        <w:pStyle w:val="FirstParagraph"/>
      </w:pPr>
      <w:r>
        <w:t xml:space="preserve">When</w:t>
      </w:r>
      <w:r>
        <w:t xml:space="preserve"> </w:t>
      </w:r>
      <m:oMath>
        <m:r>
          <m:t>t</m:t>
        </m:r>
      </m:oMath>
      <w:r>
        <w:t xml:space="preserve"> </w:t>
      </w:r>
      <w:r>
        <w:t xml:space="preserve">=</w:t>
      </w:r>
      <w:r>
        <w:t xml:space="preserve"> </w:t>
      </w:r>
      <m:oMath>
        <m:sSub>
          <m:e>
            <m:r>
              <m:t>T</m:t>
            </m:r>
          </m:e>
          <m:sub>
            <m:r>
              <m:t>0</m:t>
            </m:r>
          </m:sub>
        </m:sSub>
      </m:oMath>
      <w:r>
        <w:t xml:space="preserve">,</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w:t>
      </w:r>
      <w:r>
        <w:t xml:space="preserve">(</w:t>
      </w:r>
      <w:hyperlink w:anchor="eq-nt">
        <w:r>
          <w:rPr>
            <w:rStyle w:val="Hyperlink"/>
          </w:rPr>
          <w:t xml:space="preserve">Eq. 1</w:t>
        </w:r>
      </w:hyperlink>
      <w:r>
        <w:t xml:space="preserve">), indicating that</w:t>
      </w:r>
      <w:r>
        <w:t xml:space="preserve"> </w:t>
      </w:r>
      <m:oMath>
        <m:sSub>
          <m:e>
            <m:r>
              <m:t>T</m:t>
            </m:r>
          </m:e>
          <m:sub>
            <m:r>
              <m:t>0</m:t>
            </m:r>
          </m:sub>
        </m:sSub>
      </m:oMath>
      <w:r>
        <w:t xml:space="preserve"> </w:t>
      </w:r>
      <w:r>
        <w:t xml:space="preserve">corresponds to the inflection point of the logistic growth curve.</w:t>
      </w:r>
    </w:p>
    <w:bookmarkEnd w:id="32"/>
    <w:bookmarkStart w:id="33" w:name="statistical-analysis-and-illustration"/>
    <w:p>
      <w:pPr>
        <w:pStyle w:val="Heading2"/>
      </w:pPr>
      <w:r>
        <w:t xml:space="preserve">Statistical analysis and illustration</w:t>
      </w:r>
    </w:p>
    <w:p>
      <w:pPr>
        <w:pStyle w:val="FirstParagraph"/>
      </w:pPr>
      <w:r>
        <w:t xml:space="preserve">All data analysis and illustration were performed using R 4.4.2. Data pretreatment and summary were performed using the</w:t>
      </w:r>
      <w:r>
        <w:t xml:space="preserve"> </w:t>
      </w:r>
      <w:r>
        <w:rPr>
          <w:rStyle w:val="VerbatimChar"/>
        </w:rPr>
        <w:t xml:space="preserve">dplyr</w:t>
      </w:r>
      <w:r>
        <w:t xml:space="preserve"> </w:t>
      </w:r>
      <w:r>
        <w:t xml:space="preserve">package in R, regression analysis including linear and generalized linear models were performed using the stats package, generalized additive modeling was performed using the</w:t>
      </w:r>
      <w:r>
        <w:t xml:space="preserve"> </w:t>
      </w:r>
      <w:r>
        <w:rPr>
          <w:rStyle w:val="VerbatimChar"/>
        </w:rPr>
        <w:t xml:space="preserve">mgcv</w:t>
      </w:r>
      <w:r>
        <w:t xml:space="preserve"> </w:t>
      </w:r>
      <w:r>
        <w:t xml:space="preserve">package quantile regression analysis was performed using the</w:t>
      </w:r>
      <w:r>
        <w:t xml:space="preserve"> </w:t>
      </w:r>
      <w:r>
        <w:rPr>
          <w:rStyle w:val="VerbatimChar"/>
        </w:rPr>
        <w:t xml:space="preserve">quantreg</w:t>
      </w:r>
      <w:r>
        <w:t xml:space="preserve"> </w:t>
      </w:r>
      <w:r>
        <w:t xml:space="preserve">package; contour figures were created by the graphics package, other figures were prepared using the</w:t>
      </w:r>
      <w:r>
        <w:t xml:space="preserve"> </w:t>
      </w:r>
      <w:r>
        <w:rPr>
          <w:rStyle w:val="VerbatimChar"/>
        </w:rPr>
        <w:t xml:space="preserve">ggplot2</w:t>
      </w:r>
      <w:r>
        <w:t xml:space="preserve"> </w:t>
      </w:r>
      <w:r>
        <w:t xml:space="preserve">package.</w:t>
      </w:r>
    </w:p>
    <w:bookmarkEnd w:id="33"/>
    <w:bookmarkEnd w:id="34"/>
    <w:bookmarkStart w:id="63" w:name="results"/>
    <w:p>
      <w:pPr>
        <w:pStyle w:val="Heading1"/>
      </w:pPr>
      <w:r>
        <w:t xml:space="preserve">Results</w:t>
      </w:r>
    </w:p>
    <w:bookmarkStart w:id="39"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Taihu Lake (</w:t>
      </w:r>
      <w:hyperlink w:anchor="fig-taihumibalgae">
        <w:r>
          <w:rPr>
            <w:rStyle w:val="Hyperlink"/>
          </w:rPr>
          <w:t xml:space="preserve">Fig. 1</w:t>
        </w:r>
      </w:hyperlink>
      <w:r>
        <w:t xml:space="preserve">A). The high MIB concentration outbreaks primarily occurred in the spring (40.0 ± 77.5 ng L</w:t>
      </w:r>
      <m:oMath>
        <m:sSup>
          <m:e>
            <m:r>
              <m:t>​</m:t>
            </m:r>
          </m:e>
          <m:sup>
            <m:r>
              <m:rPr>
                <m:sty m:val="p"/>
              </m:rPr>
              <m:t>−</m:t>
            </m:r>
            <m:r>
              <m:t>1</m:t>
            </m:r>
          </m:sup>
        </m:sSup>
      </m:oMath>
      <w:r>
        <w:t xml:space="preserve">) and summer (107 ± 230 ng L</w:t>
      </w:r>
      <m:oMath>
        <m:sSup>
          <m:e>
            <m:r>
              <m:t>​</m:t>
            </m:r>
          </m:e>
          <m:sup>
            <m:r>
              <m:rPr>
                <m:sty m:val="p"/>
              </m:rPr>
              <m:t>−</m:t>
            </m:r>
            <m:r>
              <m:t>1</m:t>
            </m:r>
          </m:sup>
        </m:sSup>
      </m:oMath>
      <w:r>
        <w:t xml:space="preserve">), with significant peaks in April (66.5 ± 101 ng L</w:t>
      </w:r>
      <m:oMath>
        <m:sSup>
          <m:e>
            <m:r>
              <m:t>​</m:t>
            </m:r>
          </m:e>
          <m:sup>
            <m:r>
              <m:rPr>
                <m:sty m:val="p"/>
              </m:rPr>
              <m:t>−</m:t>
            </m:r>
            <m:r>
              <m:t>1</m:t>
            </m:r>
          </m:sup>
        </m:sSup>
      </m:oMath>
      <w:r>
        <w:t xml:space="preserve">) and July (232 ± 361 ng L</w:t>
      </w:r>
      <m:oMath>
        <m:sSup>
          <m:e>
            <m:r>
              <m:t>​</m:t>
            </m:r>
          </m:e>
          <m:sup>
            <m:r>
              <m:rPr>
                <m:sty m:val="p"/>
              </m:rPr>
              <m:t>−</m:t>
            </m:r>
            <m:r>
              <m:t>1</m:t>
            </m:r>
          </m:sup>
        </m:sSup>
      </m:oMath>
      <w:r>
        <w:t xml:space="preserve">), demonstrating a marked seasonality (</w:t>
      </w:r>
      <w:r>
        <w:rPr>
          <w:i/>
          <w:iCs/>
        </w:rPr>
        <w:t xml:space="preserve">p</w:t>
      </w:r>
      <w:r>
        <w:t xml:space="preserve"> </w:t>
      </w:r>
      <w:r>
        <w:t xml:space="preserve">&lt; 0.001). Notably, between the two MIB outbreaks, the MIB concentrations in June across the lake were relatively low. In addition to seasonal variation, the distribution of MIB concentrations across the lake also exhibited spatial heterogeneity. The regions with the highest MIB concentrations were mainly concentrated in the northern area and the southeastern area. The April MIB peak was primarily centered around northern area, while the July peak was predominantly observed in both northern area and southeastern area.</w:t>
      </w:r>
    </w:p>
    <w:p>
      <w:pPr>
        <w:pStyle w:val="BodyText"/>
      </w:pPr>
      <w:r>
        <w:t xml:space="preserve">A cluster analysis was performed on MIB concentrations from all 31 sampling sites throughout the year, classifying them into four distinct clusters based on concentration levels. These clusters also corresponded spatially to four distinct lake regions (Fig. S1). The highest MIB concentrations during both outbreak periods were primarily located within Northern part and Southeastern part. Furthermore, analysis of the variation in</w:t>
      </w:r>
      <w:r>
        <w:t xml:space="preserve"> </w:t>
      </w:r>
      <m:oMath>
        <m:r>
          <m:t>f</m:t>
        </m:r>
      </m:oMath>
      <w:r>
        <w:t xml:space="preserve"> </w:t>
      </w:r>
      <w:r>
        <w:t xml:space="preserve">at different clusters revealed a characteristic trend: during the decline phase of</w:t>
      </w:r>
      <w:r>
        <w:t xml:space="preserve"> </w:t>
      </w:r>
      <m:oMath>
        <m:r>
          <m:t>f</m:t>
        </m:r>
      </m:oMath>
      <w:r>
        <w:t xml:space="preserve">, the lowest values were often followed by an MIB outbreak (</w:t>
      </w:r>
      <w:hyperlink w:anchor="fig-taihumibalgae">
        <w:r>
          <w:rPr>
            <w:rStyle w:val="Hyperlink"/>
          </w:rPr>
          <w:t xml:space="preserve">Fig. 1</w:t>
        </w:r>
      </w:hyperlink>
      <w:r>
        <w:t xml:space="preserve">C). Concurrent analysis of odor-producing cyanobacteria in water samples using epic-PCR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during the study period. During the sampling period,</w:t>
      </w:r>
      <w:r>
        <w:t xml:space="preserve"> </w:t>
      </w:r>
      <w:r>
        <w:rPr>
          <w:i/>
          <w:iCs/>
        </w:rPr>
        <w:t xml:space="preserve">Microcystis</w:t>
      </w:r>
      <w:r>
        <w:t xml:space="preserve"> </w:t>
      </w:r>
      <w:r>
        <w:t xml:space="preserve">was the dominant cyanobacterial genus for most of the time (</w:t>
      </w:r>
      <w:hyperlink w:anchor="fig-taihumibalgae">
        <w:r>
          <w:rPr>
            <w:rStyle w:val="Hyperlink"/>
          </w:rPr>
          <w:t xml:space="preserve">Fig. 1</w:t>
        </w:r>
      </w:hyperlink>
      <w:r>
        <w:t xml:space="preserve">D). However, in September,</w:t>
      </w:r>
      <w:r>
        <w:t xml:space="preserve"> </w:t>
      </w:r>
      <w:r>
        <w:rPr>
          <w:i/>
          <w:iCs/>
        </w:rPr>
        <w:t xml:space="preserve">Pseudanabaena</w:t>
      </w:r>
      <w:r>
        <w:t xml:space="preserve">, as the primary MIB-producing species reached its highest relative abundance (31.0%). In contrast,</w:t>
      </w:r>
      <w:r>
        <w:t xml:space="preserve"> </w:t>
      </w:r>
      <w:r>
        <w:rPr>
          <w:i/>
          <w:iCs/>
        </w:rPr>
        <w:t xml:space="preserve">Planktothricoides</w:t>
      </w:r>
      <w:r>
        <w:t xml:space="preserve"> </w:t>
      </w:r>
      <w:r>
        <w:t xml:space="preserve">was much lower, accounting for only 1.4%.</w:t>
      </w:r>
    </w:p>
    <w:tbl>
      <w:tblPr>
        <w:tblStyle w:val="Table"/>
        <w:tblW w:type="pct" w:w="5000"/>
        <w:tblLayout w:type="fixed"/>
        <w:tblLook w:firstRow="0" w:lastRow="0" w:firstColumn="0" w:lastColumn="0" w:noHBand="0" w:noVBand="0" w:val="0000"/>
      </w:tblPr>
      <w:tblGrid>
        <w:gridCol w:w="7920"/>
      </w:tblGrid>
      <w:tr>
        <w:tc>
          <w:tcPr/>
          <w:bookmarkStart w:id="38" w:name="fig-taihumibalgae"/>
          <w:p>
            <w:pPr>
              <w:pStyle w:val="Compact"/>
              <w:jc w:val="center"/>
            </w:pPr>
            <w:r>
              <w:drawing>
                <wp:inline>
                  <wp:extent cx="5177790" cy="5188166"/>
                  <wp:effectExtent b="0" l="0" r="0" t="0"/>
                  <wp:docPr descr="" title="" id="36" name="Picture"/>
                  <a:graphic>
                    <a:graphicData uri="http://schemas.openxmlformats.org/drawingml/2006/picture">
                      <pic:pic>
                        <pic:nvPicPr>
                          <pic:cNvPr descr="../figures/taihumibalgae_revised.png" id="37" name="Picture"/>
                          <pic:cNvPicPr>
                            <a:picLocks noChangeArrowheads="1" noChangeAspect="1"/>
                          </pic:cNvPicPr>
                        </pic:nvPicPr>
                        <pic:blipFill>
                          <a:blip r:embed="rId35"/>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The distribution of MIB and primary odor-producing cyanobacteria in Lake Taihu: Temporal and spatial distribution of</w:t>
            </w:r>
            <w:r>
              <w:t xml:space="preserve"> </w:t>
            </w:r>
            <m:oMath>
              <m:sSub>
                <m:e>
                  <m:r>
                    <m:t>t</m:t>
                  </m:r>
                </m:e>
                <m:sub>
                  <m:r>
                    <m:t>e</m:t>
                  </m:r>
                </m:sub>
              </m:sSub>
              <m:r>
                <m:t>x</m:t>
              </m:r>
              <m:r>
                <m:t>t</m:t>
              </m:r>
              <m:r>
                <m:t>M</m:t>
              </m:r>
              <m:r>
                <m:t>I</m:t>
              </m:r>
              <m:r>
                <m:t>B</m:t>
              </m:r>
            </m:oMath>
            <w:r>
              <w:t xml:space="preserve"> </w:t>
            </w:r>
            <w:r>
              <w:t xml:space="preserve">concentrations in Lake Taihu throughout the year (A), clustering of</w:t>
            </w:r>
            <w:r>
              <w:t xml:space="preserve"> </w:t>
            </w:r>
            <m:oMath>
              <m:sSub>
                <m:e>
                  <m:r>
                    <m:t>t</m:t>
                  </m:r>
                </m:e>
                <m:sub>
                  <m:r>
                    <m:t>e</m:t>
                  </m:r>
                </m:sub>
              </m:sSub>
              <m:r>
                <m:t>x</m:t>
              </m:r>
              <m:r>
                <m:t>t</m:t>
              </m:r>
              <m:r>
                <m:t>M</m:t>
              </m:r>
              <m:r>
                <m:t>I</m:t>
              </m:r>
              <m:r>
                <m:t>B</m:t>
              </m:r>
            </m:oMath>
            <w:r>
              <w:t xml:space="preserve"> </w:t>
            </w:r>
            <w:r>
              <w:t xml:space="preserve">concentrations in Lake Taihu (B). Temporal variation in the proportion of</w:t>
            </w:r>
            <w:r>
              <w:t xml:space="preserve"> </w:t>
            </w:r>
            <m:oMath>
              <m:sSub>
                <m:e>
                  <m:r>
                    <m:t>e</m:t>
                  </m:r>
                </m:e>
                <m:sub>
                  <m:r>
                    <m:t>e</m:t>
                  </m:r>
                </m:sub>
              </m:sSub>
              <m:r>
                <m:t>x</m:t>
              </m:r>
              <m:r>
                <m:t>t</m:t>
              </m:r>
              <m:r>
                <m:t>M</m:t>
              </m:r>
              <m:r>
                <m:t>I</m:t>
              </m:r>
              <m:r>
                <m:t>B</m:t>
              </m:r>
            </m:oMath>
            <w:r>
              <w:t xml:space="preserve"> </w:t>
            </w:r>
            <w:r>
              <w:t xml:space="preserve">in different lake regions (C) and in the dominant algal species composition (D).</w:t>
            </w:r>
          </w:p>
          <w:bookmarkEnd w:id="38"/>
        </w:tc>
      </w:tr>
    </w:tbl>
    <w:bookmarkEnd w:id="39"/>
    <w:bookmarkStart w:id="48" w:name="Xf5f40f8cff54646c3236a66b91aa4fa227f4b40"/>
    <w:p>
      <w:pPr>
        <w:pStyle w:val="Heading2"/>
      </w:pPr>
      <w:r>
        <w:t xml:space="preserve">Construction of Model Between the Cultured Cyanobacteria Growth and f Change</w:t>
      </w:r>
    </w:p>
    <w:p>
      <w:pPr>
        <w:pStyle w:val="FirstParagraph"/>
      </w:pPr>
      <w:r>
        <w:t xml:space="preserve">In the previous analysis, a distinct pattern in the</w:t>
      </w:r>
      <w:r>
        <w:t xml:space="preserve"> </w:t>
      </w:r>
      <m:oMath>
        <m:r>
          <m:t>f</m:t>
        </m:r>
      </m:oMath>
      <w:r>
        <w:t xml:space="preserve"> </w:t>
      </w:r>
      <w:r>
        <w:t xml:space="preserve">was observed in Taihu Lake water samples. Concurrently, pure cultures of the two odor-producing cyanobacteria from Taihu Lake were grown under different light conditions . It was found that during their growth and odor production, the f initially decreased. This ratio reached its lowest point at approximately half of the maximum cell density. During this phase, both</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Subsequently, the ratio began to increase gradually and eventually stabilized near 0.5, with</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rising rapidly during this period (</w:t>
      </w:r>
      <w:hyperlink w:anchor="fig-modelconcept">
        <w:r>
          <w:rPr>
            <w:rStyle w:val="Hyperlink"/>
          </w:rPr>
          <w:t xml:space="preserve">Fig. 2</w:t>
        </w:r>
      </w:hyperlink>
      <w:r>
        <w:t xml:space="preserve">A, B).</w:t>
      </w:r>
    </w:p>
    <w:p>
      <w:pPr>
        <w:pStyle w:val="BodyText"/>
      </w:pPr>
      <w:r>
        <w:t xml:space="preserve">To characterize this pattern, a logistic growth-based model was constructed to express the variations in the</w:t>
      </w:r>
      <w:r>
        <w:t xml:space="preserve"> </w:t>
      </w:r>
      <m:oMath>
        <m:r>
          <m:t>f</m:t>
        </m:r>
      </m:oMath>
      <w:r>
        <w:t xml:space="preserve">. Logistic fitting of the growth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C, D) showed good fit results. Based on the f variations during the growth period, the model parameters</w:t>
      </w:r>
      <w:r>
        <w:t xml:space="preserve"> </w:t>
      </w:r>
      <m:oMath>
        <m:sSub>
          <m:e>
            <m:r>
              <m:t>α</m:t>
            </m:r>
          </m:e>
          <m:sub>
            <m:r>
              <m:t>1</m:t>
            </m:r>
          </m:sub>
        </m:sSub>
      </m:oMath>
      <w:r>
        <w:t xml:space="preserve">,</w:t>
      </w:r>
      <w:r>
        <w:t xml:space="preserve"> </w:t>
      </w:r>
      <m:oMath>
        <m:sSub>
          <m:e>
            <m:r>
              <m:t>α</m:t>
            </m:r>
          </m:e>
          <m:sub>
            <m:r>
              <m:t>2</m:t>
            </m:r>
          </m:sub>
        </m:sSub>
      </m:oMath>
      <w:r>
        <w:t xml:space="preserve"> </w:t>
      </w:r>
      <w:r>
        <w:t xml:space="preserve">and</w:t>
      </w:r>
      <w:r>
        <w:t xml:space="preserve"> </w:t>
      </w:r>
      <m:oMath>
        <m:r>
          <m:t>β</m:t>
        </m:r>
      </m:oMath>
      <w:r>
        <w:t xml:space="preserve"> </w:t>
      </w:r>
      <w:r>
        <w:t xml:space="preserve">were derived. The parameter</w:t>
      </w:r>
      <w:r>
        <w:t xml:space="preserve"> </w:t>
      </w:r>
      <m:oMath>
        <m:sSub>
          <m:e>
            <m:r>
              <m:t>α</m:t>
            </m:r>
          </m:e>
          <m:sub>
            <m:r>
              <m:t>1</m:t>
            </m:r>
          </m:sub>
        </m:sSub>
      </m:oMath>
      <w:r>
        <w:t xml:space="preserve"> </w:t>
      </w:r>
      <w:r>
        <w:t xml:space="preserve">for</w:t>
      </w:r>
      <w:r>
        <w:t xml:space="preserve"> </w:t>
      </w:r>
      <w:r>
        <w:rPr>
          <w:i/>
          <w:iCs/>
        </w:rPr>
        <w:t xml:space="preserve">Pseudanabaena</w:t>
      </w:r>
      <w:r>
        <w:t xml:space="preserve"> </w:t>
      </w:r>
      <w:r>
        <w:t xml:space="preserve">was significantly greater than that for</w:t>
      </w:r>
      <w:r>
        <w:t xml:space="preserve"> </w:t>
      </w:r>
      <w:r>
        <w:rPr>
          <w:i/>
          <w:iCs/>
        </w:rPr>
        <w:t xml:space="preserve">Planktothricoides</w:t>
      </w:r>
      <w:r>
        <w:t xml:space="preserve"> </w:t>
      </w:r>
      <w:r>
        <w:t xml:space="preserve">(</w:t>
      </w:r>
      <w:r>
        <w:rPr>
          <w:i/>
          <w:iCs/>
        </w:rPr>
        <w:t xml:space="preserve">p</w:t>
      </w:r>
      <w:r>
        <w:t xml:space="preserve"> </w:t>
      </w:r>
      <w:r>
        <w:t xml:space="preserve">&lt; 0.01), while the parameter</w:t>
      </w:r>
      <w:r>
        <w:t xml:space="preserve"> </w:t>
      </w:r>
      <m:oMath>
        <m:r>
          <m:t>β</m:t>
        </m:r>
      </m:oMath>
      <w:r>
        <w:t xml:space="preserve"> </w:t>
      </w:r>
      <w:r>
        <w:t xml:space="preserve">showed the opposite trend (</w:t>
      </w:r>
      <w:r>
        <w:rPr>
          <w:i/>
          <w:iCs/>
        </w:rPr>
        <w:t xml:space="preserve">p</w:t>
      </w:r>
      <w:r>
        <w:t xml:space="preserve"> </w:t>
      </w:r>
      <w:r>
        <w:t xml:space="preserve">&lt; 0.01)(</w:t>
      </w:r>
      <w:hyperlink w:anchor="fig-modelconcept">
        <w:r>
          <w:rPr>
            <w:rStyle w:val="Hyperlink"/>
          </w:rPr>
          <w:t xml:space="preserve">Fig. 2</w:t>
        </w:r>
      </w:hyperlink>
      <w:r>
        <w:t xml:space="preserve">E). The model exhibited relatively small residuals under most growth conditions, demonstrating a good fitting performance (</w:t>
      </w:r>
      <w:hyperlink w:anchor="fig-modelconcept">
        <w:r>
          <w:rPr>
            <w:rStyle w:val="Hyperlink"/>
          </w:rPr>
          <w:t xml:space="preserve">Fig. 2</w:t>
        </w:r>
      </w:hyperlink>
      <w:r>
        <w:t xml:space="preserve">F).</w:t>
      </w:r>
    </w:p>
    <w:tbl>
      <w:tblPr>
        <w:tblStyle w:val="Table"/>
        <w:tblW w:type="pct" w:w="5000"/>
        <w:tblLayout w:type="fixed"/>
        <w:tblLook w:firstRow="0" w:lastRow="0" w:firstColumn="0" w:lastColumn="0" w:noHBand="0" w:noVBand="0" w:val="0000"/>
      </w:tblPr>
      <w:tblGrid>
        <w:gridCol w:w="7920"/>
      </w:tblGrid>
      <w:tr>
        <w:tc>
          <w:tcPr/>
          <w:bookmarkStart w:id="43" w:name="fig-modelconcept"/>
          <w:p>
            <w:pPr>
              <w:pStyle w:val="Compact"/>
              <w:jc w:val="center"/>
            </w:pPr>
            <w:r>
              <w:drawing>
                <wp:inline>
                  <wp:extent cx="4602480" cy="6266803"/>
                  <wp:effectExtent b="0" l="0" r="0" t="0"/>
                  <wp:docPr descr="" title="" id="41" name="Picture"/>
                  <a:graphic>
                    <a:graphicData uri="http://schemas.openxmlformats.org/drawingml/2006/picture">
                      <pic:pic>
                        <pic:nvPicPr>
                          <pic:cNvPr descr="../figures/modelconcept_revised.png" id="42" name="Picture"/>
                          <pic:cNvPicPr>
                            <a:picLocks noChangeArrowheads="1" noChangeAspect="1"/>
                          </pic:cNvPicPr>
                        </pic:nvPicPr>
                        <pic:blipFill>
                          <a:blip r:embed="rId40"/>
                          <a:stretch>
                            <a:fillRect/>
                          </a:stretch>
                        </pic:blipFill>
                        <pic:spPr bwMode="auto">
                          <a:xfrm>
                            <a:off x="0" y="0"/>
                            <a:ext cx="4602480" cy="6266803"/>
                          </a:xfrm>
                          <a:prstGeom prst="rect">
                            <a:avLst/>
                          </a:prstGeom>
                          <a:noFill/>
                          <a:ln w="9525">
                            <a:noFill/>
                            <a:headEnd/>
                            <a:tailEnd/>
                          </a:ln>
                        </pic:spPr>
                      </pic:pic>
                    </a:graphicData>
                  </a:graphic>
                </wp:inline>
              </w:drawing>
            </w:r>
          </w:p>
          <w:p>
            <w:pPr>
              <w:jc w:val="center"/>
            </w:pPr>
            <w:pPr>
              <w:jc w:val="start"/>
              <w:spacing w:before="200"/>
              <w:pStyle w:val="ImageCaption"/>
            </w:pPr>
            <w:r>
              <w:t xml:space="preserve">Fig. 2: Concept and performance of</w:t>
            </w:r>
            <w:r>
              <w:t xml:space="preserve"> </w:t>
            </w:r>
            <m:oMath>
              <m:r>
                <m:t>f</m:t>
              </m:r>
            </m:oMath>
            <w:r>
              <w:t xml:space="preserve"> </w:t>
            </w:r>
            <w:r>
              <w:t xml:space="preserve">model: Logistic growth curve (A) and conceptual diagram of model (B). logistic growth fitting curves for</w:t>
            </w:r>
            <w:r>
              <w:t xml:space="preserve"> </w:t>
            </w:r>
            <w:r>
              <w:rPr>
                <w:i/>
                <w:iCs/>
              </w:rPr>
              <w:t xml:space="preserve">Planktothricoides</w:t>
            </w:r>
            <w:r>
              <w:t xml:space="preserve"> </w:t>
            </w:r>
            <w:r>
              <w:t xml:space="preserve">(C) and</w:t>
            </w:r>
            <w:r>
              <w:t xml:space="preserve"> </w:t>
            </w:r>
            <w:r>
              <w:rPr>
                <w:i/>
                <w:iCs/>
              </w:rPr>
              <w:t xml:space="preserve">Pseudanabaena</w:t>
            </w:r>
            <w:r>
              <w:t xml:space="preserve"> </w:t>
            </w:r>
            <w:r>
              <w:t xml:space="preserve">(D). Comparison of model parameters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(E). Comparison of model residuals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(F). Panel C is replotted using raw data from</w:t>
            </w:r>
            <w:r>
              <w:rPr>
                <w:vertAlign w:val="superscript"/>
              </w:rPr>
              <w:t xml:space="preserve">33</w:t>
            </w:r>
            <w:r>
              <w:t xml:space="preserve">, and panel D from</w:t>
            </w:r>
            <w:r>
              <w:rPr>
                <w:vertAlign w:val="superscript"/>
              </w:rPr>
              <w:t xml:space="preserve">18</w:t>
            </w:r>
            <w:r>
              <w:t xml:space="preserve">; logistic fitting was performed in this study.</w:t>
            </w:r>
          </w:p>
          <w:bookmarkEnd w:id="43"/>
        </w:tc>
      </w:tr>
    </w:tbl>
    <w:tbl>
      <w:tblPr>
        <w:tblStyle w:val="Table"/>
        <w:tblW w:type="pct" w:w="5000"/>
        <w:tblLayout w:type="fixed"/>
        <w:tblLook w:firstRow="0" w:lastRow="0" w:firstColumn="0" w:lastColumn="0" w:noHBand="0" w:noVBand="0" w:val="0000"/>
      </w:tblPr>
      <w:tblGrid>
        <w:gridCol w:w="7920"/>
      </w:tblGrid>
      <w:tr>
        <w:tc>
          <w:tcPr/>
          <w:bookmarkStart w:id="47" w:name="fig-modelout"/>
          <w:p>
            <w:pPr>
              <w:pStyle w:val="Compact"/>
              <w:jc w:val="center"/>
            </w:pPr>
            <w:r>
              <w:drawing>
                <wp:inline>
                  <wp:extent cx="4027170" cy="4780867"/>
                  <wp:effectExtent b="0" l="0" r="0" t="0"/>
                  <wp:docPr descr="" title="" id="45" name="Picture"/>
                  <a:graphic>
                    <a:graphicData uri="http://schemas.openxmlformats.org/drawingml/2006/picture">
                      <pic:pic>
                        <pic:nvPicPr>
                          <pic:cNvPr descr="../figures/modeloutdf_revised.png" id="46" name="Picture"/>
                          <pic:cNvPicPr>
                            <a:picLocks noChangeArrowheads="1" noChangeAspect="1"/>
                          </pic:cNvPicPr>
                        </pic:nvPicPr>
                        <pic:blipFill>
                          <a:blip r:embed="rId44"/>
                          <a:stretch>
                            <a:fillRect/>
                          </a:stretch>
                        </pic:blipFill>
                        <pic:spPr bwMode="auto">
                          <a:xfrm>
                            <a:off x="0" y="0"/>
                            <a:ext cx="4027170" cy="4780867"/>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p>
          <w:bookmarkEnd w:id="47"/>
        </w:tc>
      </w:tr>
    </w:tbl>
    <w:bookmarkEnd w:id="48"/>
    <w:bookmarkStart w:id="57" w:name="X171181ea9ffff2968730fde65c344a3c91bf033"/>
    <w:p>
      <w:pPr>
        <w:pStyle w:val="Heading2"/>
      </w:pPr>
      <w:r>
        <w:t xml:space="preserve">Spatiotemporal Variation of Odor-Producing Cyanobacteria Growth Stage in Taihu Lake</w:t>
      </w:r>
    </w:p>
    <w:p>
      <w:pPr>
        <w:pStyle w:val="FirstParagraph"/>
      </w:pPr>
      <w:r>
        <w:t xml:space="preserve">After establishing the model based on the cultivation data, it was applied to the various sampling points in Taihu Lake to calculate the growth information of the odor-producing cyanobacteria at each location and determine the</w:t>
      </w:r>
      <w:r>
        <w:t xml:space="preserve"> </w:t>
      </w:r>
      <m:oMath>
        <m:r>
          <m:t>S</m:t>
        </m:r>
        <m:r>
          <m:t>t</m:t>
        </m:r>
      </m:oMath>
      <w:r>
        <w:t xml:space="preserve"> </w:t>
      </w:r>
      <w:r>
        <w:t xml:space="preserve">values. The growth of odor-producing cyanobacteria at different sampling points in Taihu Lake exhibited two distinct growth trends throughout the year. As temperatures increased, a significant growth phase occurred from May to November, followed by a smaller-scale growth</w:t>
      </w:r>
      <w:r>
        <w:t xml:space="preserve"> </w:t>
      </w:r>
      <m:oMath>
        <m:r>
          <m:t>S</m:t>
        </m:r>
        <m:r>
          <m:t>t</m:t>
        </m:r>
      </m:oMath>
      <w:r>
        <w:t xml:space="preserve"> </w:t>
      </w:r>
      <w:r>
        <w:t xml:space="preserve">between December and April after the winter production (</w:t>
      </w:r>
      <w:hyperlink w:anchor="fig-period">
        <w:r>
          <w:rPr>
            <w:rStyle w:val="Hyperlink"/>
          </w:rPr>
          <w:t xml:space="preserve">Fig. 4</w:t>
        </w:r>
      </w:hyperlink>
      <w:r>
        <w:t xml:space="preserve">A). The two distinct cell density growth phases in different seasons led to two separate MIB concentration peaks in Taihu Lake throughout the year. Further analysis of the growth stages of odor-producing algae at different clustering points revealed that the growth stages of the algae and the MIB outbreaks were synchronized at different clustering locations (</w:t>
      </w:r>
      <w:hyperlink w:anchor="fig-period">
        <w:r>
          <w:rPr>
            <w:rStyle w:val="Hyperlink"/>
          </w:rPr>
          <w:t xml:space="preserve">Fig. 4</w:t>
        </w:r>
      </w:hyperlink>
      <w:r>
        <w:t xml:space="preserve">B). When the</w:t>
      </w:r>
      <w:r>
        <w:t xml:space="preserve"> </w:t>
      </w:r>
      <m:oMath>
        <m:r>
          <m:t>S</m:t>
        </m:r>
        <m:r>
          <m:t>t</m:t>
        </m:r>
      </m:oMath>
      <w:r>
        <w:t xml:space="preserve"> </w:t>
      </w:r>
      <w:r>
        <w:t xml:space="preserve">value approaches 0.5, it indicates that the growth stage of the odor-producing algae is near the inflection point of the logarithmic phase, suggesting a high risk of significant MIB release.</w:t>
      </w:r>
    </w:p>
    <w:tbl>
      <w:tblPr>
        <w:tblStyle w:val="Table"/>
        <w:tblW w:type="pct" w:w="5000"/>
        <w:tblLayout w:type="fixed"/>
        <w:tblLook w:firstRow="0" w:lastRow="0" w:firstColumn="0" w:lastColumn="0" w:noHBand="0" w:noVBand="0" w:val="0000"/>
      </w:tblPr>
      <w:tblGrid>
        <w:gridCol w:w="7920"/>
      </w:tblGrid>
      <w:tr>
        <w:tc>
          <w:tcPr/>
          <w:bookmarkStart w:id="52" w:name="fig-period"/>
          <w:p>
            <w:pPr>
              <w:pStyle w:val="Compact"/>
              <w:jc w:val="center"/>
            </w:pPr>
            <w:r>
              <w:drawing>
                <wp:inline>
                  <wp:extent cx="4602480" cy="4820503"/>
                  <wp:effectExtent b="0" l="0" r="0" t="0"/>
                  <wp:docPr descr="" title="" id="50" name="Picture"/>
                  <a:graphic>
                    <a:graphicData uri="http://schemas.openxmlformats.org/drawingml/2006/picture">
                      <pic:pic>
                        <pic:nvPicPr>
                          <pic:cNvPr descr="../figures/period_revised.png" id="51" name="Picture"/>
                          <pic:cNvPicPr>
                            <a:picLocks noChangeArrowheads="1" noChangeAspect="1"/>
                          </pic:cNvPicPr>
                        </pic:nvPicPr>
                        <pic:blipFill>
                          <a:blip r:embed="rId49"/>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distribution of odor-producing cyanobacteria in the Lake Taihu (A) and different subregions (B)</w:t>
            </w:r>
          </w:p>
          <w:bookmarkEnd w:id="52"/>
        </w:tc>
      </w:tr>
    </w:tbl>
    <w:p>
      <w:pPr>
        <w:pStyle w:val="BodyText"/>
      </w:pPr>
      <w:r>
        <w:t xml:space="preserve">To extend the model’s application to the entire Taihu Lake, data on water temperature, solar radiation, and odor-producing cyanobacteria growth under different conditions from various sources were collected for different months. Based on temperature and light intensity, a relationship with the intrinsic growth rate (</w:t>
      </w:r>
      <m:oMath>
        <m:r>
          <m:t>r</m:t>
        </m:r>
      </m:oMath>
      <w:r>
        <w:t xml:space="preserve">) of the cyanobacteria was established. It was found that the distribution of the growth stages of odor-producing cyanobacteria exhibited seasonal differences (</w:t>
      </w:r>
      <w:hyperlink w:anchor="fig-periodandrisk">
        <w:r>
          <w:rPr>
            <w:rStyle w:val="Hyperlink"/>
          </w:rPr>
          <w:t xml:space="preserve">Fig. 5</w:t>
        </w:r>
      </w:hyperlink>
      <w:r>
        <w:t xml:space="preserve">A). From spring (starting in March 2022) to winter (ending in February 2023), the growth stages across the lake showed an increasing trend followed by a decrease. Spatially, in different seasons, the northern and southeastern regions exhibited significantly higher growth stages than other areas.</w:t>
      </w:r>
    </w:p>
    <w:p>
      <w:pPr>
        <w:pStyle w:val="BodyText"/>
      </w:pPr>
      <w:r>
        <w:t xml:space="preserve">In general, the seasonal pattern was as follows: in early spring, odor-producing cyanobacteria began to grow earliest in the northwest and southeast regions; by summer, most of the lake had growth; in autumn, the northern, southern, and southeastern regions were in the later stages of growth; and in winter, except for a small part of the northern lake region, the growth of odor-producing cyanobacteria was minimal across the lake.</w:t>
      </w:r>
    </w:p>
    <w:tbl>
      <w:tblPr>
        <w:tblStyle w:val="Table"/>
        <w:tblW w:type="pct" w:w="5000"/>
        <w:tblLayout w:type="fixed"/>
        <w:tblLook w:firstRow="0" w:lastRow="0" w:firstColumn="0" w:lastColumn="0" w:noHBand="0" w:noVBand="0" w:val="0000"/>
      </w:tblPr>
      <w:tblGrid>
        <w:gridCol w:w="7920"/>
      </w:tblGrid>
      <w:tr>
        <w:tc>
          <w:tcPr/>
          <w:bookmarkStart w:id="56" w:name="fig-periodandrisk"/>
          <w:p>
            <w:pPr>
              <w:pStyle w:val="Compact"/>
              <w:jc w:val="center"/>
            </w:pPr>
            <w:r>
              <w:drawing>
                <wp:inline>
                  <wp:extent cx="5753100" cy="5227075"/>
                  <wp:effectExtent b="0" l="0" r="0" t="0"/>
                  <wp:docPr descr="" title="" id="54" name="Picture"/>
                  <a:graphic>
                    <a:graphicData uri="http://schemas.openxmlformats.org/drawingml/2006/picture">
                      <pic:pic>
                        <pic:nvPicPr>
                          <pic:cNvPr descr="../figures/periodandrisk.png" id="55" name="Picture"/>
                          <pic:cNvPicPr>
                            <a:picLocks noChangeArrowheads="1" noChangeAspect="1"/>
                          </pic:cNvPicPr>
                        </pic:nvPicPr>
                        <pic:blipFill>
                          <a:blip r:embed="rId53"/>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Growth stage distribution of odor-producing cyanobacteria across the entire Lake Taihu; Odor risk assessment across the entire Lake Taihu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w:t>
            </w:r>
          </w:p>
          <w:bookmarkEnd w:id="56"/>
        </w:tc>
      </w:tr>
    </w:tbl>
    <w:p>
      <w:pPr>
        <w:pStyle w:val="BodyText"/>
      </w:pPr>
      <w:r>
        <w:t xml:space="preserve">Further analysis of the relationship between the growth stage of odor-producing cyanobacteria (</w:t>
      </w:r>
      <m:oMath>
        <m:r>
          <m:t>S</m:t>
        </m:r>
        <m:r>
          <m:t>t</m:t>
        </m:r>
      </m:oMath>
      <w:r>
        <w:t xml:space="preserve">) and total MIB concentration (</w:t>
      </w:r>
      <m:oMath>
        <m:sSub>
          <m:e>
            <m:r>
              <m:t>t</m:t>
            </m:r>
          </m:e>
          <m:sub>
            <m:r>
              <m:rPr>
                <m:nor/>
                <m:sty m:val="p"/>
              </m:rPr>
              <m:t>MIB</m:t>
            </m:r>
          </m:sub>
        </m:sSub>
      </m:oMath>
      <w:r>
        <w:t xml:space="preserve">) revealed the annual distribution of odor risk in Lake Taihu (</w:t>
      </w:r>
      <w:hyperlink w:anchor="fig-periodandrisk">
        <w:r>
          <w:rPr>
            <w:rStyle w:val="Hyperlink"/>
          </w:rPr>
          <w:t xml:space="preserve">Fig. 5</w:t>
        </w:r>
      </w:hyperlink>
      <w:r>
        <w:t xml:space="preserve">B, r zref(</w:t>
      </w:r>
      <w:r>
        <w:t xml:space="preserve">“sfg-taihurisk50”</w:t>
      </w:r>
      <w:r>
        <w:t xml:space="preserve">)). The results showed that the spatial patterns of the probability of MIB exceeding 10 ng L</w:t>
      </w:r>
      <m:oMath>
        <m:sSup>
          <m:e>
            <m:r>
              <m:t>​</m:t>
            </m:r>
          </m:e>
          <m:sup>
            <m:r>
              <m:rPr>
                <m:sty m:val="p"/>
              </m:rPr>
              <m:t>−</m:t>
            </m:r>
            <m:r>
              <m:t>1</m:t>
            </m:r>
          </m:sup>
        </m:sSup>
      </m:oMath>
      <w:r>
        <w:t xml:space="preserve"> </w:t>
      </w:r>
      <w:r>
        <w:t xml:space="preserve">and 50 ng L</w:t>
      </w:r>
      <m:oMath>
        <m:sSup>
          <m:e>
            <m:r>
              <m:t>​</m:t>
            </m:r>
          </m:e>
          <m:sup>
            <m:r>
              <m:rPr>
                <m:sty m:val="p"/>
              </m:rPr>
              <m:t>−</m:t>
            </m:r>
            <m:r>
              <m:t>1</m:t>
            </m:r>
          </m:sup>
        </m:sSup>
      </m:oMath>
      <w:r>
        <w:t xml:space="preserve"> </w:t>
      </w:r>
      <w:r>
        <w:t xml:space="preserve">were similar, with the latter generally being about half the former. Based on this probability distribution, elevated MIB risk was observed in spring (March–May) and late summer to autumn (July–October). In contrast, the risk was low in other months: June served as a transitional period between the two major MIB episodes, and from November to February, most of the lake exhibited minimal risk except for parts of the northern and southeastern regions.</w:t>
      </w:r>
    </w:p>
    <w:p>
      <w:pPr>
        <w:pStyle w:val="BodyText"/>
      </w:pPr>
      <w:r>
        <w:t xml:space="preserve">Spatially, the risk zones in spring were mainly concentrated in the northern part of the lake. As the risk intensified in late summer and autumn, high-risk areas expanded to cover nearly the entire lake. Notably, the northern and southeastern regions of Lake Taihu consistently emerged as hotspots with a higher probability of experiencing elevated MIB concentrations.</w:t>
      </w:r>
    </w:p>
    <w:bookmarkEnd w:id="57"/>
    <w:bookmarkStart w:id="62" w:name="Xc0a107ed3e97e212d240d54b33046d149aa2603"/>
    <w:p>
      <w:pPr>
        <w:pStyle w:val="Heading2"/>
      </w:pPr>
      <w:r>
        <w:t xml:space="preserve">Environmental Influences on Cyanobacteria Growth and Odor Risk</w:t>
      </w:r>
    </w:p>
    <w:p>
      <w:pPr>
        <w:pStyle w:val="FirstParagraph"/>
      </w:pPr>
      <w:r>
        <w:t xml:space="preserve">According to various studies,</w:t>
      </w:r>
      <w:r>
        <w:t xml:space="preserve"> </w:t>
      </w:r>
      <w:r>
        <w:rPr>
          <w:i/>
          <w:iCs/>
        </w:rPr>
        <w:t xml:space="preserve">Pseudanabaena</w:t>
      </w:r>
      <w:r>
        <w:t xml:space="preserve"> </w:t>
      </w:r>
      <w:r>
        <w:t xml:space="preserve">exhibits different intrinsic growth rates (</w:t>
      </w:r>
      <m:oMath>
        <m:r>
          <m:t>r</m:t>
        </m:r>
      </m:oMath>
      <w:r>
        <w:t xml:space="preserve">) under varying light and temperature conditions. These differences in</w:t>
      </w:r>
      <w:r>
        <w:t xml:space="preserve"> </w:t>
      </w:r>
      <m:oMath>
        <m:r>
          <m:t>r</m:t>
        </m:r>
      </m:oMath>
      <w:r>
        <w:t xml:space="preserve"> </w:t>
      </w:r>
      <w:r>
        <w:t xml:space="preserve">can indirectly influence the temporal dynamics of the growth stage indicator (</w:t>
      </w:r>
      <m:oMath>
        <m:r>
          <m:t>S</m:t>
        </m:r>
        <m:r>
          <m:t>t</m:t>
        </m:r>
      </m:oMath>
      <w:r>
        <w:t xml:space="preserve">) by affecting the timing of the logistic growth inflection point (</w:t>
      </w:r>
      <m:oMath>
        <m:sSub>
          <m:e>
            <m:r>
              <m:t>T</m:t>
            </m:r>
          </m:e>
          <m:sub>
            <m:r>
              <m:t>0</m:t>
            </m:r>
          </m:sub>
        </m:sSub>
      </m:oMath>
      <w:r>
        <w:t xml:space="preserve">). Within a range of environmental conditions (15–35°C and 0.1–0.4 mol m</w:t>
      </w:r>
      <w:r>
        <w:rPr>
          <w:vertAlign w:val="superscript"/>
        </w:rPr>
        <w:t xml:space="preserve">-2</w:t>
      </w:r>
      <w:r>
        <w:t xml:space="preserve"> </w:t>
      </w:r>
      <w:r>
        <w:t xml:space="preserve">d</w:t>
      </w:r>
      <w:r>
        <w:rPr>
          <w:vertAlign w:val="superscript"/>
        </w:rPr>
        <w:t xml:space="preserve">-1</w:t>
      </w:r>
      <w:r>
        <w:t xml:space="preserve">),</w:t>
      </w:r>
      <w:r>
        <w:t xml:space="preserve"> </w:t>
      </w:r>
      <m:oMath>
        <m:sSub>
          <m:e>
            <m:r>
              <m:t>T</m:t>
            </m:r>
          </m:e>
          <m:sub>
            <m:r>
              <m:t>0</m:t>
            </m:r>
          </m:sub>
        </m:sSub>
      </m:oMath>
      <w:r>
        <w:t xml:space="preserve"> </w:t>
      </w:r>
      <w:r>
        <w:t xml:space="preserve">is negatively correlated with initial cell density, light dose, and temperature (</w:t>
      </w:r>
      <w:hyperlink w:anchor="fig-lighttemp">
        <w:r>
          <w:rPr>
            <w:rStyle w:val="Hyperlink"/>
          </w:rPr>
          <w:t xml:space="preserve">Fig. 6</w:t>
        </w:r>
      </w:hyperlink>
      <w:r>
        <w:t xml:space="preserve">A). When the environmental carrying capacity remains constant but the initial cell density increases, the growth stage of odor-producing cyanobacteria becomes shorter, leading to a decrease in</w:t>
      </w:r>
      <w:r>
        <w:t xml:space="preserve"> </w:t>
      </w:r>
      <m:oMath>
        <m:sSub>
          <m:e>
            <m:r>
              <m:t>T</m:t>
            </m:r>
          </m:e>
          <m:sub>
            <m:r>
              <m:t>0</m:t>
            </m:r>
          </m:sub>
        </m:sSub>
      </m:oMath>
      <w:r>
        <w:t xml:space="preserve">. This results in earlier onset of crowding effects, causing cell lysis and the subsequent release of odor compounds, thereby increasing odor risk. Similarly, within favorable ranges of light and temperature, higher light intensity and temperature accelerate cell growth rates, also resulting in a reduced</w:t>
      </w:r>
      <w:r>
        <w:t xml:space="preserve"> </w:t>
      </w:r>
      <m:oMath>
        <m:sSub>
          <m:e>
            <m:r>
              <m:t>T</m:t>
            </m:r>
          </m:e>
          <m:sub>
            <m:r>
              <m:t>0</m:t>
            </m:r>
          </m:sub>
        </m:sSub>
      </m:oMath>
      <w:r>
        <w:t xml:space="preserve">.</w:t>
      </w:r>
    </w:p>
    <w:p>
      <w:pPr>
        <w:pStyle w:val="BodyText"/>
      </w:pPr>
      <w:r>
        <w:t xml:space="preserve">When these relationships are incorporated into the odor risk prediction framework for Lake Taihu, the model reveals two distinct peaks in odor risk under moderate light conditions—one occurring at approximately 15°C and another above 30°C (</w:t>
      </w:r>
      <w:hyperlink w:anchor="fig-lighttemp">
        <w:r>
          <w:rPr>
            <w:rStyle w:val="Hyperlink"/>
          </w:rPr>
          <w:t xml:space="preserve">Fig. 6</w:t>
        </w:r>
      </w:hyperlink>
      <w:r>
        <w:t xml:space="preserve">B). These two temperature ranges correspond to the observed bimodal pattern of MIB-related odor events in the lake, indicating that there is a risk of odor outbreaks both in spring and summer. In Lake Taihu, the variation in MIB-related odor risk is primarily driven by temperature-mediated changes in cyanobacterial growth dynamics.</w:t>
      </w:r>
    </w:p>
    <w:tbl>
      <w:tblPr>
        <w:tblStyle w:val="Table"/>
        <w:tblW w:type="pct" w:w="5000"/>
        <w:tblLayout w:type="fixed"/>
        <w:tblLook w:firstRow="0" w:lastRow="0" w:firstColumn="0" w:lastColumn="0" w:noHBand="0" w:noVBand="0" w:val="0000"/>
      </w:tblPr>
      <w:tblGrid>
        <w:gridCol w:w="7920"/>
      </w:tblGrid>
      <w:tr>
        <w:tc>
          <w:tcPr/>
          <w:bookmarkStart w:id="61" w:name="fig-lighttemp"/>
          <w:p>
            <w:pPr>
              <w:pStyle w:val="Compact"/>
              <w:jc w:val="center"/>
            </w:pPr>
            <w:r>
              <w:drawing>
                <wp:inline>
                  <wp:extent cx="4602480" cy="3067670"/>
                  <wp:effectExtent b="0" l="0" r="0" t="0"/>
                  <wp:docPr descr="" title="" id="59" name="Picture"/>
                  <a:graphic>
                    <a:graphicData uri="http://schemas.openxmlformats.org/drawingml/2006/picture">
                      <pic:pic>
                        <pic:nvPicPr>
                          <pic:cNvPr descr="../figures/taihualgaerisk_revised.png" id="60" name="Picture"/>
                          <pic:cNvPicPr>
                            <a:picLocks noChangeArrowheads="1" noChangeAspect="1"/>
                          </pic:cNvPicPr>
                        </pic:nvPicPr>
                        <pic:blipFill>
                          <a:blip r:embed="rId58"/>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Effects of Different Light Intensities and Temperatures on the Logistic Growth Inflection Point (A) and Odor Risk (B) of Odor-Producing Cyanobacteria in Lake Taihu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w:t>
            </w:r>
          </w:p>
          <w:bookmarkEnd w:id="61"/>
        </w:tc>
      </w:tr>
    </w:tbl>
    <w:bookmarkEnd w:id="62"/>
    <w:bookmarkEnd w:id="63"/>
    <w:bookmarkStart w:id="71" w:name="discussion"/>
    <w:p>
      <w:pPr>
        <w:pStyle w:val="Heading1"/>
      </w:pPr>
      <w:r>
        <w:t xml:space="preserve">Discussion</w:t>
      </w:r>
    </w:p>
    <w:bookmarkStart w:id="68"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58,59</w:t>
      </w:r>
      <w:r>
        <w:t xml:space="preserve">. In this study, we introduce the ratio</w:t>
      </w:r>
      <w:r>
        <w:t xml:space="preserve"> </w:t>
      </w:r>
      <m:oMath>
        <m:r>
          <m:t>f</m:t>
        </m:r>
      </m:oMath>
      <w:r>
        <w:t xml:space="preserve"> </w:t>
      </w:r>
      <w:r>
        <w:t xml:space="preserve">(</w:t>
      </w:r>
      <m:oMath>
        <m:sSub>
          <m:e>
            <m:r>
              <m:t>d</m:t>
            </m:r>
          </m:e>
          <m:sub>
            <m:r>
              <m:t>M</m:t>
            </m:r>
            <m:r>
              <m:t>I</m:t>
            </m:r>
            <m:r>
              <m:t>B</m:t>
            </m:r>
          </m:sub>
        </m:sSub>
        <m:r>
          <m:rPr>
            <m:sty m:val="p"/>
          </m:rPr>
          <m:t>/</m:t>
        </m:r>
        <m:sSub>
          <m:e>
            <m:r>
              <m:t>t</m:t>
            </m:r>
          </m:e>
          <m:sub>
            <m:r>
              <m:t>M</m:t>
            </m:r>
            <m:r>
              <m:t>I</m:t>
            </m:r>
            <m:r>
              <m:t>B</m:t>
            </m:r>
          </m:sub>
        </m:sSub>
      </m:oMath>
      <w:r>
        <w:t xml:space="preserve">) as an indicator to represent the distribution pattern of MIB. Our findings show that</w:t>
      </w:r>
      <w:r>
        <w:t xml:space="preserve"> </w:t>
      </w:r>
      <m:oMath>
        <m:r>
          <m:t>f</m:t>
        </m:r>
      </m:oMath>
      <w:r>
        <w:t xml:space="preserve"> </w:t>
      </w:r>
      <w:r>
        <w:t xml:space="preserve">is not a constant, but follows a specific dynamic trend, which may be attributed to cell crowding effects. After synthesis, MIB is primarily bound to cytoplasmic and soluble protein fractions within cyanobacterial cells</w:t>
      </w:r>
      <w:r>
        <w:rPr>
          <w:vertAlign w:val="superscript"/>
        </w:rPr>
        <w:t xml:space="preserve">60</w:t>
      </w:r>
      <w:r>
        <w:t xml:space="preserve">. The major mechanism of MIB release is cell lysis, occurring either through programmed cell death or mechanical rupture of the cell wall</w:t>
      </w:r>
      <w:r>
        <w:rPr>
          <w:vertAlign w:val="superscript"/>
        </w:rP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61</w:t>
      </w:r>
      <w:r>
        <w:t xml:space="preserve">.</w:t>
      </w:r>
    </w:p>
    <w:tbl>
      <w:tblPr>
        <w:tblStyle w:val="Table"/>
        <w:tblW w:type="pct" w:w="5000"/>
        <w:tblLayout w:type="fixed"/>
        <w:tblLook w:firstRow="0" w:lastRow="0" w:firstColumn="0" w:lastColumn="0" w:noHBand="0" w:noVBand="0" w:val="0000"/>
      </w:tblPr>
      <w:tblGrid>
        <w:gridCol w:w="7920"/>
      </w:tblGrid>
      <w:tr>
        <w:tc>
          <w:tcPr/>
          <w:bookmarkStart w:id="67" w:name="fig-sketch"/>
          <w:p>
            <w:pPr>
              <w:pStyle w:val="Compact"/>
              <w:jc w:val="center"/>
            </w:pPr>
            <w:r>
              <w:drawing>
                <wp:inline>
                  <wp:extent cx="4602480" cy="2314640"/>
                  <wp:effectExtent b="0" l="0" r="0" t="0"/>
                  <wp:docPr descr="" title="" id="65" name="Picture"/>
                  <a:graphic>
                    <a:graphicData uri="http://schemas.openxmlformats.org/drawingml/2006/picture">
                      <pic:pic>
                        <pic:nvPicPr>
                          <pic:cNvPr descr="../figures/sketch.png" id="66" name="Picture"/>
                          <pic:cNvPicPr>
                            <a:picLocks noChangeArrowheads="1" noChangeAspect="1"/>
                          </pic:cNvPicPr>
                        </pic:nvPicPr>
                        <pic:blipFill>
                          <a:blip r:embed="rId64"/>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7"/>
        </w:tc>
      </w:tr>
    </w:tbl>
    <w:p>
      <w:pPr>
        <w:pStyle w:val="BodyText"/>
      </w:pPr>
      <w:r>
        <w:t xml:space="preserve">In this study, we developed a model linking</w:t>
      </w:r>
      <w:r>
        <w:t xml:space="preserve"> </w:t>
      </w:r>
      <m:oMath>
        <m:r>
          <m:t>f</m:t>
        </m:r>
      </m:oMath>
      <w:r>
        <w:t xml:space="preserve"> </w:t>
      </w:r>
      <w:r>
        <w:t xml:space="preserve">to cell growth time</w:t>
      </w:r>
      <w:r>
        <w:t xml:space="preserve"> </w:t>
      </w:r>
      <m:oMath>
        <m:r>
          <m:t>t</m:t>
        </m:r>
      </m:oMath>
      <w:r>
        <w:t xml:space="preserve">, thereby associating the cyanobacterial growth stage with odor production patterns. This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exponential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exponential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 eMIB in the environment. This trend is consistent with observations reported in previous studies</w:t>
      </w:r>
      <w:r>
        <w:rPr>
          <w:vertAlign w:val="superscript"/>
        </w:rP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68"/>
    <w:bookmarkStart w:id="69" w:name="Xbf386708ce9083d7e74d087101d82064fff5aed"/>
    <w:p>
      <w:pPr>
        <w:pStyle w:val="Heading2"/>
      </w:pPr>
      <w:r>
        <w:t xml:space="preserve">Field-Based Analysis of MIB Dynamics in Relation to Cyanobacterial Growth in Lake Taihu</w:t>
      </w:r>
    </w:p>
    <w:p>
      <w:pPr>
        <w:pStyle w:val="FirstParagraph"/>
      </w:pPr>
      <w:r>
        <w:t xml:space="preserve">Based on the intracellular and extracellular MIB distribution patterns caused by the cell crowding effect, the growth and odor-producing processes of MIB-producing cyanobacteria in Lake Taihu can be further analyzed. Field monitoring of MIB in Lake Taihu revealed two major MIB outbreaks: one in April (in the northern region) and another in July, with high concentrations predominantly observed in summer and early autumn. Spatial clustering analysis showed that the northern and southeastern regions were identified as MIB outbreak hotspots. Simultaneously, the lake-wide distribution of</w:t>
      </w:r>
      <w:r>
        <w:t xml:space="preserve"> </w:t>
      </w:r>
      <m:oMath>
        <m:r>
          <m:t>S</m:t>
        </m:r>
        <m:r>
          <m:t>t</m:t>
        </m:r>
      </m:oMath>
      <w:r>
        <w:t xml:space="preserve"> </w:t>
      </w:r>
      <w:r>
        <w:t xml:space="preserve">indicated that during the transition from winter to spring, cyanobacteria in certain lake areas began to grow slowly. This early-phase growth persisted until early summer, after which a second, more rapid growth period occurred, continuing until late autumn. Similar dual-peak MIB patterns have been reported in other studies, although with slightly different timing. For instance, in 2019 and 2021, smaller MIB peaks were observed in May, while the major peaks occurred in August in Lake Taihu. Notably, the May MIB outbreaks were predominantly located in the southeastern region</w:t>
      </w:r>
      <w:r>
        <w:rPr>
          <w:vertAlign w:val="superscript"/>
        </w:rPr>
        <w:t xml:space="preserve">62,63</w:t>
      </w:r>
      <w:r>
        <w:t xml:space="preserve">. Temperature and light availability are the primary environmental drivers of cyanobacterial growth. During the summer, both factors typically reach optimal levels for the growth of</w:t>
      </w:r>
      <w:r>
        <w:t xml:space="preserve"> </w:t>
      </w:r>
      <w:r>
        <w:rPr>
          <w:i/>
          <w:iCs/>
        </w:rPr>
        <w:t xml:space="preserve">Pseudanabaena</w:t>
      </w:r>
      <w:r>
        <w:t xml:space="preserve">, a key MIB-producing filamentous cyanobacterium</w:t>
      </w:r>
      <w:r>
        <w:rPr>
          <w:vertAlign w:val="superscript"/>
        </w:rPr>
        <w:t xml:space="preserve">63–66</w:t>
      </w:r>
      <w:r>
        <w:t xml:space="preserve">. From April to May, when the surface water temperature exceeds 20°C, MIB-producing cyanobacteria are already able to grow at a considerable rate</w:t>
      </w:r>
      <w:r>
        <w:rPr>
          <w:vertAlign w:val="superscript"/>
        </w:rPr>
        <w:t xml:space="preserve">67–69</w:t>
      </w:r>
      <w:r>
        <w:t xml:space="preserve">. Meanwhile, the lake lacks other dominant cyanobacterial species to compete with them, resulting in a minor peak in MIB concentration during spring. Between May and July,</w:t>
      </w:r>
      <w:r>
        <w:t xml:space="preserve"> </w:t>
      </w:r>
      <w:r>
        <w:rPr>
          <w:i/>
          <w:iCs/>
        </w:rPr>
        <w:t xml:space="preserve">Microcystis</w:t>
      </w:r>
      <w:r>
        <w:t xml:space="preserve"> </w:t>
      </w:r>
      <w:r>
        <w:t xml:space="preserve">undergoes rapid proliferation and becomes the dominant cyanobacterial genus. This dominance reduces light penetration to the subsurface layers, where filamentous MIB-producing cyanobacteria typically reside, thereby inhibiting their growth</w:t>
      </w:r>
      <w:r>
        <w:rPr>
          <w:vertAlign w:val="superscript"/>
        </w:rPr>
        <w:t xml:space="preserve">66,70</w:t>
      </w:r>
      <w:r>
        <w:t xml:space="preserve">. Previous studies also confirm that</w:t>
      </w:r>
      <w:r>
        <w:t xml:space="preserve"> </w:t>
      </w:r>
      <w:r>
        <w:rPr>
          <w:i/>
          <w:iCs/>
        </w:rPr>
        <w:t xml:space="preserve">Microcystis</w:t>
      </w:r>
      <w:r>
        <w:t xml:space="preserve"> </w:t>
      </w:r>
      <w:r>
        <w:t xml:space="preserve">blooms begin around May and subsequently dominate the phytoplankton community</w:t>
      </w:r>
      <w:r>
        <w:rPr>
          <w:vertAlign w:val="superscript"/>
        </w:rPr>
        <w:t xml:space="preserve">71</w:t>
      </w:r>
      <w:r>
        <w:t xml:space="preserve">. Research on microcystin production in Lake Taihu supports this timeline, with significant increases in microcystin concentrations observed only after May</w:t>
      </w:r>
      <w:r>
        <w:rPr>
          <w:vertAlign w:val="superscript"/>
        </w:rPr>
        <w:t xml:space="preserve">62</w:t>
      </w:r>
      <w:r>
        <w:t xml:space="preserve">.</w:t>
      </w:r>
    </w:p>
    <w:p>
      <w:pPr>
        <w:pStyle w:val="BodyText"/>
      </w:pPr>
      <w:r>
        <w:t xml:space="preserve">Further identification of high-risk regions for T&amp;O events indicates that the northern and southeastern areas are the most vulnerable. In the southeastern risk zone, which includes four sampling sites, MIB levels slightly increased in April, declined briefly, and then peaked again in July, remaining elevated through September. In contrast, the northern region exhibited a similar trend, but with a higher April–May peak, and sustained MIB levels &gt;10 ng L</w:t>
      </w:r>
      <w:r>
        <w:rPr>
          <w:vertAlign w:val="superscript"/>
        </w:rPr>
        <w:t xml:space="preserve">-1</w:t>
      </w:r>
      <w:r>
        <w:t xml:space="preserve"> </w:t>
      </w:r>
      <w:r>
        <w:t xml:space="preserve">between the two major peaks (</w:t>
      </w:r>
      <w:hyperlink w:anchor="fig-taihumibalgae">
        <w:r>
          <w:rPr>
            <w:rStyle w:val="Hyperlink"/>
          </w:rPr>
          <w:t xml:space="preserve">Fig. 1</w:t>
        </w:r>
      </w:hyperlink>
      <w:r>
        <w:t xml:space="preserve">B). The different odor production dynamics in these two risk zones are attributable to variations in cyanobacterial growth stages. In the southeast, cyanobacteria were in the late growth stage in March, but transitioned to an early growth stage by April, suggesting a mass cell death event between March and April. As a result, cell density did not increase significantly, and MIB production potential was limited. In contrast, cyanobacteria in the northern region remained in the exponential phase from March to April, with continuous growth and higher MIB production potential. At the lake-wide scale, the spatial progression of odor risk zones from north to south from spring through winter was observed—a pattern not previously reported in studies of MIB-related odor problems in Lake Taihu.</w:t>
      </w:r>
    </w:p>
    <w:p>
      <w:pPr>
        <w:pStyle w:val="BodyText"/>
      </w:pPr>
      <w:r>
        <w:t xml:space="preserve">Different odor-producing cyanobacteria exhibit distinct growth and odor-production characteristics. Modeling efforts tailored to specific taxa revealed significant differences in fitted parameters (</w:t>
      </w:r>
      <w:hyperlink w:anchor="fig-modelconcept">
        <w:r>
          <w:rPr>
            <w:rStyle w:val="Hyperlink"/>
          </w:rPr>
          <w:t xml:space="preserve">Fig. 2</w:t>
        </w:r>
      </w:hyperlink>
      <w:r>
        <w:t xml:space="preserve">E), likely due to variations in intrinsic growth rates and MIB production efficiencies among species. Studies have shown that</w:t>
      </w:r>
      <w:r>
        <w:t xml:space="preserve"> </w:t>
      </w:r>
      <w:r>
        <w:rPr>
          <w:i/>
          <w:iCs/>
        </w:rPr>
        <w:t xml:space="preserve">Pseudanabaena</w:t>
      </w:r>
      <w:r>
        <w:t xml:space="preserve"> </w:t>
      </w:r>
      <w:r>
        <w:t xml:space="preserve">has a maximum cellular MIB yield of 0.15 ± 0.04 pg cell⁻¹ under a light intensity of 85 μmol photons m⁻² s⁻¹</w:t>
      </w:r>
      <w:r>
        <w:rPr>
          <w:vertAlign w:val="superscript"/>
        </w:rPr>
        <w:t xml:space="preserve">18</w:t>
      </w:r>
      <w:r>
        <w:t xml:space="preserve">, while</w:t>
      </w:r>
      <w:r>
        <w:t xml:space="preserve"> </w:t>
      </w:r>
      <w:r>
        <w:rPr>
          <w:i/>
          <w:iCs/>
        </w:rPr>
        <w:t xml:space="preserve">Planktothricoides</w:t>
      </w:r>
      <w:r>
        <w:t xml:space="preserve"> </w:t>
      </w:r>
      <w:r>
        <w:t xml:space="preserve">exhibits a higher yield of 0.22 ± 0.02 pg cell⁻¹ under similar conditions</w:t>
      </w:r>
      <w:r>
        <w:rPr>
          <w:vertAlign w:val="superscript"/>
        </w:rPr>
        <w:t xml:space="preserve">33</w:t>
      </w:r>
      <w:r>
        <w:t xml:space="preserve">. In addition,the inflection point time (</w:t>
      </w:r>
      <m:oMath>
        <m:sSub>
          <m:e>
            <m:r>
              <m:t>T</m:t>
            </m:r>
          </m:e>
          <m:sub>
            <m:r>
              <m:t>0</m:t>
            </m:r>
          </m:sub>
        </m:sSub>
      </m:oMath>
      <w:r>
        <w:t xml:space="preserve">) for these two species also vary significantly across studies (Fig. S10), further contributing to their differential contributions to odor events in aquatic systems.</w:t>
      </w:r>
    </w:p>
    <w:bookmarkEnd w:id="69"/>
    <w:bookmarkStart w:id="70" w:name="environmental-significance"/>
    <w:p>
      <w:pPr>
        <w:pStyle w:val="Heading2"/>
      </w:pPr>
      <w:r>
        <w:t xml:space="preserve">Environmental significance</w:t>
      </w:r>
    </w:p>
    <w:p>
      <w:pPr>
        <w:pStyle w:val="FirstParagraph"/>
      </w:pPr>
      <w:r>
        <w:t xml:space="preserve">By developing a model that links the growth stages of odor-producing cyanobacteria with MIB release and its intracellular–extracellular distribution, this study offers important insights into the ecological dynamics of odor events in freshwater systems. First, it enhances our understanding of the growth behavior of odor-producing cyanobacteria in natural waters. Second, the model provides a tool for forecasting the temporal trends of MIB concentration, thereby improving early-warning capabilities. Third, by quantifying the ratio of intracellular to extracellular MIB, the results can inform water treatment strategies—specifically, whether to target intact cells through coagulation and sedimentation or to apply cell-disruption methods when extracellular MIB dominates. This integrated approach supports more effective and condition-specific odor mitigation in drinking water treatment</w:t>
      </w:r>
      <w:r>
        <w:rPr>
          <w:vertAlign w:val="superscript"/>
        </w:rPr>
        <w:t xml:space="preserve">9,72–74</w:t>
      </w:r>
      <w:r>
        <w:t xml:space="preserve">.</w:t>
      </w:r>
    </w:p>
    <w:p>
      <w:pPr>
        <w:pStyle w:val="BodyText"/>
      </w:pPr>
      <w:r>
        <w:t xml:space="preserve">This study investigates the distribution pattern of MIB-producing cyanobacteria and constructs a model for f based on cell crowding effects and the Logistic growth curve to explain the dynamics of eMIB and pMIB during different growth phases. Furthermore, applying the model to Lake Taihu enables the estimation of annual cyanobacterial growth phase distributions based on MIB distribution patterns and facilitates the prediction of high-risk odor zones, providing guidance for odor management in lakes and reservoirs. However, this study primarily considers MIB release through cell damage and apoptosis, which accounts for the majority of MIB release, while the potential active release of MIB remains unaddressed and requires further investigation.</w:t>
      </w:r>
    </w:p>
    <w:bookmarkEnd w:id="70"/>
    <w:bookmarkEnd w:id="71"/>
    <w:bookmarkStart w:id="72"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2"/>
    <w:bookmarkStart w:id="73" w:name="figures"/>
    <w:p>
      <w:pPr>
        <w:pStyle w:val="Heading1"/>
      </w:pPr>
      <w:r>
        <w:t xml:space="preserve">FIGURES</w:t>
      </w:r>
    </w:p>
    <w:p>
      <w:pPr>
        <w:pStyle w:val="Compact"/>
        <w:numPr>
          <w:ilvl w:val="0"/>
          <w:numId w:val="1001"/>
        </w:numPr>
      </w:pPr>
      <w:r>
        <w:t xml:space="preserve">Fig. 1: Caption of Fig. 1</w:t>
      </w:r>
    </w:p>
    <w:p>
      <w:pPr>
        <w:pStyle w:val="Compact"/>
        <w:numPr>
          <w:ilvl w:val="0"/>
          <w:numId w:val="1001"/>
        </w:numPr>
      </w:pPr>
      <w:r>
        <w:t xml:space="preserve">Fig. 2: Caption of Fig. 2</w:t>
      </w:r>
    </w:p>
    <w:bookmarkEnd w:id="73"/>
    <w:bookmarkStart w:id="75" w:name="associated-content"/>
    <w:p>
      <w:pPr>
        <w:pStyle w:val="Heading1"/>
      </w:pPr>
      <w:r>
        <w:t xml:space="preserve">ASSOCIATED CONTENT</w:t>
      </w:r>
    </w:p>
    <w:bookmarkStart w:id="74" w:name="supporting-information"/>
    <w:p>
      <w:pPr>
        <w:pStyle w:val="Heading2"/>
      </w:pPr>
      <w:r>
        <w:t xml:space="preserve">Supporting Information</w:t>
      </w:r>
    </w:p>
    <w:p>
      <w:pPr>
        <w:pStyle w:val="FirstParagraph"/>
      </w:pPr>
      <w:r>
        <w:t xml:space="preserve">The Supporting Information is available free of charge at https://.</w:t>
      </w:r>
    </w:p>
    <w:p>
      <w:pPr>
        <w:pStyle w:val="BodyText"/>
      </w:pPr>
      <w:r>
        <w:t xml:space="preserve">Description of Figure S1 (Fig. S1);</w:t>
      </w:r>
      <w:r>
        <w:t xml:space="preserve"> </w:t>
      </w:r>
      <w:r>
        <w:t xml:space="preserve">Description of Table S1 (Table S1);</w:t>
      </w:r>
      <w:r>
        <w:t xml:space="preserve"> </w:t>
      </w:r>
      <w:r>
        <w:t xml:space="preserve">(PDF)</w:t>
      </w:r>
    </w:p>
    <w:bookmarkEnd w:id="74"/>
    <w:bookmarkEnd w:id="75"/>
    <w:bookmarkStart w:id="80" w:name="author-information"/>
    <w:p>
      <w:pPr>
        <w:pStyle w:val="Heading1"/>
      </w:pPr>
      <w:r>
        <w:t xml:space="preserve">AUTHOR INFORMATION</w:t>
      </w:r>
    </w:p>
    <w:bookmarkStart w:id="76"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r>
        <w:t xml:space="preserve"> </w:t>
      </w:r>
      <w:r>
        <w:t xml:space="preserve">ORCID: https://orcid.org/0000-0001-9821-1268; Email:</w:t>
      </w:r>
      <w:r>
        <w:t xml:space="preserve"> </w:t>
      </w:r>
      <w:hyperlink r:id="rId20">
        <w:r>
          <w:rPr>
            <w:rStyle w:val="Hyperlink"/>
          </w:rPr>
          <w:t xml:space="preserve">mingsu@rcees.ac.cn</w:t>
        </w:r>
      </w:hyperlink>
    </w:p>
    <w:p>
      <w:pPr>
        <w:pStyle w:val="Compact"/>
        <w:numPr>
          <w:ilvl w:val="0"/>
          <w:numId w:val="1002"/>
        </w:numPr>
      </w:pPr>
      <w:r>
        <w:rPr>
          <w:b/>
          <w:bCs/>
        </w:rPr>
        <w:t xml:space="preserve">Min Yang</w:t>
      </w:r>
      <w:r>
        <w:t xml:space="preserve">:</w:t>
      </w:r>
      <w:r>
        <w:t xml:space="preserve"> </w:t>
      </w:r>
      <w:r>
        <w:rPr>
          <w:i/>
          <w:iCs/>
        </w:rPr>
        <w:t xml:space="preserve">National Engineering Research Center of Industrial Wastewater Detoxication and Resource Recovery, Research Center for Eco-Environmental Sciences, Chinese Academy of Sciences, Beijing 100085, China;</w:t>
      </w:r>
      <w:r>
        <w:t xml:space="preserve"> </w:t>
      </w:r>
      <w:r>
        <w:t xml:space="preserve">ORCID: https://orcid.org/0009-0005-4902-7620; Email:</w:t>
      </w:r>
      <w:r>
        <w:t xml:space="preserve"> </w:t>
      </w:r>
      <w:hyperlink r:id="rId21">
        <w:r>
          <w:rPr>
            <w:rStyle w:val="Hyperlink"/>
          </w:rPr>
          <w:t xml:space="preserve">yangmin@rcees.ac.cn</w:t>
        </w:r>
      </w:hyperlink>
    </w:p>
    <w:bookmarkEnd w:id="76"/>
    <w:bookmarkStart w:id="77" w:name="authors"/>
    <w:p>
      <w:pPr>
        <w:pStyle w:val="Heading2"/>
      </w:pPr>
      <w:r>
        <w:t xml:space="preserve">Authors</w:t>
      </w:r>
    </w:p>
    <w:p>
      <w:pPr>
        <w:pStyle w:val="Compact"/>
        <w:numPr>
          <w:ilvl w:val="0"/>
          <w:numId w:val="1003"/>
        </w:numPr>
      </w:pPr>
      <w:r>
        <w:rPr>
          <w:b/>
          <w:bCs/>
        </w:rPr>
        <w:t xml:space="preserve">First Last</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2. School of Ecology and Environment, Inner Mongolia University, Hohhot 010021, China;</w:t>
      </w:r>
      <w:r>
        <w:t xml:space="preserve"> </w:t>
      </w:r>
      <w:r>
        <w:t xml:space="preserve">ORCID: https://orcid.org/0009-0005-4902-7620</w:t>
      </w:r>
    </w:p>
    <w:bookmarkEnd w:id="77"/>
    <w:bookmarkStart w:id="78" w:name="author-contributions"/>
    <w:p>
      <w:pPr>
        <w:pStyle w:val="Heading2"/>
      </w:pPr>
      <w:r>
        <w:t xml:space="preserve">Author contributions</w:t>
      </w:r>
    </w:p>
    <w:bookmarkEnd w:id="78"/>
    <w:bookmarkStart w:id="79" w:name="notes"/>
    <w:p>
      <w:pPr>
        <w:pStyle w:val="Heading2"/>
      </w:pPr>
      <w:r>
        <w:t xml:space="preserve">Notes</w:t>
      </w:r>
    </w:p>
    <w:p>
      <w:pPr>
        <w:pStyle w:val="FirstParagraph"/>
      </w:pPr>
      <w:r>
        <w:t xml:space="preserve">The authors declare no competing financial interest.</w:t>
      </w:r>
    </w:p>
    <w:bookmarkEnd w:id="79"/>
    <w:bookmarkEnd w:id="80"/>
    <w:bookmarkStart w:id="222" w:name="references"/>
    <w:p>
      <w:pPr>
        <w:pStyle w:val="Heading1"/>
      </w:pPr>
      <w:r>
        <w:t xml:space="preserve">References</w:t>
      </w:r>
    </w:p>
    <w:bookmarkStart w:id="221" w:name="refs"/>
    <w:bookmarkStart w:id="81"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w:t>
      </w:r>
      <w:r>
        <w:t xml:space="preserve"> </w:t>
      </w:r>
      <w:r>
        <w:t xml:space="preserve">World Health Organization</w:t>
      </w:r>
      <w:r>
        <w:t xml:space="preserve">: Geneva, Switzerland, 2011.</w:t>
      </w:r>
    </w:p>
    <w:bookmarkEnd w:id="81"/>
    <w:bookmarkStart w:id="83" w:name="ref-devi2021quantitative"/>
    <w:p>
      <w:pPr>
        <w:pStyle w:val="Bibliography"/>
      </w:pPr>
      <w:r>
        <w:t xml:space="preserve">(2)</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82">
        <w:r>
          <w:rPr>
            <w:rStyle w:val="Hyperlink"/>
          </w:rPr>
          <w:t xml:space="preserve">10.1016/j.watres.2020.116478</w:t>
        </w:r>
      </w:hyperlink>
      <w:r>
        <w:t xml:space="preserve">.</w:t>
      </w:r>
    </w:p>
    <w:bookmarkEnd w:id="83"/>
    <w:bookmarkStart w:id="85" w:name="ref-suurnakki2015identification"/>
    <w:p>
      <w:pPr>
        <w:pStyle w:val="Bibliography"/>
      </w:pPr>
      <w:r>
        <w:t xml:space="preserve">(3)</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84">
        <w:r>
          <w:rPr>
            <w:rStyle w:val="Hyperlink"/>
          </w:rPr>
          <w:t xml:space="preserve">10.1016/j.watres.2014.09.037</w:t>
        </w:r>
      </w:hyperlink>
      <w:r>
        <w:t xml:space="preserve">.</w:t>
      </w:r>
    </w:p>
    <w:bookmarkEnd w:id="85"/>
    <w:bookmarkStart w:id="87" w:name="ref-izaguirre2004a"/>
    <w:p>
      <w:pPr>
        <w:pStyle w:val="Bibliography"/>
      </w:pPr>
      <w:r>
        <w:t xml:space="preserve">(4)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86">
        <w:r>
          <w:rPr>
            <w:rStyle w:val="Hyperlink"/>
          </w:rPr>
          <w:t xml:space="preserve">10.2166/wst.2004.0524</w:t>
        </w:r>
      </w:hyperlink>
      <w:r>
        <w:t xml:space="preserve">.</w:t>
      </w:r>
    </w:p>
    <w:bookmarkEnd w:id="87"/>
    <w:bookmarkStart w:id="89" w:name="ref-wang2023risk"/>
    <w:p>
      <w:pPr>
        <w:pStyle w:val="Bibliography"/>
      </w:pPr>
      <w:r>
        <w:t xml:space="preserve">(5)</w:t>
      </w:r>
      <w:r>
        <w:t xml:space="preserve"> </w:t>
      </w:r>
      <w:r>
        <w:t xml:space="preserve">	</w:t>
      </w:r>
      <w:r>
        <w:t xml:space="preserve">Wang, C.; An, W.; Zhao, Y.; Dietrich, A. M.; Gallagher, D. L.; Zhang, Y.; Qian, Y.; Yu, J.; Yang, M. Risk Assessment for 2-MIB Odor Complaint in Drinking Water Based on Zero-Inflated Log-Normal Model.</w:t>
      </w:r>
      <w:r>
        <w:t xml:space="preserve"> </w:t>
      </w:r>
      <w:r>
        <w:rPr>
          <w:i/>
          <w:iCs/>
        </w:rPr>
        <w:t xml:space="preserve">ACS ES&amp;T Water</w:t>
      </w:r>
      <w:r>
        <w:t xml:space="preserve"> </w:t>
      </w:r>
      <w:r>
        <w:rPr>
          <w:b/>
          <w:bCs/>
        </w:rPr>
        <w:t xml:space="preserve">2023</w:t>
      </w:r>
      <w:r>
        <w:t xml:space="preserve">,</w:t>
      </w:r>
      <w:r>
        <w:t xml:space="preserve"> </w:t>
      </w:r>
      <w:r>
        <w:rPr>
          <w:i/>
          <w:iCs/>
        </w:rPr>
        <w:t xml:space="preserve">4</w:t>
      </w:r>
      <w:r>
        <w:t xml:space="preserve"> </w:t>
      </w:r>
      <w:r>
        <w:t xml:space="preserve">(1), 146–154. https://doi.org/</w:t>
      </w:r>
      <w:hyperlink r:id="rId88">
        <w:r>
          <w:rPr>
            <w:rStyle w:val="Hyperlink"/>
          </w:rPr>
          <w:t xml:space="preserve">10.1021/acsestwater.3c00477</w:t>
        </w:r>
      </w:hyperlink>
      <w:r>
        <w:t xml:space="preserve">.</w:t>
      </w:r>
    </w:p>
    <w:bookmarkEnd w:id="89"/>
    <w:bookmarkStart w:id="91" w:name="ref-suffet1999drinking"/>
    <w:p>
      <w:pPr>
        <w:pStyle w:val="Bibliography"/>
      </w:pPr>
      <w:r>
        <w:t xml:space="preserve">(6)</w:t>
      </w:r>
      <w:r>
        <w:t xml:space="preserve"> </w:t>
      </w:r>
      <w:r>
        <w:t xml:space="preserve">	</w:t>
      </w:r>
      <w:r>
        <w:t xml:space="preserve">Suffet, I. h. (mel); Khiari, D.; Bruchet, A. The Drinking Water Taste and Odor Wheel for the Millennium: Beyond Geosmin and 2-Methylisoborneol.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1–13. https://doi.org/</w:t>
      </w:r>
      <w:hyperlink r:id="rId90">
        <w:r>
          <w:rPr>
            <w:rStyle w:val="Hyperlink"/>
          </w:rPr>
          <w:t xml:space="preserve">10.1016/s0273-1223(99)00531-4</w:t>
        </w:r>
      </w:hyperlink>
      <w:r>
        <w:t xml:space="preserve">.</w:t>
      </w:r>
    </w:p>
    <w:bookmarkEnd w:id="91"/>
    <w:bookmarkStart w:id="93" w:name="ref-gillogly1999a"/>
    <w:p>
      <w:pPr>
        <w:pStyle w:val="Bibliography"/>
      </w:pPr>
      <w:r>
        <w:t xml:space="preserve">(7)</w:t>
      </w:r>
      <w:r>
        <w:t xml:space="preserve"> </w:t>
      </w:r>
      <w:r>
        <w:t xml:space="preserve">	</w:t>
      </w:r>
      <w:r>
        <w:t xml:space="preserve">Gillogly, T. E. T.; Snoeyink, V. L.; Newcombe, G.; Elarde, J. R. A Simplified Method to Determine the Powdered Activated Carbon Dose Required to Remove 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59–64. https://doi.org/</w:t>
      </w:r>
      <w:hyperlink r:id="rId92">
        <w:r>
          <w:rPr>
            <w:rStyle w:val="Hyperlink"/>
          </w:rPr>
          <w:t xml:space="preserve">10.1016/S0273-1223(99)00538-7</w:t>
        </w:r>
      </w:hyperlink>
      <w:r>
        <w:t xml:space="preserve">.</w:t>
      </w:r>
    </w:p>
    <w:bookmarkEnd w:id="93"/>
    <w:bookmarkStart w:id="95" w:name="ref-wang2020projecting"/>
    <w:p>
      <w:pPr>
        <w:pStyle w:val="Bibliography"/>
      </w:pPr>
      <w:r>
        <w:t xml:space="preserve">(8)</w:t>
      </w:r>
      <w:r>
        <w:t xml:space="preserve"> </w:t>
      </w:r>
      <w:r>
        <w:t xml:space="preserve">	</w:t>
      </w:r>
      <w:r>
        <w:t xml:space="preserve">Wang, Q.; Zietzschmann, F.; Yu, J.; Hofman, R.; An, W.; Yang, M.; Rietveld, L. C. Projecting Competition Between 2-Methylisoborneol and Natural Organic Matter in Adsorption onto Activated Carbon from Ozonated Source Waters.</w:t>
      </w:r>
      <w:r>
        <w:t xml:space="preserve"> </w:t>
      </w:r>
      <w:r>
        <w:rPr>
          <w:i/>
          <w:iCs/>
        </w:rPr>
        <w:t xml:space="preserve">Water Research</w:t>
      </w:r>
      <w:r>
        <w:t xml:space="preserve"> </w:t>
      </w:r>
      <w:r>
        <w:rPr>
          <w:b/>
          <w:bCs/>
        </w:rPr>
        <w:t xml:space="preserve">2020</w:t>
      </w:r>
      <w:r>
        <w:t xml:space="preserve">,</w:t>
      </w:r>
      <w:r>
        <w:t xml:space="preserve"> </w:t>
      </w:r>
      <w:r>
        <w:rPr>
          <w:i/>
          <w:iCs/>
        </w:rPr>
        <w:t xml:space="preserve">173</w:t>
      </w:r>
      <w:r>
        <w:t xml:space="preserve">, 115574. https://doi.org/</w:t>
      </w:r>
      <w:hyperlink r:id="rId94">
        <w:r>
          <w:rPr>
            <w:rStyle w:val="Hyperlink"/>
          </w:rPr>
          <w:t xml:space="preserve">10.1016/j.watres.2020.115574</w:t>
        </w:r>
      </w:hyperlink>
      <w:r>
        <w:t xml:space="preserve">.</w:t>
      </w:r>
    </w:p>
    <w:bookmarkEnd w:id="95"/>
    <w:bookmarkStart w:id="97" w:name="ref-li2019variation"/>
    <w:p>
      <w:pPr>
        <w:pStyle w:val="Bibliography"/>
      </w:pPr>
      <w:r>
        <w:t xml:space="preserve">(9)</w:t>
      </w:r>
      <w:r>
        <w:t xml:space="preserve"> </w:t>
      </w:r>
      <w:r>
        <w:t xml:space="preserve">	</w:t>
      </w:r>
      <w:r>
        <w:t xml:space="preserve">Li, L.; Yang, S.; Yu, S.; Zhang, Y.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w:t>
      </w:r>
      <w:r>
        <w:t xml:space="preserve"> </w:t>
      </w:r>
      <w:r>
        <w:rPr>
          <w:i/>
          <w:iCs/>
        </w:rPr>
        <w:t xml:space="preserve">Water Research</w:t>
      </w:r>
      <w:r>
        <w:t xml:space="preserve"> </w:t>
      </w:r>
      <w:r>
        <w:rPr>
          <w:b/>
          <w:bCs/>
        </w:rPr>
        <w:t xml:space="preserve">2019</w:t>
      </w:r>
      <w:r>
        <w:t xml:space="preserve">,</w:t>
      </w:r>
      <w:r>
        <w:t xml:space="preserve"> </w:t>
      </w:r>
      <w:r>
        <w:rPr>
          <w:i/>
          <w:iCs/>
        </w:rPr>
        <w:t xml:space="preserve">162</w:t>
      </w:r>
      <w:r>
        <w:t xml:space="preserve">, 180–189. https://doi.org/</w:t>
      </w:r>
      <w:hyperlink r:id="rId96">
        <w:r>
          <w:rPr>
            <w:rStyle w:val="Hyperlink"/>
          </w:rPr>
          <w:t xml:space="preserve">10.1016/j.watres.2019.06.066</w:t>
        </w:r>
      </w:hyperlink>
      <w:r>
        <w:t xml:space="preserve">.</w:t>
      </w:r>
    </w:p>
    <w:bookmarkEnd w:id="97"/>
    <w:bookmarkStart w:id="98" w:name="ref-american2010algae"/>
    <w:p>
      <w:pPr>
        <w:pStyle w:val="Bibliography"/>
      </w:pPr>
      <w:r>
        <w:t xml:space="preserve">(10)</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98"/>
    <w:bookmarkStart w:id="99" w:name="ref-gerber1969a"/>
    <w:p>
      <w:pPr>
        <w:pStyle w:val="Bibliography"/>
      </w:pPr>
      <w:r>
        <w:t xml:space="preserve">(11)</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1969</w:t>
      </w:r>
      <w:r>
        <w:t xml:space="preserve">,</w:t>
      </w:r>
      <w:r>
        <w:t xml:space="preserve"> </w:t>
      </w:r>
      <w:r>
        <w:rPr>
          <w:i/>
          <w:iCs/>
        </w:rPr>
        <w:t xml:space="preserve">22</w:t>
      </w:r>
      <w:r>
        <w:t xml:space="preserve"> </w:t>
      </w:r>
      <w:r>
        <w:t xml:space="preserve">(10), 508–509.</w:t>
      </w:r>
    </w:p>
    <w:bookmarkEnd w:id="99"/>
    <w:bookmarkStart w:id="101" w:name="ref-tabachek1976isolation"/>
    <w:p>
      <w:pPr>
        <w:pStyle w:val="Bibliography"/>
      </w:pPr>
      <w:r>
        <w:t xml:space="preserve">(12)</w:t>
      </w:r>
      <w:r>
        <w:t xml:space="preserve"> </w:t>
      </w:r>
      <w:r>
        <w:t xml:space="preserve">	</w:t>
      </w:r>
      <w:r>
        <w:t xml:space="preserve">Tabachek, J. L.; Yurkowski, M. Isolation and Identification of Blue-Green Algae Producing Muddy Odor Metabolites, Geosmin, and 2-Methylisoborneol, in Saline Lakes in</w:t>
      </w:r>
      <w:r>
        <w:t xml:space="preserve"> </w:t>
      </w:r>
      <w:r>
        <w:t xml:space="preserve">Manitoba</w:t>
      </w:r>
      <w:r>
        <w:t xml:space="preserve">.</w:t>
      </w:r>
      <w:r>
        <w:t xml:space="preserve"> </w:t>
      </w:r>
      <w:r>
        <w:rPr>
          <w:i/>
          <w:iCs/>
        </w:rPr>
        <w:t xml:space="preserve">Journal of the Fisheries Research Board of Canada</w:t>
      </w:r>
      <w:r>
        <w:t xml:space="preserve"> </w:t>
      </w:r>
      <w:r>
        <w:rPr>
          <w:b/>
          <w:bCs/>
        </w:rPr>
        <w:t xml:space="preserve">1976</w:t>
      </w:r>
      <w:r>
        <w:t xml:space="preserve">,</w:t>
      </w:r>
      <w:r>
        <w:t xml:space="preserve"> </w:t>
      </w:r>
      <w:r>
        <w:rPr>
          <w:i/>
          <w:iCs/>
        </w:rPr>
        <w:t xml:space="preserve">33</w:t>
      </w:r>
      <w:r>
        <w:t xml:space="preserve"> </w:t>
      </w:r>
      <w:r>
        <w:t xml:space="preserve">(1), 25–35. https://doi.org/</w:t>
      </w:r>
      <w:hyperlink r:id="rId100">
        <w:r>
          <w:rPr>
            <w:rStyle w:val="Hyperlink"/>
          </w:rPr>
          <w:t xml:space="preserve">10.1139/f76-004</w:t>
        </w:r>
      </w:hyperlink>
      <w:r>
        <w:t xml:space="preserve">.</w:t>
      </w:r>
    </w:p>
    <w:bookmarkEnd w:id="101"/>
    <w:bookmarkStart w:id="103" w:name="ref-yamada2014terpene"/>
    <w:p>
      <w:pPr>
        <w:pStyle w:val="Bibliography"/>
      </w:pPr>
      <w:r>
        <w:t xml:space="preserve">(13)</w:t>
      </w:r>
      <w:r>
        <w:t xml:space="preserve"> </w:t>
      </w:r>
      <w:r>
        <w:t xml:space="preserve">	</w:t>
      </w:r>
      <w:r>
        <w:t xml:space="preserve">Yamada, Y.; Kuzuyama, T.; Komatsu, M.; Shin-ya, K.; Omura, S.; Cane, D. E.; Ikeda, H. Terpene Synthases Are Widely Distributed in Bacteria.</w:t>
      </w:r>
      <w:r>
        <w:t xml:space="preserve"> </w:t>
      </w:r>
      <w:r>
        <w:rPr>
          <w:i/>
          <w:iCs/>
        </w:rPr>
        <w:t xml:space="preserve">Proceedings of the National Academy of Sciences</w:t>
      </w:r>
      <w:r>
        <w:t xml:space="preserve"> </w:t>
      </w:r>
      <w:r>
        <w:rPr>
          <w:b/>
          <w:bCs/>
        </w:rPr>
        <w:t xml:space="preserve">2014</w:t>
      </w:r>
      <w:r>
        <w:t xml:space="preserve">,</w:t>
      </w:r>
      <w:r>
        <w:t xml:space="preserve"> </w:t>
      </w:r>
      <w:r>
        <w:rPr>
          <w:i/>
          <w:iCs/>
        </w:rPr>
        <w:t xml:space="preserve">112</w:t>
      </w:r>
      <w:r>
        <w:t xml:space="preserve"> </w:t>
      </w:r>
      <w:r>
        <w:t xml:space="preserve">(3), 857–862. https://doi.org/</w:t>
      </w:r>
      <w:hyperlink r:id="rId102">
        <w:r>
          <w:rPr>
            <w:rStyle w:val="Hyperlink"/>
          </w:rPr>
          <w:t xml:space="preserve">10.1073/pnas.1422108112</w:t>
        </w:r>
      </w:hyperlink>
      <w:r>
        <w:t xml:space="preserve">.</w:t>
      </w:r>
    </w:p>
    <w:bookmarkEnd w:id="103"/>
    <w:bookmarkStart w:id="105" w:name="ref-dickschat2007biosynthesis"/>
    <w:p>
      <w:pPr>
        <w:pStyle w:val="Bibliography"/>
      </w:pPr>
      <w:r>
        <w:t xml:space="preserve">(14)</w:t>
      </w:r>
      <w:r>
        <w:t xml:space="preserve"> </w:t>
      </w:r>
      <w:r>
        <w:t xml:space="preserve">	</w:t>
      </w:r>
      <w:r>
        <w:t xml:space="preserve">Dickschat, Jeroen s.; Nawrath, T.; Thiel, V.; Kunze, B.; Müller, R.; Schulz, S. Biosynthesis of the Off-Flavor 2-Methylisoborneol by the Myxobacterium Nannocystis Exedens.</w:t>
      </w:r>
      <w:r>
        <w:t xml:space="preserve"> </w:t>
      </w:r>
      <w:r>
        <w:rPr>
          <w:i/>
          <w:iCs/>
        </w:rPr>
        <w:t xml:space="preserve">Angewandte Chemie International Edition</w:t>
      </w:r>
      <w:r>
        <w:t xml:space="preserve"> </w:t>
      </w:r>
      <w:r>
        <w:rPr>
          <w:b/>
          <w:bCs/>
        </w:rPr>
        <w:t xml:space="preserve">2007</w:t>
      </w:r>
      <w:r>
        <w:t xml:space="preserve">,</w:t>
      </w:r>
      <w:r>
        <w:t xml:space="preserve"> </w:t>
      </w:r>
      <w:r>
        <w:rPr>
          <w:i/>
          <w:iCs/>
        </w:rPr>
        <w:t xml:space="preserve">46</w:t>
      </w:r>
      <w:r>
        <w:t xml:space="preserve"> </w:t>
      </w:r>
      <w:r>
        <w:t xml:space="preserve">(43), 8287–8290. https://doi.org/</w:t>
      </w:r>
      <w:hyperlink r:id="rId104">
        <w:r>
          <w:rPr>
            <w:rStyle w:val="Hyperlink"/>
          </w:rPr>
          <w:t xml:space="preserve">10.1002/anie.200702496</w:t>
        </w:r>
      </w:hyperlink>
      <w:r>
        <w:t xml:space="preserve">.</w:t>
      </w:r>
    </w:p>
    <w:bookmarkEnd w:id="105"/>
    <w:bookmarkStart w:id="107" w:name="ref-su2021ecological"/>
    <w:p>
      <w:pPr>
        <w:pStyle w:val="Bibliography"/>
      </w:pPr>
      <w:r>
        <w:t xml:space="preserve">(15)</w:t>
      </w:r>
      <w:r>
        <w:t xml:space="preserve"> </w:t>
      </w:r>
      <w:r>
        <w:t xml:space="preserve">	</w:t>
      </w:r>
      <w:r>
        <w:t xml:space="preserve">Su, M.; Suruzzaman, MD.; Zhu, Y.; Lu, J.; Yu, J.; Zhang, Y.; Yang, M. Ecological Niche and in-Situ Control of</w:t>
      </w:r>
      <w:r>
        <w:t xml:space="preserve"> </w:t>
      </w:r>
      <w:r>
        <w:t xml:space="preserve">MIB</w:t>
      </w:r>
      <w:r>
        <w:t xml:space="preserve"> </w:t>
      </w:r>
      <w:r>
        <w:t xml:space="preserve">Producers in Source Water.</w:t>
      </w:r>
      <w:r>
        <w:t xml:space="preserve"> </w:t>
      </w:r>
      <w:r>
        <w:rPr>
          <w:i/>
          <w:iCs/>
        </w:rPr>
        <w:t xml:space="preserve">Journal of Environmental Sciences</w:t>
      </w:r>
      <w:r>
        <w:t xml:space="preserve"> </w:t>
      </w:r>
      <w:r>
        <w:rPr>
          <w:b/>
          <w:bCs/>
        </w:rPr>
        <w:t xml:space="preserve">2021</w:t>
      </w:r>
      <w:r>
        <w:t xml:space="preserve">,</w:t>
      </w:r>
      <w:r>
        <w:t xml:space="preserve"> </w:t>
      </w:r>
      <w:r>
        <w:rPr>
          <w:i/>
          <w:iCs/>
        </w:rPr>
        <w:t xml:space="preserve">110</w:t>
      </w:r>
      <w:r>
        <w:t xml:space="preserve">, 119–128. https://doi.org/</w:t>
      </w:r>
      <w:hyperlink r:id="rId106">
        <w:r>
          <w:rPr>
            <w:rStyle w:val="Hyperlink"/>
          </w:rPr>
          <w:t xml:space="preserve">10.1016/j.jes.2021.03.026</w:t>
        </w:r>
      </w:hyperlink>
      <w:r>
        <w:t xml:space="preserve">.</w:t>
      </w:r>
    </w:p>
    <w:bookmarkEnd w:id="107"/>
    <w:bookmarkStart w:id="109" w:name="ref-su2015mib"/>
    <w:p>
      <w:pPr>
        <w:pStyle w:val="Bibliography"/>
      </w:pPr>
      <w:r>
        <w:t xml:space="preserve">(16)</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08">
        <w:r>
          <w:rPr>
            <w:rStyle w:val="Hyperlink"/>
          </w:rPr>
          <w:t xml:space="preserve">10.1016/j.watres.2014.09.038</w:t>
        </w:r>
      </w:hyperlink>
      <w:r>
        <w:t xml:space="preserve">.</w:t>
      </w:r>
    </w:p>
    <w:bookmarkEnd w:id="109"/>
    <w:bookmarkStart w:id="111" w:name="ref-lu2023mibderived"/>
    <w:p>
      <w:pPr>
        <w:pStyle w:val="Bibliography"/>
      </w:pPr>
      <w:r>
        <w:t xml:space="preserve">(17)</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10">
        <w:r>
          <w:rPr>
            <w:rStyle w:val="Hyperlink"/>
          </w:rPr>
          <w:t xml:space="preserve">10.1016/j.watres.2023.120485</w:t>
        </w:r>
      </w:hyperlink>
      <w:r>
        <w:t xml:space="preserve">.</w:t>
      </w:r>
    </w:p>
    <w:bookmarkEnd w:id="111"/>
    <w:bookmarkStart w:id="113" w:name="ref-cao2023early"/>
    <w:p>
      <w:pPr>
        <w:pStyle w:val="Bibliography"/>
      </w:pPr>
      <w:r>
        <w:t xml:space="preserve">(18)</w:t>
      </w:r>
      <w:r>
        <w:t xml:space="preserve"> </w:t>
      </w:r>
      <w:r>
        <w:t xml:space="preserve">	</w:t>
      </w:r>
      <w:r>
        <w:t xml:space="preserve">Cao, T.; Fang, J.; Jia, Z.; Zhu, Y.; Su, M.; Zhang, Q.; Song, Y.; Yu, J.; Yang, M. Early Warning of MIB Episode Based on Gene Abundance and Expression in Drinking Water Reservoirs.</w:t>
      </w:r>
      <w:r>
        <w:t xml:space="preserve"> </w:t>
      </w:r>
      <w:r>
        <w:rPr>
          <w:i/>
          <w:iCs/>
        </w:rPr>
        <w:t xml:space="preserve">Water Research</w:t>
      </w:r>
      <w:r>
        <w:t xml:space="preserve"> </w:t>
      </w:r>
      <w:r>
        <w:rPr>
          <w:b/>
          <w:bCs/>
        </w:rPr>
        <w:t xml:space="preserve">2023</w:t>
      </w:r>
      <w:r>
        <w:t xml:space="preserve">,</w:t>
      </w:r>
      <w:r>
        <w:t xml:space="preserve"> </w:t>
      </w:r>
      <w:r>
        <w:rPr>
          <w:i/>
          <w:iCs/>
        </w:rPr>
        <w:t xml:space="preserve">231</w:t>
      </w:r>
      <w:r>
        <w:t xml:space="preserve">, 119667. https://doi.org/</w:t>
      </w:r>
      <w:hyperlink r:id="rId112">
        <w:r>
          <w:rPr>
            <w:rStyle w:val="Hyperlink"/>
          </w:rPr>
          <w:t xml:space="preserve">https://doi.org/10.1016/j.watres.2023.119667</w:t>
        </w:r>
      </w:hyperlink>
      <w:r>
        <w:t xml:space="preserve">.</w:t>
      </w:r>
    </w:p>
    <w:bookmarkEnd w:id="113"/>
    <w:bookmarkStart w:id="115" w:name="ref-izaguirre2007benthic"/>
    <w:p>
      <w:pPr>
        <w:pStyle w:val="Bibliography"/>
      </w:pPr>
      <w:r>
        <w:t xml:space="preserve">(19)</w:t>
      </w:r>
      <w:r>
        <w:t xml:space="preserve"> </w:t>
      </w:r>
      <w:r>
        <w:t xml:space="preserve">	</w:t>
      </w:r>
      <w:r>
        <w:t xml:space="preserve">Izaguirre, G.; Jungblut, A.; Neilan, B. A. Benthic Cyanobacteria (Oscillatoriaceae) That Produce Microcystin-</w:t>
      </w:r>
      <w:r>
        <w:t xml:space="preserve">LR</w:t>
      </w:r>
      <w:r>
        <w:t xml:space="preserve">, Isolated from Four Reservoirs in</w:t>
      </w:r>
      <w:r>
        <w:t xml:space="preserve"> </w:t>
      </w:r>
      <w:r>
        <w:t xml:space="preserve">Southern California</w:t>
      </w:r>
      <w:r>
        <w:t xml:space="preserve">.</w:t>
      </w:r>
      <w:r>
        <w:t xml:space="preserve"> </w:t>
      </w:r>
      <w:r>
        <w:rPr>
          <w:i/>
          <w:iCs/>
        </w:rPr>
        <w:t xml:space="preserve">Water Research</w:t>
      </w:r>
      <w:r>
        <w:t xml:space="preserve"> </w:t>
      </w:r>
      <w:r>
        <w:rPr>
          <w:b/>
          <w:bCs/>
        </w:rPr>
        <w:t xml:space="preserve">2007</w:t>
      </w:r>
      <w:r>
        <w:t xml:space="preserve">,</w:t>
      </w:r>
      <w:r>
        <w:t xml:space="preserve"> </w:t>
      </w:r>
      <w:r>
        <w:rPr>
          <w:i/>
          <w:iCs/>
        </w:rPr>
        <w:t xml:space="preserve">41</w:t>
      </w:r>
      <w:r>
        <w:t xml:space="preserve"> </w:t>
      </w:r>
      <w:r>
        <w:t xml:space="preserve">(2), 492–498. https://doi.org/</w:t>
      </w:r>
      <w:hyperlink r:id="rId114">
        <w:r>
          <w:rPr>
            <w:rStyle w:val="Hyperlink"/>
          </w:rPr>
          <w:t xml:space="preserve">10.1016/j.watres.2006.10.012</w:t>
        </w:r>
      </w:hyperlink>
      <w:r>
        <w:t xml:space="preserve">.</w:t>
      </w:r>
    </w:p>
    <w:bookmarkEnd w:id="115"/>
    <w:bookmarkStart w:id="117" w:name="ref-vanderploeg1995biology"/>
    <w:p>
      <w:pPr>
        <w:pStyle w:val="Bibliography"/>
      </w:pPr>
      <w:r>
        <w:t xml:space="preserve">(20)</w:t>
      </w:r>
      <w:r>
        <w:t xml:space="preserve"> </w:t>
      </w:r>
      <w:r>
        <w:t xml:space="preserve">	</w:t>
      </w:r>
      <w:r>
        <w:t xml:space="preserve">Van Der Ploeg, M.; Dennis, M.; De Regt, M.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173–180. https://doi.org/</w:t>
      </w:r>
      <w:hyperlink r:id="rId116">
        <w:r>
          <w:rPr>
            <w:rStyle w:val="Hyperlink"/>
          </w:rPr>
          <w:t xml:space="preserve">10.1016/0273-1223(95)00473-Z</w:t>
        </w:r>
      </w:hyperlink>
      <w:r>
        <w:t xml:space="preserve">.</w:t>
      </w:r>
    </w:p>
    <w:bookmarkEnd w:id="117"/>
    <w:bookmarkStart w:id="119" w:name="ref-zhang2009effects"/>
    <w:p>
      <w:pPr>
        <w:pStyle w:val="Bibliography"/>
      </w:pPr>
      <w:r>
        <w:t xml:space="preserve">(21)</w:t>
      </w:r>
      <w:r>
        <w:t xml:space="preserve"> </w:t>
      </w:r>
      <w:r>
        <w:t xml:space="preserve">	</w:t>
      </w:r>
      <w:r>
        <w:t xml:space="preserve">Zhang, T.; Li, L.; Song, L.; Chen, W. Effects of Temperature and Light on the Growth and Geosmin Production of</w:t>
      </w:r>
      <w:r>
        <w:t xml:space="preserve"> </w:t>
      </w:r>
      <w:r>
        <w:rPr>
          <w:i/>
          <w:iCs/>
        </w:rPr>
        <w:t xml:space="preserve">Lyngbya Kuetzingii</w:t>
      </w:r>
      <w:r>
        <w:t xml:space="preserve"> </w:t>
      </w:r>
      <w:r>
        <w:t xml:space="preserve">(Cyanophyta).</w:t>
      </w:r>
      <w:r>
        <w:t xml:space="preserve"> </w:t>
      </w:r>
      <w:r>
        <w:rPr>
          <w:i/>
          <w:iCs/>
        </w:rPr>
        <w:t xml:space="preserve">Journal of Applied Phycology</w:t>
      </w:r>
      <w:r>
        <w:t xml:space="preserve"> </w:t>
      </w:r>
      <w:r>
        <w:rPr>
          <w:b/>
          <w:bCs/>
        </w:rPr>
        <w:t xml:space="preserve">2009</w:t>
      </w:r>
      <w:r>
        <w:t xml:space="preserve">,</w:t>
      </w:r>
      <w:r>
        <w:t xml:space="preserve"> </w:t>
      </w:r>
      <w:r>
        <w:rPr>
          <w:i/>
          <w:iCs/>
        </w:rPr>
        <w:t xml:space="preserve">21</w:t>
      </w:r>
      <w:r>
        <w:t xml:space="preserve">, 279–285. https://doi.org/</w:t>
      </w:r>
      <w:hyperlink r:id="rId118">
        <w:r>
          <w:rPr>
            <w:rStyle w:val="Hyperlink"/>
          </w:rPr>
          <w:t xml:space="preserve">10.1007/s10811-008-9363-z</w:t>
        </w:r>
      </w:hyperlink>
      <w:r>
        <w:t xml:space="preserve">.</w:t>
      </w:r>
    </w:p>
    <w:bookmarkEnd w:id="119"/>
    <w:bookmarkStart w:id="120" w:name="ref-bentley1981geosmin"/>
    <w:p>
      <w:pPr>
        <w:pStyle w:val="Bibliography"/>
      </w:pPr>
      <w:r>
        <w:t xml:space="preserve">(22)</w:t>
      </w:r>
      <w:r>
        <w:t xml:space="preserve"> </w:t>
      </w:r>
      <w:r>
        <w:t xml:space="preserve">	</w:t>
      </w:r>
      <w:r>
        <w:t xml:space="preserve">Bentley, R.;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1981</w:t>
      </w:r>
      <w:r>
        <w:t xml:space="preserve">,</w:t>
      </w:r>
      <w:r>
        <w:t xml:space="preserve"> </w:t>
      </w:r>
      <w:r>
        <w:rPr>
          <w:i/>
          <w:iCs/>
        </w:rPr>
        <w:t xml:space="preserve">125</w:t>
      </w:r>
      <w:r>
        <w:t xml:space="preserve"> </w:t>
      </w:r>
      <w:r>
        <w:t xml:space="preserve">(2), 220.</w:t>
      </w:r>
    </w:p>
    <w:bookmarkEnd w:id="120"/>
    <w:bookmarkStart w:id="122" w:name="ref-wu1988differential"/>
    <w:p>
      <w:pPr>
        <w:pStyle w:val="Bibliography"/>
      </w:pPr>
      <w:r>
        <w:t xml:space="preserve">(23)</w:t>
      </w:r>
      <w:r>
        <w:t xml:space="preserve"> </w:t>
      </w:r>
      <w:r>
        <w:t xml:space="preserve">	</w:t>
      </w:r>
      <w:r>
        <w:t xml:space="preserve">Wu, J.; Jüttner, F. Differential Partitioning of Geosmin and 2-Methylisoborneol Between Cellular Constituents in</w:t>
      </w:r>
      <w:r>
        <w:t xml:space="preserve"> </w:t>
      </w:r>
      <w:r>
        <w:rPr>
          <w:i/>
          <w:iCs/>
        </w:rPr>
        <w:t xml:space="preserve">Oscillatoria Tenuis</w:t>
      </w:r>
      <w:r>
        <w:t xml:space="preserve">.</w:t>
      </w:r>
      <w:r>
        <w:t xml:space="preserve"> </w:t>
      </w:r>
      <w:r>
        <w:rPr>
          <w:i/>
          <w:iCs/>
        </w:rPr>
        <w:t xml:space="preserve">Archives of Microbiology</w:t>
      </w:r>
      <w:r>
        <w:t xml:space="preserve"> </w:t>
      </w:r>
      <w:r>
        <w:rPr>
          <w:b/>
          <w:bCs/>
        </w:rPr>
        <w:t xml:space="preserve">1988</w:t>
      </w:r>
      <w:r>
        <w:t xml:space="preserve">,</w:t>
      </w:r>
      <w:r>
        <w:t xml:space="preserve"> </w:t>
      </w:r>
      <w:r>
        <w:rPr>
          <w:i/>
          <w:iCs/>
        </w:rPr>
        <w:t xml:space="preserve">150</w:t>
      </w:r>
      <w:r>
        <w:t xml:space="preserve">, 580–583. https://doi.org/</w:t>
      </w:r>
      <w:hyperlink r:id="rId121">
        <w:r>
          <w:rPr>
            <w:rStyle w:val="Hyperlink"/>
          </w:rPr>
          <w:t xml:space="preserve">10.1007/bf00408253</w:t>
        </w:r>
      </w:hyperlink>
      <w:r>
        <w:t xml:space="preserve">.</w:t>
      </w:r>
    </w:p>
    <w:bookmarkEnd w:id="122"/>
    <w:bookmarkStart w:id="124" w:name="ref-rashash1995influence"/>
    <w:p>
      <w:pPr>
        <w:pStyle w:val="Bibliography"/>
      </w:pPr>
      <w:r>
        <w:t xml:space="preserve">(24)</w:t>
      </w:r>
      <w:r>
        <w:t xml:space="preserve"> </w:t>
      </w:r>
      <w:r>
        <w:t xml:space="preserve">	</w:t>
      </w:r>
      <w:r>
        <w:t xml:space="preserve">Rashash, D. m. C.; Dietrich, A. m.; Hoehn, R. c.; Parker, B. c. The Influence of Growth Conditions on Odor-Compound Production by Two Chrysophytes and Two Cyanobacteria.</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165–172. https://doi.org/</w:t>
      </w:r>
      <w:hyperlink r:id="rId123">
        <w:r>
          <w:rPr>
            <w:rStyle w:val="Hyperlink"/>
          </w:rPr>
          <w:t xml:space="preserve">10.1016/0273-1223(95)00472-y</w:t>
        </w:r>
      </w:hyperlink>
      <w:r>
        <w:t xml:space="preserve">.</w:t>
      </w:r>
    </w:p>
    <w:bookmarkEnd w:id="124"/>
    <w:bookmarkStart w:id="126" w:name="ref-zhang2016methylisoborneol"/>
    <w:p>
      <w:pPr>
        <w:pStyle w:val="Bibliography"/>
      </w:pPr>
      <w:r>
        <w:t xml:space="preserve">(25)</w:t>
      </w:r>
      <w:r>
        <w:t xml:space="preserve"> </w:t>
      </w:r>
      <w:r>
        <w:t xml:space="preserve">	</w:t>
      </w:r>
      <w:r>
        <w:t xml:space="preserve">Zhang, T.; Zheng, L.; Li, L.;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rPr>
          <w:b/>
          <w:bCs/>
        </w:rPr>
        <w:t xml:space="preserve">2016</w:t>
      </w:r>
      <w:r>
        <w:t xml:space="preserve">, 1–10. https://doi.org/</w:t>
      </w:r>
      <w:hyperlink r:id="rId125">
        <w:r>
          <w:rPr>
            <w:rStyle w:val="Hyperlink"/>
          </w:rPr>
          <w:t xml:space="preserve">10.1007/s10811-016-0864-x</w:t>
        </w:r>
      </w:hyperlink>
      <w:r>
        <w:t xml:space="preserve">.</w:t>
      </w:r>
    </w:p>
    <w:bookmarkEnd w:id="126"/>
    <w:bookmarkStart w:id="128" w:name="ref-oh2017effects"/>
    <w:p>
      <w:pPr>
        <w:pStyle w:val="Bibliography"/>
      </w:pPr>
      <w:r>
        <w:t xml:space="preserve">(26)</w:t>
      </w:r>
      <w:r>
        <w:t xml:space="preserve"> </w:t>
      </w:r>
      <w:r>
        <w:t xml:space="preserve">	</w:t>
      </w:r>
      <w:r>
        <w:t xml:space="preserve">Oh, H.-S.; Lee, C. S.; Srivastava, A.; Oh, H.-M.; Ahn, C.-Y. Effects of Environmental Factors on Cyanobacterial Production of Odorous Compounds: Geosmin and 2-Methylisoborneol.</w:t>
      </w:r>
      <w:r>
        <w:t xml:space="preserve"> </w:t>
      </w:r>
      <w:r>
        <w:rPr>
          <w:i/>
          <w:iCs/>
        </w:rPr>
        <w:t xml:space="preserve">Journal of Microbiology and Biotechnology</w:t>
      </w:r>
      <w:r>
        <w:t xml:space="preserve"> </w:t>
      </w:r>
      <w:r>
        <w:rPr>
          <w:b/>
          <w:bCs/>
        </w:rPr>
        <w:t xml:space="preserve">2017</w:t>
      </w:r>
      <w:r>
        <w:t xml:space="preserve">,</w:t>
      </w:r>
      <w:r>
        <w:t xml:space="preserve"> </w:t>
      </w:r>
      <w:r>
        <w:rPr>
          <w:i/>
          <w:iCs/>
        </w:rPr>
        <w:t xml:space="preserve">27</w:t>
      </w:r>
      <w:r>
        <w:t xml:space="preserve"> </w:t>
      </w:r>
      <w:r>
        <w:t xml:space="preserve">(7), 1316–1323. https://doi.org/</w:t>
      </w:r>
      <w:hyperlink r:id="rId127">
        <w:r>
          <w:rPr>
            <w:rStyle w:val="Hyperlink"/>
          </w:rPr>
          <w:t xml:space="preserve">10.4014/jmb.1702.02069</w:t>
        </w:r>
      </w:hyperlink>
      <w:r>
        <w:t xml:space="preserve">.</w:t>
      </w:r>
    </w:p>
    <w:bookmarkEnd w:id="128"/>
    <w:bookmarkStart w:id="130" w:name="ref-wang2024production"/>
    <w:p>
      <w:pPr>
        <w:pStyle w:val="Bibliography"/>
      </w:pPr>
      <w:r>
        <w:t xml:space="preserve">(27)</w:t>
      </w:r>
      <w:r>
        <w:t xml:space="preserve"> </w:t>
      </w:r>
      <w:r>
        <w:t xml:space="preserve">	</w:t>
      </w:r>
      <w:r>
        <w:t xml:space="preserve">Wang, H.; Li, L.; Cheng, S.; Chen, L.; Zhang, H.; Zhang, X. Production and Release of 2-MIB in Pseudanabaena: Effects of Growth Phases on Cell Characteristics and 2-MIB Yield.</w:t>
      </w:r>
      <w:r>
        <w:t xml:space="preserve"> </w:t>
      </w:r>
      <w:r>
        <w:rPr>
          <w:i/>
          <w:iCs/>
        </w:rPr>
        <w:t xml:space="preserve">Ecotoxicology and Environmental Safety</w:t>
      </w:r>
      <w:r>
        <w:t xml:space="preserve"> </w:t>
      </w:r>
      <w:r>
        <w:rPr>
          <w:b/>
          <w:bCs/>
        </w:rPr>
        <w:t xml:space="preserve">2024</w:t>
      </w:r>
      <w:r>
        <w:t xml:space="preserve">,</w:t>
      </w:r>
      <w:r>
        <w:t xml:space="preserve"> </w:t>
      </w:r>
      <w:r>
        <w:rPr>
          <w:i/>
          <w:iCs/>
        </w:rPr>
        <w:t xml:space="preserve">274</w:t>
      </w:r>
      <w:r>
        <w:t xml:space="preserve">, 116198. https://doi.org/</w:t>
      </w:r>
      <w:hyperlink r:id="rId129">
        <w:r>
          <w:rPr>
            <w:rStyle w:val="Hyperlink"/>
          </w:rPr>
          <w:t xml:space="preserve">10.1016/j.ecoenv.2024.116198</w:t>
        </w:r>
      </w:hyperlink>
      <w:r>
        <w:t xml:space="preserve">.</w:t>
      </w:r>
    </w:p>
    <w:bookmarkEnd w:id="130"/>
    <w:bookmarkStart w:id="132" w:name="ref-alghanmi2018effect"/>
    <w:p>
      <w:pPr>
        <w:pStyle w:val="Bibliography"/>
      </w:pPr>
      <w:r>
        <w:t xml:space="preserve">(28)</w:t>
      </w:r>
      <w:r>
        <w:t xml:space="preserve"> </w:t>
      </w:r>
      <w:r>
        <w:t xml:space="preserve">	</w:t>
      </w:r>
      <w:r>
        <w:t xml:space="preserve">Alghanmi, H. A.; Alkam, F. M.; AL-Taee, M. M. Effect of Light and Temperature on New Cyanobacteria Producers for Geosmin and 2-Methylisoborneol.</w:t>
      </w:r>
      <w:r>
        <w:t xml:space="preserve"> </w:t>
      </w:r>
      <w:r>
        <w:rPr>
          <w:i/>
          <w:iCs/>
        </w:rPr>
        <w:t xml:space="preserve">Journal of Applied Phycology</w:t>
      </w:r>
      <w:r>
        <w:t xml:space="preserve"> </w:t>
      </w:r>
      <w:r>
        <w:rPr>
          <w:b/>
          <w:bCs/>
        </w:rPr>
        <w:t xml:space="preserve">2018</w:t>
      </w:r>
      <w:r>
        <w:t xml:space="preserve">,</w:t>
      </w:r>
      <w:r>
        <w:t xml:space="preserve"> </w:t>
      </w:r>
      <w:r>
        <w:rPr>
          <w:i/>
          <w:iCs/>
        </w:rPr>
        <w:t xml:space="preserve">30</w:t>
      </w:r>
      <w:r>
        <w:t xml:space="preserve"> </w:t>
      </w:r>
      <w:r>
        <w:t xml:space="preserve">(1), 319–328. https://doi.org/</w:t>
      </w:r>
      <w:hyperlink r:id="rId131">
        <w:r>
          <w:rPr>
            <w:rStyle w:val="Hyperlink"/>
          </w:rPr>
          <w:t xml:space="preserve">10.1007/s10811-017-1233-0</w:t>
        </w:r>
      </w:hyperlink>
      <w:r>
        <w:t xml:space="preserve">.</w:t>
      </w:r>
    </w:p>
    <w:bookmarkEnd w:id="132"/>
    <w:bookmarkStart w:id="134" w:name="ref-giglio2011biosynthesis"/>
    <w:p>
      <w:pPr>
        <w:pStyle w:val="Bibliography"/>
      </w:pPr>
      <w:r>
        <w:t xml:space="preserve">(29)</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33">
        <w:r>
          <w:rPr>
            <w:rStyle w:val="Hyperlink"/>
          </w:rPr>
          <w:t xml:space="preserve">10.1021/es102992p</w:t>
        </w:r>
      </w:hyperlink>
      <w:r>
        <w:t xml:space="preserve">.</w:t>
      </w:r>
    </w:p>
    <w:bookmarkEnd w:id="134"/>
    <w:bookmarkStart w:id="136" w:name="ref-wang2011genes"/>
    <w:p>
      <w:pPr>
        <w:pStyle w:val="Bibliography"/>
      </w:pPr>
      <w:r>
        <w:t xml:space="preserve">(30)</w:t>
      </w:r>
      <w:r>
        <w:t xml:space="preserve"> </w:t>
      </w:r>
      <w:r>
        <w:t xml:space="preserve">	</w:t>
      </w:r>
      <w:r>
        <w:t xml:space="preserve">Wang, Z.; Xu, Y.; Shao, J.; Wang, J.; Li, R. Genes Associated with 2-Methylisoborneol Biosynthesis in Cyanobacteria: Isolation, Characterization, and Expression in Response to Light.</w:t>
      </w:r>
      <w:r>
        <w:t xml:space="preserve"> </w:t>
      </w:r>
      <w:r>
        <w:rPr>
          <w:i/>
          <w:iCs/>
        </w:rPr>
        <w:t xml:space="preserve">Plos One</w:t>
      </w:r>
      <w:r>
        <w:t xml:space="preserve"> </w:t>
      </w:r>
      <w:r>
        <w:rPr>
          <w:b/>
          <w:bCs/>
        </w:rPr>
        <w:t xml:space="preserve">2011</w:t>
      </w:r>
      <w:r>
        <w:t xml:space="preserve">,</w:t>
      </w:r>
      <w:r>
        <w:t xml:space="preserve"> </w:t>
      </w:r>
      <w:r>
        <w:rPr>
          <w:i/>
          <w:iCs/>
        </w:rPr>
        <w:t xml:space="preserve">6</w:t>
      </w:r>
      <w:r>
        <w:t xml:space="preserve"> </w:t>
      </w:r>
      <w:r>
        <w:t xml:space="preserve">(4), E18665. https://doi.org/</w:t>
      </w:r>
      <w:hyperlink r:id="rId135">
        <w:r>
          <w:rPr>
            <w:rStyle w:val="Hyperlink"/>
          </w:rPr>
          <w:t xml:space="preserve">10.1371/journal.pone.0018665</w:t>
        </w:r>
      </w:hyperlink>
      <w:r>
        <w:t xml:space="preserve">.</w:t>
      </w:r>
    </w:p>
    <w:bookmarkEnd w:id="136"/>
    <w:bookmarkStart w:id="138" w:name="ref-komatsu2008identification"/>
    <w:p>
      <w:pPr>
        <w:pStyle w:val="Bibliography"/>
      </w:pPr>
      <w:r>
        <w:t xml:space="preserve">(31)</w:t>
      </w:r>
      <w:r>
        <w:t xml:space="preserve"> </w:t>
      </w:r>
      <w:r>
        <w:t xml:space="preserve">	</w:t>
      </w:r>
      <w:r>
        <w:t xml:space="preserve">Komatsu, M.; Tsuda, M.; omura, S.; Oikawa, H.; Ikeda, H. Identification and Functional Analysis of Genes Controlling Biosynthesis of 2-Methylisoborneol.</w:t>
      </w:r>
      <w:r>
        <w:t xml:space="preserve"> </w:t>
      </w:r>
      <w:r>
        <w:rPr>
          <w:i/>
          <w:iCs/>
        </w:rPr>
        <w:t xml:space="preserve">Proceedings of the National Academy of Sciences</w:t>
      </w:r>
      <w:r>
        <w:t xml:space="preserve"> </w:t>
      </w:r>
      <w:r>
        <w:rPr>
          <w:b/>
          <w:bCs/>
        </w:rPr>
        <w:t xml:space="preserve">2008</w:t>
      </w:r>
      <w:r>
        <w:t xml:space="preserve">,</w:t>
      </w:r>
      <w:r>
        <w:t xml:space="preserve"> </w:t>
      </w:r>
      <w:r>
        <w:rPr>
          <w:i/>
          <w:iCs/>
        </w:rPr>
        <w:t xml:space="preserve">105</w:t>
      </w:r>
      <w:r>
        <w:t xml:space="preserve"> </w:t>
      </w:r>
      <w:r>
        <w:t xml:space="preserve">(21), 7422–7427. https://doi.org/</w:t>
      </w:r>
      <w:hyperlink r:id="rId137">
        <w:r>
          <w:rPr>
            <w:rStyle w:val="Hyperlink"/>
          </w:rPr>
          <w:t xml:space="preserve">10.1073/pnas.0802312105</w:t>
        </w:r>
      </w:hyperlink>
      <w:r>
        <w:t xml:space="preserve">.</w:t>
      </w:r>
    </w:p>
    <w:bookmarkEnd w:id="138"/>
    <w:bookmarkStart w:id="140" w:name="ref-andreas2024the"/>
    <w:p>
      <w:pPr>
        <w:pStyle w:val="Bibliography"/>
      </w:pPr>
      <w:r>
        <w:t xml:space="preserve">(32)</w:t>
      </w:r>
      <w:r>
        <w:t xml:space="preserve"> </w:t>
      </w:r>
      <w:r>
        <w:t xml:space="preserve">	</w:t>
      </w:r>
      <w:r>
        <w:t xml:space="preserve">Andreas, M. P.; Giessen, T. W. The Biosynthesis of the Odorant 2-Methylisoborneol Is Compartmentalized Inside a Protein Shell.</w:t>
      </w:r>
      <w:r>
        <w:t xml:space="preserve"> </w:t>
      </w:r>
      <w:r>
        <w:rPr>
          <w:i/>
          <w:iCs/>
        </w:rPr>
        <w:t xml:space="preserve">Nature Communications</w:t>
      </w:r>
      <w:r>
        <w:t xml:space="preserve"> </w:t>
      </w:r>
      <w:r>
        <w:rPr>
          <w:b/>
          <w:bCs/>
        </w:rPr>
        <w:t xml:space="preserve">2024</w:t>
      </w:r>
      <w:r>
        <w:t xml:space="preserve">,</w:t>
      </w:r>
      <w:r>
        <w:t xml:space="preserve"> </w:t>
      </w:r>
      <w:r>
        <w:rPr>
          <w:i/>
          <w:iCs/>
        </w:rPr>
        <w:t xml:space="preserve">15</w:t>
      </w:r>
      <w:r>
        <w:t xml:space="preserve"> </w:t>
      </w:r>
      <w:r>
        <w:t xml:space="preserve">(1). https://doi.org/</w:t>
      </w:r>
      <w:hyperlink r:id="rId139">
        <w:r>
          <w:rPr>
            <w:rStyle w:val="Hyperlink"/>
          </w:rPr>
          <w:t xml:space="preserve">10.1038/s41467-024-54175-4</w:t>
        </w:r>
      </w:hyperlink>
      <w:r>
        <w:t xml:space="preserve">.</w:t>
      </w:r>
    </w:p>
    <w:bookmarkEnd w:id="140"/>
    <w:bookmarkStart w:id="142" w:name="ref-lu2022driving"/>
    <w:p>
      <w:pPr>
        <w:pStyle w:val="Bibliography"/>
      </w:pPr>
      <w:r>
        <w:t xml:space="preserve">(33)</w:t>
      </w:r>
      <w:r>
        <w:t xml:space="preserve"> </w:t>
      </w:r>
      <w:r>
        <w:t xml:space="preserve">	</w:t>
      </w:r>
      <w:r>
        <w:t xml:space="preserve">Lu, J.; Su, M.; Su, Y.; Wu, B.; Cao, T.; Fang, J.; Yu, J.; Zhang, H.; Yang, M.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rPr>
          <w:b/>
          <w:bCs/>
        </w:rPr>
        <w:t xml:space="preserve">2022</w:t>
      </w:r>
      <w:r>
        <w:t xml:space="preserve">, 118670. https://doi.org/</w:t>
      </w:r>
      <w:hyperlink r:id="rId141">
        <w:r>
          <w:rPr>
            <w:rStyle w:val="Hyperlink"/>
          </w:rPr>
          <w:t xml:space="preserve">10.1016/j.watres.2022.118670</w:t>
        </w:r>
      </w:hyperlink>
      <w:r>
        <w:t xml:space="preserve">.</w:t>
      </w:r>
    </w:p>
    <w:bookmarkEnd w:id="142"/>
    <w:bookmarkStart w:id="144" w:name="ref-jia2019light"/>
    <w:p>
      <w:pPr>
        <w:pStyle w:val="Bibliography"/>
      </w:pPr>
      <w:r>
        <w:t xml:space="preserve">(34)</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143">
        <w:r>
          <w:rPr>
            <w:rStyle w:val="Hyperlink"/>
          </w:rPr>
          <w:t xml:space="preserve">10.1016/j.hal.2019.101658</w:t>
        </w:r>
      </w:hyperlink>
      <w:r>
        <w:t xml:space="preserve">.</w:t>
      </w:r>
    </w:p>
    <w:bookmarkEnd w:id="144"/>
    <w:bookmarkStart w:id="146" w:name="ref-wang2015effects"/>
    <w:p>
      <w:pPr>
        <w:pStyle w:val="Bibliography"/>
      </w:pPr>
      <w:r>
        <w:t xml:space="preserve">(35)</w:t>
      </w:r>
      <w:r>
        <w:t xml:space="preserve"> </w:t>
      </w:r>
      <w:r>
        <w:t xml:space="preserve">	</w:t>
      </w:r>
      <w:r>
        <w:t xml:space="preserve">Wang, Z.; Li, R.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w:t>
      </w:r>
      <w:r>
        <w:t xml:space="preserve"> </w:t>
      </w:r>
      <w:r>
        <w:rPr>
          <w:i/>
          <w:iCs/>
        </w:rPr>
        <w:t xml:space="preserve">Biochemical Systematics and Ecology</w:t>
      </w:r>
      <w:r>
        <w:t xml:space="preserve"> </w:t>
      </w:r>
      <w:r>
        <w:rPr>
          <w:b/>
          <w:bCs/>
        </w:rPr>
        <w:t xml:space="preserve">2015</w:t>
      </w:r>
      <w:r>
        <w:t xml:space="preserve">,</w:t>
      </w:r>
      <w:r>
        <w:t xml:space="preserve"> </w:t>
      </w:r>
      <w:r>
        <w:rPr>
          <w:i/>
          <w:iCs/>
        </w:rPr>
        <w:t xml:space="preserve">58</w:t>
      </w:r>
      <w:r>
        <w:t xml:space="preserve">, 219–226. https://doi.org/</w:t>
      </w:r>
      <w:hyperlink r:id="rId145">
        <w:r>
          <w:rPr>
            <w:rStyle w:val="Hyperlink"/>
          </w:rPr>
          <w:t xml:space="preserve">10.1016/j.bse.2014.12.013</w:t>
        </w:r>
      </w:hyperlink>
      <w:r>
        <w:t xml:space="preserve">.</w:t>
      </w:r>
    </w:p>
    <w:bookmarkEnd w:id="146"/>
    <w:bookmarkStart w:id="148" w:name="ref-zimba1999evaluating"/>
    <w:p>
      <w:pPr>
        <w:pStyle w:val="Bibliography"/>
      </w:pPr>
      <w:r>
        <w:t xml:space="preserve">(36)</w:t>
      </w:r>
      <w:r>
        <w:t xml:space="preserve"> </w:t>
      </w:r>
      <w:r>
        <w:t xml:space="preserve">	</w:t>
      </w:r>
      <w:r>
        <w:t xml:space="preserve">Zimba, P. V.; Dionigi, C. P.; Millie, D. F. Evaluating the Relationship Between Photopigment Synthesis and 2-Methylisoborneol Accumulation in Cyanobacteria.</w:t>
      </w:r>
      <w:r>
        <w:t xml:space="preserve"> </w:t>
      </w:r>
      <w:r>
        <w:rPr>
          <w:i/>
          <w:iCs/>
        </w:rPr>
        <w:t xml:space="preserve">Journal of Phycology</w:t>
      </w:r>
      <w:r>
        <w:t xml:space="preserve"> </w:t>
      </w:r>
      <w:r>
        <w:rPr>
          <w:b/>
          <w:bCs/>
        </w:rPr>
        <w:t xml:space="preserve">1999</w:t>
      </w:r>
      <w:r>
        <w:t xml:space="preserve">,</w:t>
      </w:r>
      <w:r>
        <w:t xml:space="preserve"> </w:t>
      </w:r>
      <w:r>
        <w:rPr>
          <w:i/>
          <w:iCs/>
        </w:rPr>
        <w:t xml:space="preserve">35</w:t>
      </w:r>
      <w:r>
        <w:t xml:space="preserve"> </w:t>
      </w:r>
      <w:r>
        <w:t xml:space="preserve">(6), 1422–1429. https://doi.org/</w:t>
      </w:r>
      <w:hyperlink r:id="rId147">
        <w:r>
          <w:rPr>
            <w:rStyle w:val="Hyperlink"/>
          </w:rPr>
          <w:t xml:space="preserve">10.1046/j.1529-8817.1999.3561422.x</w:t>
        </w:r>
      </w:hyperlink>
      <w:r>
        <w:t xml:space="preserve">.</w:t>
      </w:r>
    </w:p>
    <w:bookmarkEnd w:id="148"/>
    <w:bookmarkStart w:id="150" w:name="ref-eisenhoffer2013bringing"/>
    <w:p>
      <w:pPr>
        <w:pStyle w:val="Bibliography"/>
      </w:pPr>
      <w:r>
        <w:t xml:space="preserve">(37)</w:t>
      </w:r>
      <w:r>
        <w:t xml:space="preserve"> </w:t>
      </w:r>
      <w:r>
        <w:t xml:space="preserve">	</w:t>
      </w:r>
      <w:r>
        <w:t xml:space="preserve">Eisenhoffer, G. T.; Rosenblatt, J. Bringing Balance by Force: Live Cell Extrusion Controls Epithelial Cell Numbers.</w:t>
      </w:r>
      <w:r>
        <w:t xml:space="preserve"> </w:t>
      </w:r>
      <w:r>
        <w:rPr>
          <w:i/>
          <w:iCs/>
        </w:rPr>
        <w:t xml:space="preserve">Trends in Cell Biology</w:t>
      </w:r>
      <w:r>
        <w:t xml:space="preserve"> </w:t>
      </w:r>
      <w:r>
        <w:rPr>
          <w:b/>
          <w:bCs/>
        </w:rPr>
        <w:t xml:space="preserve">2013</w:t>
      </w:r>
      <w:r>
        <w:t xml:space="preserve">,</w:t>
      </w:r>
      <w:r>
        <w:t xml:space="preserve"> </w:t>
      </w:r>
      <w:r>
        <w:rPr>
          <w:i/>
          <w:iCs/>
        </w:rPr>
        <w:t xml:space="preserve">23</w:t>
      </w:r>
      <w:r>
        <w:t xml:space="preserve"> </w:t>
      </w:r>
      <w:r>
        <w:t xml:space="preserve">(4), 185–192. https://doi.org/</w:t>
      </w:r>
      <w:hyperlink r:id="rId149">
        <w:r>
          <w:rPr>
            <w:rStyle w:val="Hyperlink"/>
          </w:rPr>
          <w:t xml:space="preserve">10.1016/j.tcb.2012.11.006</w:t>
        </w:r>
      </w:hyperlink>
      <w:r>
        <w:t xml:space="preserve">.</w:t>
      </w:r>
    </w:p>
    <w:bookmarkEnd w:id="150"/>
    <w:bookmarkStart w:id="152" w:name="ref-bermudez2024cell"/>
    <w:p>
      <w:pPr>
        <w:pStyle w:val="Bibliography"/>
      </w:pPr>
      <w:r>
        <w:t xml:space="preserve">(38)</w:t>
      </w:r>
      <w:r>
        <w:t xml:space="preserve"> </w:t>
      </w:r>
      <w:r>
        <w:t xml:space="preserve">	</w:t>
      </w:r>
      <w:r>
        <w:t xml:space="preserve">Bermudez, A. G.; Latham, Z.; Hu, J.; Lin, N. Cell Crowding-Induced Geometric Constraint Regulates Chromatin Organizations.</w:t>
      </w:r>
      <w:r>
        <w:t xml:space="preserve"> </w:t>
      </w:r>
      <w:r>
        <w:rPr>
          <w:i/>
          <w:iCs/>
        </w:rPr>
        <w:t xml:space="preserve">Biophysical Journal</w:t>
      </w:r>
      <w:r>
        <w:t xml:space="preserve"> </w:t>
      </w:r>
      <w:r>
        <w:rPr>
          <w:b/>
          <w:bCs/>
        </w:rPr>
        <w:t xml:space="preserve">2024</w:t>
      </w:r>
      <w:r>
        <w:t xml:space="preserve">,</w:t>
      </w:r>
      <w:r>
        <w:t xml:space="preserve"> </w:t>
      </w:r>
      <w:r>
        <w:rPr>
          <w:i/>
          <w:iCs/>
        </w:rPr>
        <w:t xml:space="preserve">123</w:t>
      </w:r>
      <w:r>
        <w:t xml:space="preserve"> </w:t>
      </w:r>
      <w:r>
        <w:t xml:space="preserve">(3), 407a. https://doi.org/</w:t>
      </w:r>
      <w:hyperlink r:id="rId151">
        <w:r>
          <w:rPr>
            <w:rStyle w:val="Hyperlink"/>
          </w:rPr>
          <w:t xml:space="preserve">10.1016/j.bpj.2023.11.2493</w:t>
        </w:r>
      </w:hyperlink>
      <w:r>
        <w:t xml:space="preserve">.</w:t>
      </w:r>
    </w:p>
    <w:bookmarkEnd w:id="152"/>
    <w:bookmarkStart w:id="154" w:name="ref-yang2024etv4"/>
    <w:p>
      <w:pPr>
        <w:pStyle w:val="Bibliography"/>
      </w:pPr>
      <w:r>
        <w:t xml:space="preserve">(39)</w:t>
      </w:r>
      <w:r>
        <w:t xml:space="preserve"> </w:t>
      </w:r>
      <w:r>
        <w:t xml:space="preserve">	</w:t>
      </w:r>
      <w:r>
        <w:t xml:space="preserve">Yang, S.; Golkaram, M.; Oh, S.; Oh, Y.; Cho, Y.; Yoe, J.; Ju, S.; Lalli, M. A.; Park, S.-Y.; Lee, Y.; Jang, J. ETV4 Is a Mechanical Transducer Linking Cell Crowding Dynamics to Lineage Specification.</w:t>
      </w:r>
      <w:r>
        <w:t xml:space="preserve"> </w:t>
      </w:r>
      <w:r>
        <w:rPr>
          <w:i/>
          <w:iCs/>
        </w:rPr>
        <w:t xml:space="preserve">Nature Cell Biology</w:t>
      </w:r>
      <w:r>
        <w:t xml:space="preserve"> </w:t>
      </w:r>
      <w:r>
        <w:rPr>
          <w:b/>
          <w:bCs/>
        </w:rPr>
        <w:t xml:space="preserve">2024</w:t>
      </w:r>
      <w:r>
        <w:t xml:space="preserve">,</w:t>
      </w:r>
      <w:r>
        <w:t xml:space="preserve"> </w:t>
      </w:r>
      <w:r>
        <w:rPr>
          <w:i/>
          <w:iCs/>
        </w:rPr>
        <w:t xml:space="preserve">26</w:t>
      </w:r>
      <w:r>
        <w:t xml:space="preserve"> </w:t>
      </w:r>
      <w:r>
        <w:t xml:space="preserve">(6), 903–916. https://doi.org/</w:t>
      </w:r>
      <w:hyperlink r:id="rId153">
        <w:r>
          <w:rPr>
            <w:rStyle w:val="Hyperlink"/>
          </w:rPr>
          <w:t xml:space="preserve">10.1038/s41556-024-01415-w</w:t>
        </w:r>
      </w:hyperlink>
      <w:r>
        <w:t xml:space="preserve">.</w:t>
      </w:r>
    </w:p>
    <w:bookmarkEnd w:id="154"/>
    <w:bookmarkStart w:id="156" w:name="ref-lawsonkeister2021jamming"/>
    <w:p>
      <w:pPr>
        <w:pStyle w:val="Bibliography"/>
      </w:pPr>
      <w:r>
        <w:t xml:space="preserve">(40)</w:t>
      </w:r>
      <w:r>
        <w:t xml:space="preserve"> </w:t>
      </w:r>
      <w:r>
        <w:t xml:space="preserve">	</w:t>
      </w:r>
      <w:r>
        <w:t xml:space="preserve">Lawson-Keister, E.; Manning, M. L. Jamming and Arrest of Cell Motion in Biological Tissues.</w:t>
      </w:r>
      <w:r>
        <w:t xml:space="preserve"> </w:t>
      </w:r>
      <w:r>
        <w:rPr>
          <w:i/>
          <w:iCs/>
        </w:rPr>
        <w:t xml:space="preserve">Current Opinion in Cell Biology</w:t>
      </w:r>
      <w:r>
        <w:t xml:space="preserve"> </w:t>
      </w:r>
      <w:r>
        <w:rPr>
          <w:b/>
          <w:bCs/>
        </w:rPr>
        <w:t xml:space="preserve">2021</w:t>
      </w:r>
      <w:r>
        <w:t xml:space="preserve">,</w:t>
      </w:r>
      <w:r>
        <w:t xml:space="preserve"> </w:t>
      </w:r>
      <w:r>
        <w:rPr>
          <w:i/>
          <w:iCs/>
        </w:rPr>
        <w:t xml:space="preserve">72</w:t>
      </w:r>
      <w:r>
        <w:t xml:space="preserve">, 146–155. https://doi.org/</w:t>
      </w:r>
      <w:hyperlink r:id="rId155">
        <w:r>
          <w:rPr>
            <w:rStyle w:val="Hyperlink"/>
          </w:rPr>
          <w:t xml:space="preserve">10.1016/j.ceb.2021.07.011</w:t>
        </w:r>
      </w:hyperlink>
      <w:r>
        <w:t xml:space="preserve">.</w:t>
      </w:r>
    </w:p>
    <w:bookmarkEnd w:id="156"/>
    <w:bookmarkStart w:id="158" w:name="ref-drewinko1984cultured"/>
    <w:p>
      <w:pPr>
        <w:pStyle w:val="Bibliography"/>
      </w:pPr>
      <w:r>
        <w:t xml:space="preserve">(41)</w:t>
      </w:r>
      <w:r>
        <w:t xml:space="preserve"> </w:t>
      </w:r>
      <w:r>
        <w:t xml:space="preserve">	</w:t>
      </w:r>
      <w:r>
        <w:t xml:space="preserve">Drewinko, B.; Yang, L. Y.; Barlogie, B.; Trujillo, J. M. Cultured Human Tumour Cells May Be Arrested in All Stages of the Cycle During Stationary Phase: Demonstration of Quiescent Cells in G1, s and G2 Phase.</w:t>
      </w:r>
      <w:r>
        <w:t xml:space="preserve"> </w:t>
      </w:r>
      <w:r>
        <w:rPr>
          <w:i/>
          <w:iCs/>
        </w:rPr>
        <w:t xml:space="preserve">Cell Proliferation</w:t>
      </w:r>
      <w:r>
        <w:t xml:space="preserve"> </w:t>
      </w:r>
      <w:r>
        <w:rPr>
          <w:b/>
          <w:bCs/>
        </w:rPr>
        <w:t xml:space="preserve">1984</w:t>
      </w:r>
      <w:r>
        <w:t xml:space="preserve">,</w:t>
      </w:r>
      <w:r>
        <w:t xml:space="preserve"> </w:t>
      </w:r>
      <w:r>
        <w:rPr>
          <w:i/>
          <w:iCs/>
        </w:rPr>
        <w:t xml:space="preserve">17</w:t>
      </w:r>
      <w:r>
        <w:t xml:space="preserve"> </w:t>
      </w:r>
      <w:r>
        <w:t xml:space="preserve">(5), 453–463. https://doi.org/</w:t>
      </w:r>
      <w:hyperlink r:id="rId157">
        <w:r>
          <w:rPr>
            <w:rStyle w:val="Hyperlink"/>
          </w:rPr>
          <w:t xml:space="preserve">10.1111/j.1365-2184.1984.tb00604.x</w:t>
        </w:r>
      </w:hyperlink>
      <w:r>
        <w:t xml:space="preserve">.</w:t>
      </w:r>
    </w:p>
    <w:bookmarkEnd w:id="158"/>
    <w:bookmarkStart w:id="160" w:name="ref-eisenhoffer2012crowding"/>
    <w:p>
      <w:pPr>
        <w:pStyle w:val="Bibliography"/>
      </w:pPr>
      <w:r>
        <w:t xml:space="preserve">(42)</w:t>
      </w:r>
      <w:r>
        <w:t xml:space="preserve"> </w:t>
      </w:r>
      <w:r>
        <w:t xml:space="preserve">	</w:t>
      </w:r>
      <w:r>
        <w:t xml:space="preserve">Eisenhoffer, G. T.; Loftus, P. D.; Yoshigi, M.; Otsuna, H.; Chien, C.-B.; Morcos, P. A.; Rosenblatt, J. Crowding Induces Live Cell Extrusion to Maintain Homeostatic Cell Numbers in Epithelia.</w:t>
      </w:r>
      <w:r>
        <w:t xml:space="preserve"> </w:t>
      </w:r>
      <w:r>
        <w:rPr>
          <w:i/>
          <w:iCs/>
        </w:rPr>
        <w:t xml:space="preserve">Nature</w:t>
      </w:r>
      <w:r>
        <w:t xml:space="preserve"> </w:t>
      </w:r>
      <w:r>
        <w:rPr>
          <w:b/>
          <w:bCs/>
        </w:rPr>
        <w:t xml:space="preserve">2012</w:t>
      </w:r>
      <w:r>
        <w:t xml:space="preserve">,</w:t>
      </w:r>
      <w:r>
        <w:t xml:space="preserve"> </w:t>
      </w:r>
      <w:r>
        <w:rPr>
          <w:i/>
          <w:iCs/>
        </w:rPr>
        <w:t xml:space="preserve">484</w:t>
      </w:r>
      <w:r>
        <w:t xml:space="preserve"> </w:t>
      </w:r>
      <w:r>
        <w:t xml:space="preserve">(7395), 546–549. https://doi.org/</w:t>
      </w:r>
      <w:hyperlink r:id="rId159">
        <w:r>
          <w:rPr>
            <w:rStyle w:val="Hyperlink"/>
          </w:rPr>
          <w:t xml:space="preserve">10.1038/nature10999</w:t>
        </w:r>
      </w:hyperlink>
      <w:r>
        <w:t xml:space="preserve">.</w:t>
      </w:r>
    </w:p>
    <w:bookmarkEnd w:id="160"/>
    <w:bookmarkStart w:id="162" w:name="ref-bar2004attenuation"/>
    <w:p>
      <w:pPr>
        <w:pStyle w:val="Bibliography"/>
      </w:pPr>
      <w:r>
        <w:t xml:space="preserve">(43)</w:t>
      </w:r>
      <w:r>
        <w:t xml:space="preserve"> </w:t>
      </w:r>
      <w:r>
        <w:t xml:space="preserve">	</w:t>
      </w:r>
      <w:r>
        <w:t xml:space="preserve">Bar, J.; Cohen-Noyman, E.; Geiger, B.; Oren, M. Attenuation of the P53 Response to DNA Damage by High Cell Density.</w:t>
      </w:r>
      <w:r>
        <w:t xml:space="preserve"> </w:t>
      </w:r>
      <w:r>
        <w:rPr>
          <w:i/>
          <w:iCs/>
        </w:rPr>
        <w:t xml:space="preserve">Oncogene</w:t>
      </w:r>
      <w:r>
        <w:t xml:space="preserve"> </w:t>
      </w:r>
      <w:r>
        <w:rPr>
          <w:b/>
          <w:bCs/>
        </w:rPr>
        <w:t xml:space="preserve">2004</w:t>
      </w:r>
      <w:r>
        <w:t xml:space="preserve">,</w:t>
      </w:r>
      <w:r>
        <w:t xml:space="preserve"> </w:t>
      </w:r>
      <w:r>
        <w:rPr>
          <w:i/>
          <w:iCs/>
        </w:rPr>
        <w:t xml:space="preserve">23</w:t>
      </w:r>
      <w:r>
        <w:t xml:space="preserve"> </w:t>
      </w:r>
      <w:r>
        <w:t xml:space="preserve">(12), 2128–2137. https://doi.org/</w:t>
      </w:r>
      <w:hyperlink r:id="rId161">
        <w:r>
          <w:rPr>
            <w:rStyle w:val="Hyperlink"/>
          </w:rPr>
          <w:t xml:space="preserve">10.1038/sj.onc.1207325</w:t>
        </w:r>
      </w:hyperlink>
      <w:r>
        <w:t xml:space="preserve">.</w:t>
      </w:r>
    </w:p>
    <w:bookmarkEnd w:id="162"/>
    <w:bookmarkStart w:id="164" w:name="ref-nishio2017hippo"/>
    <w:p>
      <w:pPr>
        <w:pStyle w:val="Bibliography"/>
      </w:pPr>
      <w:r>
        <w:t xml:space="preserve">(44)</w:t>
      </w:r>
      <w:r>
        <w:t xml:space="preserve"> </w:t>
      </w:r>
      <w:r>
        <w:t xml:space="preserve">	</w:t>
      </w:r>
      <w:r>
        <w:t xml:space="preserve">Nishio, M.; Maehama, T.; Goto, H.; Nakatani, K.; Kato, W.; Omori, H.; Miyachi, Y.; Togashi, H.; Shimono, Y.; Suzuki, A. Hippo Vs. Crab: Tissue‐specific Functions of the Mammalian Hippo Pathway.</w:t>
      </w:r>
      <w:r>
        <w:t xml:space="preserve"> </w:t>
      </w:r>
      <w:r>
        <w:rPr>
          <w:i/>
          <w:iCs/>
        </w:rPr>
        <w:t xml:space="preserve">Genes to Cells</w:t>
      </w:r>
      <w:r>
        <w:t xml:space="preserve"> </w:t>
      </w:r>
      <w:r>
        <w:rPr>
          <w:b/>
          <w:bCs/>
        </w:rPr>
        <w:t xml:space="preserve">2017</w:t>
      </w:r>
      <w:r>
        <w:t xml:space="preserve">,</w:t>
      </w:r>
      <w:r>
        <w:t xml:space="preserve"> </w:t>
      </w:r>
      <w:r>
        <w:rPr>
          <w:i/>
          <w:iCs/>
        </w:rPr>
        <w:t xml:space="preserve">22</w:t>
      </w:r>
      <w:r>
        <w:t xml:space="preserve"> </w:t>
      </w:r>
      <w:r>
        <w:t xml:space="preserve">(1), 6–31. https://doi.org/</w:t>
      </w:r>
      <w:hyperlink r:id="rId163">
        <w:r>
          <w:rPr>
            <w:rStyle w:val="Hyperlink"/>
          </w:rPr>
          <w:t xml:space="preserve">10.1111/gtc.12461</w:t>
        </w:r>
      </w:hyperlink>
      <w:r>
        <w:t xml:space="preserve">.</w:t>
      </w:r>
    </w:p>
    <w:bookmarkEnd w:id="164"/>
    <w:bookmarkStart w:id="166" w:name="ref-sheridan1981studies"/>
    <w:p>
      <w:pPr>
        <w:pStyle w:val="Bibliography"/>
      </w:pPr>
      <w:r>
        <w:t xml:space="preserve">(45)</w:t>
      </w:r>
      <w:r>
        <w:t xml:space="preserve"> </w:t>
      </w:r>
      <w:r>
        <w:t xml:space="preserve">	</w:t>
      </w:r>
      <w:r>
        <w:t xml:space="preserve">Sheridan, J. W.; Simmons, R. J. Studies on a Human Melanoma Cell Line: Effect of Cell Crowding and Nutrient Depletion on the Biophysical and Kinetic Characteristics of the Cells.</w:t>
      </w:r>
      <w:r>
        <w:t xml:space="preserve"> </w:t>
      </w:r>
      <w:r>
        <w:rPr>
          <w:i/>
          <w:iCs/>
        </w:rPr>
        <w:t xml:space="preserve">Journal of Cellular Physiology</w:t>
      </w:r>
      <w:r>
        <w:t xml:space="preserve"> </w:t>
      </w:r>
      <w:r>
        <w:rPr>
          <w:b/>
          <w:bCs/>
        </w:rPr>
        <w:t xml:space="preserve">1981</w:t>
      </w:r>
      <w:r>
        <w:t xml:space="preserve">,</w:t>
      </w:r>
      <w:r>
        <w:t xml:space="preserve"> </w:t>
      </w:r>
      <w:r>
        <w:rPr>
          <w:i/>
          <w:iCs/>
        </w:rPr>
        <w:t xml:space="preserve">107</w:t>
      </w:r>
      <w:r>
        <w:t xml:space="preserve"> </w:t>
      </w:r>
      <w:r>
        <w:t xml:space="preserve">(1), 85–100. https://doi.org/</w:t>
      </w:r>
      <w:hyperlink r:id="rId165">
        <w:r>
          <w:rPr>
            <w:rStyle w:val="Hyperlink"/>
          </w:rPr>
          <w:t xml:space="preserve">10.1002/jcp.1041070111</w:t>
        </w:r>
      </w:hyperlink>
      <w:r>
        <w:t xml:space="preserve">.</w:t>
      </w:r>
    </w:p>
    <w:bookmarkEnd w:id="166"/>
    <w:bookmarkStart w:id="168" w:name="ref-tjørve2017the"/>
    <w:p>
      <w:pPr>
        <w:pStyle w:val="Bibliography"/>
      </w:pPr>
      <w:r>
        <w:t xml:space="preserve">(46)</w:t>
      </w:r>
      <w:r>
        <w:t xml:space="preserve"> </w:t>
      </w:r>
      <w:r>
        <w:t xml:space="preserve">	</w:t>
      </w:r>
      <w:r>
        <w:t xml:space="preserve">Tjørve, K. M. C.; Tjørve, E. The Use of Gompertz Models in Growth Analyses, and New Gompertz-Model Approach: An Addition to the Unified-Richards Family.</w:t>
      </w:r>
      <w:r>
        <w:t xml:space="preserve"> </w:t>
      </w:r>
      <w:r>
        <w:rPr>
          <w:i/>
          <w:iCs/>
        </w:rPr>
        <w:t xml:space="preserve">PLOS ONE</w:t>
      </w:r>
      <w:r>
        <w:t xml:space="preserve"> </w:t>
      </w:r>
      <w:r>
        <w:rPr>
          <w:b/>
          <w:bCs/>
        </w:rPr>
        <w:t xml:space="preserve">2017</w:t>
      </w:r>
      <w:r>
        <w:t xml:space="preserve">,</w:t>
      </w:r>
      <w:r>
        <w:t xml:space="preserve"> </w:t>
      </w:r>
      <w:r>
        <w:rPr>
          <w:i/>
          <w:iCs/>
        </w:rPr>
        <w:t xml:space="preserve">12</w:t>
      </w:r>
      <w:r>
        <w:t xml:space="preserve"> </w:t>
      </w:r>
      <w:r>
        <w:t xml:space="preserve">(6), e0178691. https://doi.org/</w:t>
      </w:r>
      <w:hyperlink r:id="rId167">
        <w:r>
          <w:rPr>
            <w:rStyle w:val="Hyperlink"/>
          </w:rPr>
          <w:t xml:space="preserve">10.1371/journal.pone.0178691</w:t>
        </w:r>
      </w:hyperlink>
      <w:r>
        <w:t xml:space="preserve">.</w:t>
      </w:r>
    </w:p>
    <w:bookmarkEnd w:id="168"/>
    <w:bookmarkStart w:id="170" w:name="ref-lv2015stability"/>
    <w:p>
      <w:pPr>
        <w:pStyle w:val="Bibliography"/>
      </w:pPr>
      <w:r>
        <w:t xml:space="preserve">(47)</w:t>
      </w:r>
      <w:r>
        <w:t xml:space="preserve"> </w:t>
      </w:r>
      <w:r>
        <w:t xml:space="preserve">	</w:t>
      </w:r>
      <w:r>
        <w:t xml:space="preserve">Lv, J.; Wang, K.; Jiao, J. Stability of Stochastic Richards Growth Model.</w:t>
      </w:r>
      <w:r>
        <w:t xml:space="preserve"> </w:t>
      </w:r>
      <w:r>
        <w:rPr>
          <w:i/>
          <w:iCs/>
        </w:rPr>
        <w:t xml:space="preserve">Applied Mathematical Modelling</w:t>
      </w:r>
      <w:r>
        <w:t xml:space="preserve"> </w:t>
      </w:r>
      <w:r>
        <w:rPr>
          <w:b/>
          <w:bCs/>
        </w:rPr>
        <w:t xml:space="preserve">2015</w:t>
      </w:r>
      <w:r>
        <w:t xml:space="preserve">,</w:t>
      </w:r>
      <w:r>
        <w:t xml:space="preserve"> </w:t>
      </w:r>
      <w:r>
        <w:rPr>
          <w:i/>
          <w:iCs/>
        </w:rPr>
        <w:t xml:space="preserve">39</w:t>
      </w:r>
      <w:r>
        <w:t xml:space="preserve"> </w:t>
      </w:r>
      <w:r>
        <w:t xml:space="preserve">(16), 4821–4827. https://doi.org/</w:t>
      </w:r>
      <w:hyperlink r:id="rId169">
        <w:r>
          <w:rPr>
            <w:rStyle w:val="Hyperlink"/>
          </w:rPr>
          <w:t xml:space="preserve">10.1016/j.apm.2015.04.016</w:t>
        </w:r>
      </w:hyperlink>
      <w:r>
        <w:t xml:space="preserve">.</w:t>
      </w:r>
    </w:p>
    <w:bookmarkEnd w:id="170"/>
    <w:bookmarkStart w:id="172" w:name="ref-peleg1998reinterpretation"/>
    <w:p>
      <w:pPr>
        <w:pStyle w:val="Bibliography"/>
      </w:pPr>
      <w:r>
        <w:t xml:space="preserve">(48)</w:t>
      </w:r>
      <w:r>
        <w:t xml:space="preserve"> </w:t>
      </w:r>
      <w:r>
        <w:t xml:space="preserve">	</w:t>
      </w:r>
      <w:r>
        <w:t xml:space="preserve">Peleg, M.; Cole, M. B. Reinterpretation of Microbial Survival Curves.</w:t>
      </w:r>
      <w:r>
        <w:t xml:space="preserve"> </w:t>
      </w:r>
      <w:r>
        <w:rPr>
          <w:i/>
          <w:iCs/>
        </w:rPr>
        <w:t xml:space="preserve">Critical Reviews in Food Science and Nutrition</w:t>
      </w:r>
      <w:r>
        <w:t xml:space="preserve"> </w:t>
      </w:r>
      <w:r>
        <w:rPr>
          <w:b/>
          <w:bCs/>
        </w:rPr>
        <w:t xml:space="preserve">1998</w:t>
      </w:r>
      <w:r>
        <w:t xml:space="preserve">,</w:t>
      </w:r>
      <w:r>
        <w:t xml:space="preserve"> </w:t>
      </w:r>
      <w:r>
        <w:rPr>
          <w:i/>
          <w:iCs/>
        </w:rPr>
        <w:t xml:space="preserve">38</w:t>
      </w:r>
      <w:r>
        <w:t xml:space="preserve"> </w:t>
      </w:r>
      <w:r>
        <w:t xml:space="preserve">(5), 353–380. https://doi.org/</w:t>
      </w:r>
      <w:hyperlink r:id="rId171">
        <w:r>
          <w:rPr>
            <w:rStyle w:val="Hyperlink"/>
          </w:rPr>
          <w:t xml:space="preserve">10.1080/10408699891274246</w:t>
        </w:r>
      </w:hyperlink>
      <w:r>
        <w:t xml:space="preserve">.</w:t>
      </w:r>
    </w:p>
    <w:bookmarkEnd w:id="172"/>
    <w:bookmarkStart w:id="174" w:name="ref-wang2023cell"/>
    <w:p>
      <w:pPr>
        <w:pStyle w:val="Bibliography"/>
      </w:pPr>
      <w:r>
        <w:t xml:space="preserve">(49)</w:t>
      </w:r>
      <w:r>
        <w:t xml:space="preserve"> </w:t>
      </w:r>
      <w:r>
        <w:t xml:space="preserve">	</w:t>
      </w:r>
      <w:r>
        <w:t xml:space="preserve">Wang, Y.; Zhou, J. X.; Pedrini, E.; Rubin, I.; Khalil, M.; Taramelli, R.; Qian, H.; Huang, S. Cell Population Growth Kinetics in the Presence of Stochastic Heterogeneity of Cell Phenotype.</w:t>
      </w:r>
      <w:r>
        <w:t xml:space="preserve"> </w:t>
      </w:r>
      <w:r>
        <w:rPr>
          <w:i/>
          <w:iCs/>
        </w:rPr>
        <w:t xml:space="preserve">Journal of Theoretical Biology</w:t>
      </w:r>
      <w:r>
        <w:t xml:space="preserve"> </w:t>
      </w:r>
      <w:r>
        <w:rPr>
          <w:b/>
          <w:bCs/>
        </w:rPr>
        <w:t xml:space="preserve">2023</w:t>
      </w:r>
      <w:r>
        <w:t xml:space="preserve">,</w:t>
      </w:r>
      <w:r>
        <w:t xml:space="preserve"> </w:t>
      </w:r>
      <w:r>
        <w:rPr>
          <w:i/>
          <w:iCs/>
        </w:rPr>
        <w:t xml:space="preserve">575</w:t>
      </w:r>
      <w:r>
        <w:t xml:space="preserve">, 111645. https://doi.org/</w:t>
      </w:r>
      <w:hyperlink r:id="rId173">
        <w:r>
          <w:rPr>
            <w:rStyle w:val="Hyperlink"/>
          </w:rPr>
          <w:t xml:space="preserve">10.1016/j.jtbi.2023.111645</w:t>
        </w:r>
      </w:hyperlink>
      <w:r>
        <w:t xml:space="preserve">.</w:t>
      </w:r>
    </w:p>
    <w:bookmarkEnd w:id="174"/>
    <w:bookmarkStart w:id="176" w:name="ref-karim2023random"/>
    <w:p>
      <w:pPr>
        <w:pStyle w:val="Bibliography"/>
      </w:pPr>
      <w:r>
        <w:t xml:space="preserve">(50)</w:t>
      </w:r>
      <w:r>
        <w:t xml:space="preserve"> </w:t>
      </w:r>
      <w:r>
        <w:t xml:space="preserve">	</w:t>
      </w:r>
      <w:r>
        <w:t xml:space="preserve">Karim, M. A. U.; Aithal, V.; Bhowmick, A. R. Random Variation in Model Parameters: A Comprehensive Review of Stochastic Logistic Growth Equation.</w:t>
      </w:r>
      <w:r>
        <w:t xml:space="preserve"> </w:t>
      </w:r>
      <w:r>
        <w:rPr>
          <w:i/>
          <w:iCs/>
        </w:rPr>
        <w:t xml:space="preserve">Ecological Modelling</w:t>
      </w:r>
      <w:r>
        <w:t xml:space="preserve"> </w:t>
      </w:r>
      <w:r>
        <w:rPr>
          <w:b/>
          <w:bCs/>
        </w:rPr>
        <w:t xml:space="preserve">2023</w:t>
      </w:r>
      <w:r>
        <w:t xml:space="preserve">,</w:t>
      </w:r>
      <w:r>
        <w:t xml:space="preserve"> </w:t>
      </w:r>
      <w:r>
        <w:rPr>
          <w:i/>
          <w:iCs/>
        </w:rPr>
        <w:t xml:space="preserve">484</w:t>
      </w:r>
      <w:r>
        <w:t xml:space="preserve">, 110475. https://doi.org/</w:t>
      </w:r>
      <w:hyperlink r:id="rId175">
        <w:r>
          <w:rPr>
            <w:rStyle w:val="Hyperlink"/>
          </w:rPr>
          <w:t xml:space="preserve">10.1016/j.ecolmodel.2023.110475</w:t>
        </w:r>
      </w:hyperlink>
      <w:r>
        <w:t xml:space="preserve">.</w:t>
      </w:r>
    </w:p>
    <w:bookmarkEnd w:id="176"/>
    <w:bookmarkStart w:id="178" w:name="ref-peleg2011microbial"/>
    <w:p>
      <w:pPr>
        <w:pStyle w:val="Bibliography"/>
      </w:pPr>
      <w:r>
        <w:t xml:space="preserve">(51)</w:t>
      </w:r>
      <w:r>
        <w:t xml:space="preserve"> </w:t>
      </w:r>
      <w:r>
        <w:t xml:space="preserve">	</w:t>
      </w:r>
      <w:r>
        <w:t xml:space="preserve">Peleg, M.; Corradini, M. G. Microbial Growth Curves: What the Models Tell Us and What They Cannot.</w:t>
      </w:r>
      <w:r>
        <w:t xml:space="preserve"> </w:t>
      </w:r>
      <w:r>
        <w:rPr>
          <w:i/>
          <w:iCs/>
        </w:rPr>
        <w:t xml:space="preserve">Critical Reviews in Food Science and Nutrition</w:t>
      </w:r>
      <w:r>
        <w:t xml:space="preserve"> </w:t>
      </w:r>
      <w:r>
        <w:rPr>
          <w:b/>
          <w:bCs/>
        </w:rPr>
        <w:t xml:space="preserve">2011</w:t>
      </w:r>
      <w:r>
        <w:t xml:space="preserve">,</w:t>
      </w:r>
      <w:r>
        <w:t xml:space="preserve"> </w:t>
      </w:r>
      <w:r>
        <w:rPr>
          <w:i/>
          <w:iCs/>
        </w:rPr>
        <w:t xml:space="preserve">51</w:t>
      </w:r>
      <w:r>
        <w:t xml:space="preserve"> </w:t>
      </w:r>
      <w:r>
        <w:t xml:space="preserve">(10), 917–945. https://doi.org/</w:t>
      </w:r>
      <w:hyperlink r:id="rId177">
        <w:r>
          <w:rPr>
            <w:rStyle w:val="Hyperlink"/>
          </w:rPr>
          <w:t xml:space="preserve">10.1080/10408398.2011.570463</w:t>
        </w:r>
      </w:hyperlink>
      <w:r>
        <w:t xml:space="preserve">.</w:t>
      </w:r>
    </w:p>
    <w:bookmarkEnd w:id="178"/>
    <w:bookmarkStart w:id="179" w:name="ref-sherr1993preservation"/>
    <w:p>
      <w:pPr>
        <w:pStyle w:val="Bibliography"/>
      </w:pPr>
      <w:r>
        <w:t xml:space="preserve">(52)</w:t>
      </w:r>
      <w:r>
        <w:t xml:space="preserve"> </w:t>
      </w:r>
      <w:r>
        <w:t xml:space="preserve">	</w:t>
      </w:r>
      <w:r>
        <w:t xml:space="preserve">Sherr, E. B.; Sherr, B. F. Preservation and Storage of Samples for Enumeration of Heterotrophic Protists.</w:t>
      </w:r>
      <w:r>
        <w:t xml:space="preserve"> </w:t>
      </w:r>
      <w:r>
        <w:rPr>
          <w:i/>
          <w:iCs/>
        </w:rPr>
        <w:t xml:space="preserve">Handbook of Methods in Aquatic Microbial Ecology. Lewis Publishers, Boca Raton</w:t>
      </w:r>
      <w:r>
        <w:t xml:space="preserve"> </w:t>
      </w:r>
      <w:r>
        <w:rPr>
          <w:b/>
          <w:bCs/>
        </w:rPr>
        <w:t xml:space="preserve">1993</w:t>
      </w:r>
      <w:r>
        <w:t xml:space="preserve">, 207–212.</w:t>
      </w:r>
    </w:p>
    <w:bookmarkEnd w:id="179"/>
    <w:bookmarkStart w:id="180" w:name="ref-komarek1998cyanoprokaryota"/>
    <w:p>
      <w:pPr>
        <w:pStyle w:val="Bibliography"/>
      </w:pPr>
      <w:r>
        <w:t xml:space="preserve">(53)</w:t>
      </w:r>
      <w:r>
        <w:t xml:space="preserve"> </w:t>
      </w:r>
      <w:r>
        <w:t xml:space="preserve">	</w:t>
      </w:r>
      <w:r>
        <w:t xml:space="preserve">Komárek, J.; Anagnostidis, K.</w:t>
      </w:r>
      <w:r>
        <w:t xml:space="preserve"> </w:t>
      </w:r>
      <w:r>
        <w:rPr>
          <w:i/>
          <w:iCs/>
        </w:rPr>
        <w:t xml:space="preserve">Cyanoprokaryota 1</w:t>
      </w:r>
      <w:r>
        <w:t xml:space="preserve">; Deu, 1998; Vol. 19(1).</w:t>
      </w:r>
    </w:p>
    <w:bookmarkEnd w:id="180"/>
    <w:bookmarkStart w:id="181" w:name="ref-komarek2014taxonomic"/>
    <w:p>
      <w:pPr>
        <w:pStyle w:val="Bibliography"/>
      </w:pPr>
      <w:r>
        <w:t xml:space="preserve">(54)</w:t>
      </w:r>
      <w:r>
        <w:t xml:space="preserve"> </w:t>
      </w:r>
      <w:r>
        <w:t xml:space="preserve">	</w:t>
      </w:r>
      <w:r>
        <w:t xml:space="preserve">Komarek, J.; Kastovsky, J.; Mares, J.; Johansen, J. R. Taxonomic Classification of Cyanoprokaryotes (Cyanobacterial Genera) 2014, Using a Polyphasic Approach.</w:t>
      </w:r>
      <w:r>
        <w:t xml:space="preserve"> </w:t>
      </w:r>
      <w:r>
        <w:rPr>
          <w:i/>
          <w:iCs/>
        </w:rPr>
        <w:t xml:space="preserve">Preslia</w:t>
      </w:r>
      <w:r>
        <w:t xml:space="preserve"> </w:t>
      </w:r>
      <w:r>
        <w:rPr>
          <w:b/>
          <w:bCs/>
        </w:rPr>
        <w:t xml:space="preserve">2014</w:t>
      </w:r>
      <w:r>
        <w:t xml:space="preserve">,</w:t>
      </w:r>
      <w:r>
        <w:t xml:space="preserve"> </w:t>
      </w:r>
      <w:r>
        <w:rPr>
          <w:i/>
          <w:iCs/>
        </w:rPr>
        <w:t xml:space="preserve">86</w:t>
      </w:r>
      <w:r>
        <w:t xml:space="preserve">, 295–335.</w:t>
      </w:r>
    </w:p>
    <w:bookmarkEnd w:id="181"/>
    <w:bookmarkStart w:id="182" w:name="ref-utermohl1958vervollkommnung"/>
    <w:p>
      <w:pPr>
        <w:pStyle w:val="Bibliography"/>
      </w:pPr>
      <w:r>
        <w:t xml:space="preserve">(55)</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1958</w:t>
      </w:r>
      <w:r>
        <w:t xml:space="preserve">,</w:t>
      </w:r>
      <w:r>
        <w:t xml:space="preserve"> </w:t>
      </w:r>
      <w:r>
        <w:rPr>
          <w:i/>
          <w:iCs/>
        </w:rPr>
        <w:t xml:space="preserve">9</w:t>
      </w:r>
      <w:r>
        <w:t xml:space="preserve">, 1–38.</w:t>
      </w:r>
    </w:p>
    <w:bookmarkEnd w:id="182"/>
    <w:bookmarkStart w:id="184" w:name="ref-li2010cyanobacterial"/>
    <w:p>
      <w:pPr>
        <w:pStyle w:val="Bibliography"/>
      </w:pPr>
      <w:r>
        <w:t xml:space="preserve">(56)</w:t>
      </w:r>
      <w:r>
        <w:t xml:space="preserve"> </w:t>
      </w:r>
      <w:r>
        <w:t xml:space="preserve">	</w:t>
      </w:r>
      <w:r>
        <w:t xml:space="preserve">Li, Z.; Yu, J.; Yang, M.; Zhang, J.; Burch, M. D.; Han, W. Cyanobacterial Population and Harmful Metabolites Dynamics During a Bloom in Yanghe Reservoir, North</w:t>
      </w:r>
      <w:r>
        <w:t xml:space="preserve"> </w:t>
      </w:r>
      <w:r>
        <w:t xml:space="preserve">China</w:t>
      </w:r>
      <w:r>
        <w:t xml:space="preserve">.</w:t>
      </w:r>
      <w:r>
        <w:t xml:space="preserve"> </w:t>
      </w:r>
      <w:r>
        <w:rPr>
          <w:i/>
          <w:iCs/>
        </w:rPr>
        <w:t xml:space="preserve">Harmful Algae</w:t>
      </w:r>
      <w:r>
        <w:t xml:space="preserve"> </w:t>
      </w:r>
      <w:r>
        <w:rPr>
          <w:b/>
          <w:bCs/>
        </w:rPr>
        <w:t xml:space="preserve">2010</w:t>
      </w:r>
      <w:r>
        <w:t xml:space="preserve">,</w:t>
      </w:r>
      <w:r>
        <w:t xml:space="preserve"> </w:t>
      </w:r>
      <w:r>
        <w:rPr>
          <w:i/>
          <w:iCs/>
        </w:rPr>
        <w:t xml:space="preserve">9</w:t>
      </w:r>
      <w:r>
        <w:t xml:space="preserve"> </w:t>
      </w:r>
      <w:r>
        <w:t xml:space="preserve">(5), 481–488. https://doi.org/</w:t>
      </w:r>
      <w:hyperlink r:id="rId183">
        <w:r>
          <w:rPr>
            <w:rStyle w:val="Hyperlink"/>
          </w:rPr>
          <w:t xml:space="preserve">10.1016/j.hal.2010.03.003</w:t>
        </w:r>
      </w:hyperlink>
      <w:r>
        <w:t xml:space="preserve">.</w:t>
      </w:r>
    </w:p>
    <w:bookmarkEnd w:id="184"/>
    <w:bookmarkStart w:id="186" w:name="ref-liang2005removal"/>
    <w:p>
      <w:pPr>
        <w:pStyle w:val="Bibliography"/>
      </w:pPr>
      <w:r>
        <w:t xml:space="preserve">(57)</w:t>
      </w:r>
      <w:r>
        <w:t xml:space="preserve"> </w:t>
      </w:r>
      <w:r>
        <w:t xml:space="preserve">	</w:t>
      </w:r>
      <w:r>
        <w:t xml:space="preserve">Liang, C.; Wang, D.; Yang, M.; Sun, W.; Zhang, S. Removal of Eathy-Must Odorants in Drinking Water by Powdered Activated Carbon.</w:t>
      </w:r>
      <w:r>
        <w:t xml:space="preserve"> </w:t>
      </w:r>
      <w:r>
        <w:rPr>
          <w:i/>
          <w:iCs/>
        </w:rPr>
        <w:t xml:space="preserve">Journal of Environmental Science and Health</w:t>
      </w:r>
      <w:r>
        <w:t xml:space="preserve"> </w:t>
      </w:r>
      <w:r>
        <w:rPr>
          <w:b/>
          <w:bCs/>
        </w:rPr>
        <w:t xml:space="preserve">2005</w:t>
      </w:r>
      <w:r>
        <w:t xml:space="preserve">,</w:t>
      </w:r>
      <w:r>
        <w:t xml:space="preserve"> </w:t>
      </w:r>
      <w:r>
        <w:rPr>
          <w:i/>
          <w:iCs/>
        </w:rPr>
        <w:t xml:space="preserve">40</w:t>
      </w:r>
      <w:r>
        <w:t xml:space="preserve"> </w:t>
      </w:r>
      <w:r>
        <w:t xml:space="preserve">(4), 767–778. https://doi.org/</w:t>
      </w:r>
      <w:hyperlink r:id="rId185">
        <w:r>
          <w:rPr>
            <w:rStyle w:val="Hyperlink"/>
          </w:rPr>
          <w:t xml:space="preserve">10.1081/ese-200048262</w:t>
        </w:r>
      </w:hyperlink>
      <w:r>
        <w:t xml:space="preserve">.</w:t>
      </w:r>
    </w:p>
    <w:bookmarkEnd w:id="186"/>
    <w:bookmarkStart w:id="188" w:name="ref-liu2019production"/>
    <w:p>
      <w:pPr>
        <w:pStyle w:val="Bibliography"/>
      </w:pPr>
      <w:r>
        <w:t xml:space="preserve">(58)</w:t>
      </w:r>
      <w:r>
        <w:t xml:space="preserve"> </w:t>
      </w:r>
      <w:r>
        <w:t xml:space="preserve">	</w:t>
      </w:r>
      <w:r>
        <w:t xml:space="preserve">Liu, T.; Yu, J.; Su, M.; Jia, Z.; Wang, C.; Zhang, Y.; Dou, C.; Burch, M.; Yang, M. Production and Fate of Fishy Odorants Produced by Two Freshwater Chrysophyte Species Under Different Temperature and Light Conditions.</w:t>
      </w:r>
      <w:r>
        <w:t xml:space="preserve"> </w:t>
      </w:r>
      <w:r>
        <w:rPr>
          <w:i/>
          <w:iCs/>
        </w:rPr>
        <w:t xml:space="preserve">Water Research</w:t>
      </w:r>
      <w:r>
        <w:t xml:space="preserve"> </w:t>
      </w:r>
      <w:r>
        <w:rPr>
          <w:b/>
          <w:bCs/>
        </w:rPr>
        <w:t xml:space="preserve">2019</w:t>
      </w:r>
      <w:r>
        <w:t xml:space="preserve">,</w:t>
      </w:r>
      <w:r>
        <w:t xml:space="preserve"> </w:t>
      </w:r>
      <w:r>
        <w:rPr>
          <w:i/>
          <w:iCs/>
        </w:rPr>
        <w:t xml:space="preserve">157</w:t>
      </w:r>
      <w:r>
        <w:t xml:space="preserve">, 529–534. https://doi.org/</w:t>
      </w:r>
      <w:hyperlink r:id="rId187">
        <w:r>
          <w:rPr>
            <w:rStyle w:val="Hyperlink"/>
          </w:rPr>
          <w:t xml:space="preserve">10.1016/j.watres.2019.04.004</w:t>
        </w:r>
      </w:hyperlink>
      <w:r>
        <w:t xml:space="preserve">.</w:t>
      </w:r>
    </w:p>
    <w:bookmarkEnd w:id="188"/>
    <w:bookmarkStart w:id="190" w:name="ref-perkins2019managing"/>
    <w:p>
      <w:pPr>
        <w:pStyle w:val="Bibliography"/>
      </w:pPr>
      <w:r>
        <w:t xml:space="preserve">(59)</w:t>
      </w:r>
      <w:r>
        <w:t xml:space="preserve"> </w:t>
      </w:r>
      <w:r>
        <w:t xml:space="preserve">	</w:t>
      </w:r>
      <w:r>
        <w:t xml:space="preserve">Perkins, R. G.; Slavin, E. I.; Andrade, T. M. C.; Blenkinsopp, C.; Pearson, P.; Froggatt, T.; Godwin, G.; Parslow, J.; Hurley, S.; Luckwell, R.; Wain, D. J. Managing Taste and Odour Metabolite Production in Drinking Water Reservoirs: The Importance of Ammonium as a Key Nutrient Trigger.</w:t>
      </w:r>
      <w:r>
        <w:t xml:space="preserve"> </w:t>
      </w:r>
      <w:r>
        <w:rPr>
          <w:i/>
          <w:iCs/>
        </w:rPr>
        <w:t xml:space="preserve">Journal of Environmental Management</w:t>
      </w:r>
      <w:r>
        <w:t xml:space="preserve"> </w:t>
      </w:r>
      <w:r>
        <w:rPr>
          <w:b/>
          <w:bCs/>
        </w:rPr>
        <w:t xml:space="preserve">2019</w:t>
      </w:r>
      <w:r>
        <w:t xml:space="preserve">,</w:t>
      </w:r>
      <w:r>
        <w:t xml:space="preserve"> </w:t>
      </w:r>
      <w:r>
        <w:rPr>
          <w:i/>
          <w:iCs/>
        </w:rPr>
        <w:t xml:space="preserve">244</w:t>
      </w:r>
      <w:r>
        <w:t xml:space="preserve">, 276–284. https://doi.org/</w:t>
      </w:r>
      <w:hyperlink r:id="rId189">
        <w:r>
          <w:rPr>
            <w:rStyle w:val="Hyperlink"/>
          </w:rPr>
          <w:t xml:space="preserve">10.1016/j.jenvman.2019.04.123</w:t>
        </w:r>
      </w:hyperlink>
      <w:r>
        <w:t xml:space="preserve">.</w:t>
      </w:r>
    </w:p>
    <w:bookmarkEnd w:id="190"/>
    <w:bookmarkStart w:id="192" w:name="ref-bafford1993intracellular"/>
    <w:p>
      <w:pPr>
        <w:pStyle w:val="Bibliography"/>
      </w:pPr>
      <w:r>
        <w:t xml:space="preserve">(60)</w:t>
      </w:r>
      <w:r>
        <w:t xml:space="preserve"> </w:t>
      </w:r>
      <w:r>
        <w:t xml:space="preserve">	</w:t>
      </w:r>
      <w:r>
        <w:t xml:space="preserve">Bafford, R. A.; Seagull, R. W.; Chung, S.; Millie, D. F. INTRACELLULAR LOCALIZATION OF THE TASTE/ODOR METABOLITE 2‐METHYLISOBORNEOL IN OSCILLATORIA LIMOSA (CYANOPHYTA)1.</w:t>
      </w:r>
      <w:r>
        <w:t xml:space="preserve"> </w:t>
      </w:r>
      <w:r>
        <w:rPr>
          <w:i/>
          <w:iCs/>
        </w:rPr>
        <w:t xml:space="preserve">Journal of Phycology</w:t>
      </w:r>
      <w:r>
        <w:t xml:space="preserve"> </w:t>
      </w:r>
      <w:r>
        <w:rPr>
          <w:b/>
          <w:bCs/>
        </w:rPr>
        <w:t xml:space="preserve">1993</w:t>
      </w:r>
      <w:r>
        <w:t xml:space="preserve">,</w:t>
      </w:r>
      <w:r>
        <w:t xml:space="preserve"> </w:t>
      </w:r>
      <w:r>
        <w:rPr>
          <w:i/>
          <w:iCs/>
        </w:rPr>
        <w:t xml:space="preserve">29</w:t>
      </w:r>
      <w:r>
        <w:t xml:space="preserve"> </w:t>
      </w:r>
      <w:r>
        <w:t xml:space="preserve">(1), 91–95. https://doi.org/</w:t>
      </w:r>
      <w:hyperlink r:id="rId191">
        <w:r>
          <w:rPr>
            <w:rStyle w:val="Hyperlink"/>
          </w:rPr>
          <w:t xml:space="preserve">10.1111/j.1529-8817.1993.tb00285.x</w:t>
        </w:r>
      </w:hyperlink>
      <w:r>
        <w:t xml:space="preserve">.</w:t>
      </w:r>
    </w:p>
    <w:bookmarkEnd w:id="192"/>
    <w:bookmarkStart w:id="194" w:name="ref-pavel2018contact"/>
    <w:p>
      <w:pPr>
        <w:pStyle w:val="Bibliography"/>
      </w:pPr>
      <w:r>
        <w:t xml:space="preserve">(61)</w:t>
      </w:r>
      <w:r>
        <w:t xml:space="preserve"> </w:t>
      </w:r>
      <w:r>
        <w:t xml:space="preserve">	</w:t>
      </w:r>
      <w:r>
        <w:t xml:space="preserve">Pavel, M.; Renna, M.; Park, S. J.; Menzies, F. M.; Ricketts, T.; Füllgrabe, J.; Ashkenazi, A.; Frake, R. A.; Lombarte, A. C.; Bento, C. F.; Franze, K.; Rubinsztein, D. C. Contact Inhibition Controls Cell Survival and Proliferation via YAP/TAZ-Autophagy Axis.</w:t>
      </w:r>
      <w:r>
        <w:t xml:space="preserve"> </w:t>
      </w:r>
      <w:r>
        <w:rPr>
          <w:i/>
          <w:iCs/>
        </w:rPr>
        <w:t xml:space="preserve">Nature Communications</w:t>
      </w:r>
      <w:r>
        <w:t xml:space="preserve"> </w:t>
      </w:r>
      <w:r>
        <w:rPr>
          <w:b/>
          <w:bCs/>
        </w:rPr>
        <w:t xml:space="preserve">2018</w:t>
      </w:r>
      <w:r>
        <w:t xml:space="preserve">,</w:t>
      </w:r>
      <w:r>
        <w:t xml:space="preserve"> </w:t>
      </w:r>
      <w:r>
        <w:rPr>
          <w:i/>
          <w:iCs/>
        </w:rPr>
        <w:t xml:space="preserve">9</w:t>
      </w:r>
      <w:r>
        <w:t xml:space="preserve"> </w:t>
      </w:r>
      <w:r>
        <w:t xml:space="preserve">(1). https://doi.org/</w:t>
      </w:r>
      <w:hyperlink r:id="rId193">
        <w:r>
          <w:rPr>
            <w:rStyle w:val="Hyperlink"/>
          </w:rPr>
          <w:t xml:space="preserve">10.1038/s41467-018-05388-x</w:t>
        </w:r>
      </w:hyperlink>
      <w:r>
        <w:t xml:space="preserve">.</w:t>
      </w:r>
    </w:p>
    <w:bookmarkEnd w:id="194"/>
    <w:bookmarkStart w:id="196" w:name="ref-li2022cooccurrence"/>
    <w:p>
      <w:pPr>
        <w:pStyle w:val="Bibliography"/>
      </w:pPr>
      <w:r>
        <w:t xml:space="preserve">(62)</w:t>
      </w:r>
      <w:r>
        <w:t xml:space="preserve"> </w:t>
      </w:r>
      <w:r>
        <w:t xml:space="preserve">	</w:t>
      </w:r>
      <w:r>
        <w:t xml:space="preserve">Li, H.; Gu, X.; Chen, H.; Mao, Z.; Shen, R.; Zeng, Q.; Ge, Y. Co-Occurrence of Multiple Cyanotoxins and Taste-and-Odor Compounds in the Large Eutrophic Lake Taihu, China: Dynamics, Driving Factors, and Challenges for Risk Assessment.</w:t>
      </w:r>
      <w:r>
        <w:t xml:space="preserve"> </w:t>
      </w:r>
      <w:r>
        <w:rPr>
          <w:i/>
          <w:iCs/>
        </w:rPr>
        <w:t xml:space="preserve">Environmental Pollution</w:t>
      </w:r>
      <w:r>
        <w:t xml:space="preserve"> </w:t>
      </w:r>
      <w:r>
        <w:rPr>
          <w:b/>
          <w:bCs/>
        </w:rPr>
        <w:t xml:space="preserve">2022</w:t>
      </w:r>
      <w:r>
        <w:t xml:space="preserve">,</w:t>
      </w:r>
      <w:r>
        <w:t xml:space="preserve"> </w:t>
      </w:r>
      <w:r>
        <w:rPr>
          <w:i/>
          <w:iCs/>
        </w:rPr>
        <w:t xml:space="preserve">294</w:t>
      </w:r>
      <w:r>
        <w:t xml:space="preserve">, 118594. https://doi.org/</w:t>
      </w:r>
      <w:hyperlink r:id="rId195">
        <w:r>
          <w:rPr>
            <w:rStyle w:val="Hyperlink"/>
          </w:rPr>
          <w:t xml:space="preserve">10.1016/j.envpol.2021.118594</w:t>
        </w:r>
      </w:hyperlink>
      <w:r>
        <w:t xml:space="preserve">.</w:t>
      </w:r>
    </w:p>
    <w:bookmarkEnd w:id="196"/>
    <w:bookmarkStart w:id="198" w:name="ref-shi2023distribution"/>
    <w:p>
      <w:pPr>
        <w:pStyle w:val="Bibliography"/>
      </w:pPr>
      <w:r>
        <w:t xml:space="preserve">(63)</w:t>
      </w:r>
      <w:r>
        <w:t xml:space="preserve"> </w:t>
      </w:r>
      <w:r>
        <w:t xml:space="preserve">	</w:t>
      </w:r>
      <w:r>
        <w:t xml:space="preserve">Shi, X.; Huang, Q.; Shen, X.; Wu, J.; Nan, J.; Li, J.; Lu, H.; Yang, C. Distribution, Driving Forces, and Risk Assessment of 2-MIB and Its Producer in a Drinking Water Source-Oriented Shallow Lake.</w:t>
      </w:r>
      <w:r>
        <w:t xml:space="preserve"> </w:t>
      </w:r>
      <w:r>
        <w:rPr>
          <w:i/>
          <w:iCs/>
        </w:rPr>
        <w:t xml:space="preserve">Environmental Science and Pollution Research</w:t>
      </w:r>
      <w:r>
        <w:t xml:space="preserve"> </w:t>
      </w:r>
      <w:r>
        <w:rPr>
          <w:b/>
          <w:bCs/>
        </w:rPr>
        <w:t xml:space="preserve">2023</w:t>
      </w:r>
      <w:r>
        <w:t xml:space="preserve">,</w:t>
      </w:r>
      <w:r>
        <w:t xml:space="preserve"> </w:t>
      </w:r>
      <w:r>
        <w:rPr>
          <w:i/>
          <w:iCs/>
        </w:rPr>
        <w:t xml:space="preserve">30</w:t>
      </w:r>
      <w:r>
        <w:t xml:space="preserve"> </w:t>
      </w:r>
      <w:r>
        <w:t xml:space="preserve">(27), 71194–71208. https://doi.org/</w:t>
      </w:r>
      <w:hyperlink r:id="rId197">
        <w:r>
          <w:rPr>
            <w:rStyle w:val="Hyperlink"/>
          </w:rPr>
          <w:t xml:space="preserve">10.1007/s11356-023-27506-z</w:t>
        </w:r>
      </w:hyperlink>
      <w:r>
        <w:t xml:space="preserve">.</w:t>
      </w:r>
    </w:p>
    <w:bookmarkEnd w:id="198"/>
    <w:bookmarkStart w:id="200" w:name="ref-qi2020characterization"/>
    <w:p>
      <w:pPr>
        <w:pStyle w:val="Bibliography"/>
      </w:pPr>
      <w:r>
        <w:t xml:space="preserve">(64)</w:t>
      </w:r>
      <w:r>
        <w:t xml:space="preserve"> </w:t>
      </w:r>
      <w:r>
        <w:t xml:space="preserve">	</w:t>
      </w:r>
      <w:r>
        <w:t xml:space="preserve">Qi, C.; Fang, J.; Wang, G.; Huang, H.; Wang, Z.; Si, Z.; Zhang, L. Characterization of Odorants in Contrasting Ecotypes of Lake Taihu: Algae-Dominated Versus Macrophyte-Dominated Zones.</w:t>
      </w:r>
      <w:r>
        <w:t xml:space="preserve"> </w:t>
      </w:r>
      <w:r>
        <w:rPr>
          <w:i/>
          <w:iCs/>
        </w:rPr>
        <w:t xml:space="preserve">Environmental Science and Pollution Research</w:t>
      </w:r>
      <w:r>
        <w:t xml:space="preserve"> </w:t>
      </w:r>
      <w:r>
        <w:rPr>
          <w:b/>
          <w:bCs/>
        </w:rPr>
        <w:t xml:space="preserve">2020</w:t>
      </w:r>
      <w:r>
        <w:t xml:space="preserve">,</w:t>
      </w:r>
      <w:r>
        <w:t xml:space="preserve"> </w:t>
      </w:r>
      <w:r>
        <w:rPr>
          <w:i/>
          <w:iCs/>
        </w:rPr>
        <w:t xml:space="preserve">27</w:t>
      </w:r>
      <w:r>
        <w:t xml:space="preserve"> </w:t>
      </w:r>
      <w:r>
        <w:t xml:space="preserve">(34), 42221–42229. https://doi.org/</w:t>
      </w:r>
      <w:hyperlink r:id="rId199">
        <w:r>
          <w:rPr>
            <w:rStyle w:val="Hyperlink"/>
          </w:rPr>
          <w:t xml:space="preserve">10.1007/s11356-020-07896-0</w:t>
        </w:r>
      </w:hyperlink>
      <w:r>
        <w:t xml:space="preserve">.</w:t>
      </w:r>
    </w:p>
    <w:bookmarkEnd w:id="200"/>
    <w:bookmarkStart w:id="202" w:name="ref-rong2018source"/>
    <w:p>
      <w:pPr>
        <w:pStyle w:val="Bibliography"/>
      </w:pPr>
      <w:r>
        <w:t xml:space="preserve">(65)</w:t>
      </w:r>
      <w:r>
        <w:t xml:space="preserve"> </w:t>
      </w:r>
      <w:r>
        <w:t xml:space="preserve">	</w:t>
      </w:r>
      <w:r>
        <w:t xml:space="preserve">Rong, C.; Liu, D.; Li, Y.; Yang, K.; Han, X.; Yu, J.; Pan, B.; Zhang, J.; Yang, M. Source Water Odor in One Reservoir in Hot and Humid Areas of Southern</w:t>
      </w:r>
      <w:r>
        <w:t xml:space="preserve"> </w:t>
      </w:r>
      <w:r>
        <w:t xml:space="preserve">China</w:t>
      </w:r>
      <w:r>
        <w:t xml:space="preserve">: Occurrence, Diagnosis and Possible Mitigation Measures.</w:t>
      </w:r>
      <w:r>
        <w:t xml:space="preserve"> </w:t>
      </w:r>
      <w:r>
        <w:rPr>
          <w:i/>
          <w:iCs/>
        </w:rPr>
        <w:t xml:space="preserve">Environmental Sciences Europe</w:t>
      </w:r>
      <w:r>
        <w:t xml:space="preserve"> </w:t>
      </w:r>
      <w:r>
        <w:rPr>
          <w:b/>
          <w:bCs/>
        </w:rPr>
        <w:t xml:space="preserve">2018</w:t>
      </w:r>
      <w:r>
        <w:t xml:space="preserve">,</w:t>
      </w:r>
      <w:r>
        <w:t xml:space="preserve"> </w:t>
      </w:r>
      <w:r>
        <w:rPr>
          <w:i/>
          <w:iCs/>
        </w:rPr>
        <w:t xml:space="preserve">30</w:t>
      </w:r>
      <w:r>
        <w:t xml:space="preserve"> </w:t>
      </w:r>
      <w:r>
        <w:t xml:space="preserve">(1). https://doi.org/</w:t>
      </w:r>
      <w:hyperlink r:id="rId201">
        <w:r>
          <w:rPr>
            <w:rStyle w:val="Hyperlink"/>
          </w:rPr>
          <w:t xml:space="preserve">10.1186/s12302-018-0175-8</w:t>
        </w:r>
      </w:hyperlink>
      <w:r>
        <w:t xml:space="preserve">.</w:t>
      </w:r>
    </w:p>
    <w:bookmarkEnd w:id="202"/>
    <w:bookmarkStart w:id="204" w:name="ref-su2022lightdominated"/>
    <w:p>
      <w:pPr>
        <w:pStyle w:val="Bibliography"/>
      </w:pPr>
      <w:r>
        <w:t xml:space="preserve">(66)</w:t>
      </w:r>
      <w:r>
        <w:t xml:space="preserve"> </w:t>
      </w:r>
      <w:r>
        <w:t xml:space="preserve">	</w:t>
      </w:r>
      <w:r>
        <w:t xml:space="preserve">Su, M.; Zhu, Y.; Andersen, T.; Wang, X.; Yu, Z.; Lu, J.; Song, Y.; Cao, T.; Yu, J.; Zhang, Y.; Yang, M. Light-Dominated Selection Shaping Filamentous Cyanobacterial Assemblages Drives Odor Problem in a Drinking Water Reservoir.</w:t>
      </w:r>
      <w:r>
        <w:t xml:space="preserve"> </w:t>
      </w:r>
      <w:r>
        <w:rPr>
          <w:i/>
          <w:iCs/>
        </w:rPr>
        <w:t xml:space="preserve">npj Clean Water</w:t>
      </w:r>
      <w:r>
        <w:t xml:space="preserve"> </w:t>
      </w:r>
      <w:r>
        <w:rPr>
          <w:b/>
          <w:bCs/>
        </w:rPr>
        <w:t xml:space="preserve">2022</w:t>
      </w:r>
      <w:r>
        <w:t xml:space="preserve">,</w:t>
      </w:r>
      <w:r>
        <w:t xml:space="preserve"> </w:t>
      </w:r>
      <w:r>
        <w:rPr>
          <w:i/>
          <w:iCs/>
        </w:rPr>
        <w:t xml:space="preserve">5</w:t>
      </w:r>
      <w:r>
        <w:t xml:space="preserve"> </w:t>
      </w:r>
      <w:r>
        <w:t xml:space="preserve">(1), 37. https://doi.org/</w:t>
      </w:r>
      <w:hyperlink r:id="rId203">
        <w:r>
          <w:rPr>
            <w:rStyle w:val="Hyperlink"/>
          </w:rPr>
          <w:t xml:space="preserve">10.1038/s41545-022-00181-2</w:t>
        </w:r>
      </w:hyperlink>
      <w:r>
        <w:t xml:space="preserve">.</w:t>
      </w:r>
    </w:p>
    <w:bookmarkEnd w:id="204"/>
    <w:bookmarkStart w:id="206" w:name="ref-nan2021enclosure"/>
    <w:p>
      <w:pPr>
        <w:pStyle w:val="Bibliography"/>
      </w:pPr>
      <w:r>
        <w:t xml:space="preserve">(67)</w:t>
      </w:r>
      <w:r>
        <w:t xml:space="preserve"> </w:t>
      </w:r>
      <w:r>
        <w:t xml:space="preserve">	</w:t>
      </w:r>
      <w:r>
        <w:t xml:space="preserve">Nan, J.; Yang, C.; Yu, H.; Shi, X.; Huang, Q.; Huang, J.; Li, J. Enclosure Culture Ban and Its Effects on Water Quality and Phytoplankton Community in a Subtropical Shallow Lake.</w:t>
      </w:r>
      <w:r>
        <w:t xml:space="preserve"> </w:t>
      </w:r>
      <w:r>
        <w:rPr>
          <w:i/>
          <w:iCs/>
        </w:rPr>
        <w:t xml:space="preserve">Aquaculture Research</w:t>
      </w:r>
      <w:r>
        <w:t xml:space="preserve"> </w:t>
      </w:r>
      <w:r>
        <w:rPr>
          <w:b/>
          <w:bCs/>
        </w:rPr>
        <w:t xml:space="preserve">2021</w:t>
      </w:r>
      <w:r>
        <w:t xml:space="preserve">,</w:t>
      </w:r>
      <w:r>
        <w:t xml:space="preserve"> </w:t>
      </w:r>
      <w:r>
        <w:rPr>
          <w:i/>
          <w:iCs/>
        </w:rPr>
        <w:t xml:space="preserve">53</w:t>
      </w:r>
      <w:r>
        <w:t xml:space="preserve"> </w:t>
      </w:r>
      <w:r>
        <w:t xml:space="preserve">(1), 221–231. https://doi.org/</w:t>
      </w:r>
      <w:hyperlink r:id="rId205">
        <w:r>
          <w:rPr>
            <w:rStyle w:val="Hyperlink"/>
          </w:rPr>
          <w:t xml:space="preserve">10.1111/are.15568</w:t>
        </w:r>
      </w:hyperlink>
      <w:r>
        <w:t xml:space="preserve">.</w:t>
      </w:r>
    </w:p>
    <w:bookmarkEnd w:id="206"/>
    <w:bookmarkStart w:id="208" w:name="ref-wang2019causality"/>
    <w:p>
      <w:pPr>
        <w:pStyle w:val="Bibliography"/>
      </w:pPr>
      <w:r>
        <w:t xml:space="preserve">(68)</w:t>
      </w:r>
      <w:r>
        <w:t xml:space="preserve"> </w:t>
      </w:r>
      <w:r>
        <w:t xml:space="preserve">	</w:t>
      </w:r>
      <w:r>
        <w:t xml:space="preserve">Wang, M.; Yoshimura, C.; Allam, A.; Kimura, F.; Honma, T. Causality Analysis and Prediction of 2-Methylisoborneol Production in a Reservoir Using Empirical Dynamic Modeling.</w:t>
      </w:r>
      <w:r>
        <w:t xml:space="preserve"> </w:t>
      </w:r>
      <w:r>
        <w:rPr>
          <w:i/>
          <w:iCs/>
        </w:rPr>
        <w:t xml:space="preserve">Water Research</w:t>
      </w:r>
      <w:r>
        <w:t xml:space="preserve"> </w:t>
      </w:r>
      <w:r>
        <w:rPr>
          <w:b/>
          <w:bCs/>
        </w:rPr>
        <w:t xml:space="preserve">2019</w:t>
      </w:r>
      <w:r>
        <w:t xml:space="preserve">,</w:t>
      </w:r>
      <w:r>
        <w:t xml:space="preserve"> </w:t>
      </w:r>
      <w:r>
        <w:rPr>
          <w:i/>
          <w:iCs/>
        </w:rPr>
        <w:t xml:space="preserve">163</w:t>
      </w:r>
      <w:r>
        <w:t xml:space="preserve">, 114864. https://doi.org/</w:t>
      </w:r>
      <w:hyperlink r:id="rId207">
        <w:r>
          <w:rPr>
            <w:rStyle w:val="Hyperlink"/>
          </w:rPr>
          <w:t xml:space="preserve">10.1016/j.watres.2019.114864</w:t>
        </w:r>
      </w:hyperlink>
      <w:r>
        <w:t xml:space="preserve">.</w:t>
      </w:r>
    </w:p>
    <w:bookmarkEnd w:id="208"/>
    <w:bookmarkStart w:id="210" w:name="ref-yu2019taste"/>
    <w:p>
      <w:pPr>
        <w:pStyle w:val="Bibliography"/>
      </w:pPr>
      <w:r>
        <w:t xml:space="preserve">(69)</w:t>
      </w:r>
      <w:r>
        <w:t xml:space="preserve"> </w:t>
      </w:r>
      <w:r>
        <w:t xml:space="preserve">	</w:t>
      </w:r>
      <w:r>
        <w:t xml:space="preserve">Yu, C.; Shi, C.; Ji, M.; Xu, X.; Zhang, Z.; Ma, J.; Wang, G. Taste and Odor Compounds Associated with Aquatic Plants in Taihu Lake: Distribution and Producing Potential.</w:t>
      </w:r>
      <w:r>
        <w:t xml:space="preserve"> </w:t>
      </w:r>
      <w:r>
        <w:rPr>
          <w:i/>
          <w:iCs/>
        </w:rPr>
        <w:t xml:space="preserve">Environmental Science and Pollution Research</w:t>
      </w:r>
      <w:r>
        <w:t xml:space="preserve"> </w:t>
      </w:r>
      <w:r>
        <w:rPr>
          <w:b/>
          <w:bCs/>
        </w:rPr>
        <w:t xml:space="preserve">2019</w:t>
      </w:r>
      <w:r>
        <w:t xml:space="preserve">,</w:t>
      </w:r>
      <w:r>
        <w:t xml:space="preserve"> </w:t>
      </w:r>
      <w:r>
        <w:rPr>
          <w:i/>
          <w:iCs/>
        </w:rPr>
        <w:t xml:space="preserve">26</w:t>
      </w:r>
      <w:r>
        <w:t xml:space="preserve"> </w:t>
      </w:r>
      <w:r>
        <w:t xml:space="preserve">(33), 34510–34520. https://doi.org/</w:t>
      </w:r>
      <w:hyperlink r:id="rId209">
        <w:r>
          <w:rPr>
            <w:rStyle w:val="Hyperlink"/>
          </w:rPr>
          <w:t xml:space="preserve">10.1007/s11356-019-06188-6</w:t>
        </w:r>
      </w:hyperlink>
      <w:r>
        <w:t xml:space="preserve">.</w:t>
      </w:r>
    </w:p>
    <w:bookmarkEnd w:id="210"/>
    <w:bookmarkStart w:id="212" w:name="ref-su2019succession"/>
    <w:p>
      <w:pPr>
        <w:pStyle w:val="Bibliography"/>
      </w:pPr>
      <w:r>
        <w:t xml:space="preserve">(70)</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11">
        <w:r>
          <w:rPr>
            <w:rStyle w:val="Hyperlink"/>
          </w:rPr>
          <w:t xml:space="preserve">J.scitotenv.2018.08.307</w:t>
        </w:r>
      </w:hyperlink>
      <w:r>
        <w:t xml:space="preserve">.</w:t>
      </w:r>
    </w:p>
    <w:bookmarkEnd w:id="212"/>
    <w:bookmarkStart w:id="214" w:name="ref-xuwei2019the"/>
    <w:p>
      <w:pPr>
        <w:pStyle w:val="Bibliography"/>
      </w:pPr>
      <w:r>
        <w:t xml:space="preserve">(71)</w:t>
      </w:r>
      <w:r>
        <w:t xml:space="preserve"> </w:t>
      </w:r>
      <w:r>
        <w:t xml:space="preserve">	</w:t>
      </w:r>
      <w:r>
        <w:t xml:space="preserve">Xuwei, D.; Min, Q.; ren, R.; Jiarui, L.; Xiaoxue, S.; Ping, X.; Jun, C. The Relationships Between Odors and Environmental Factors at Bloom and Non-Bloom Area in Lake Taihu, China.</w:t>
      </w:r>
      <w:r>
        <w:t xml:space="preserve"> </w:t>
      </w:r>
      <w:r>
        <w:rPr>
          <w:i/>
          <w:iCs/>
        </w:rPr>
        <w:t xml:space="preserve">Chemosphere</w:t>
      </w:r>
      <w:r>
        <w:t xml:space="preserve"> </w:t>
      </w:r>
      <w:r>
        <w:rPr>
          <w:b/>
          <w:bCs/>
        </w:rPr>
        <w:t xml:space="preserve">2019</w:t>
      </w:r>
      <w:r>
        <w:t xml:space="preserve">,</w:t>
      </w:r>
      <w:r>
        <w:t xml:space="preserve"> </w:t>
      </w:r>
      <w:r>
        <w:rPr>
          <w:i/>
          <w:iCs/>
        </w:rPr>
        <w:t xml:space="preserve">218</w:t>
      </w:r>
      <w:r>
        <w:t xml:space="preserve">, 569–576. https://doi.org/</w:t>
      </w:r>
      <w:hyperlink r:id="rId213">
        <w:r>
          <w:rPr>
            <w:rStyle w:val="Hyperlink"/>
          </w:rPr>
          <w:t xml:space="preserve">10.1016/j.chemosphere.2018.11.121</w:t>
        </w:r>
      </w:hyperlink>
      <w:r>
        <w:t xml:space="preserve">.</w:t>
      </w:r>
    </w:p>
    <w:bookmarkEnd w:id="214"/>
    <w:bookmarkStart w:id="216" w:name="ref-li2022different"/>
    <w:p>
      <w:pPr>
        <w:pStyle w:val="Bibliography"/>
      </w:pPr>
      <w:r>
        <w:t xml:space="preserve">(72)</w:t>
      </w:r>
      <w:r>
        <w:t xml:space="preserve"> </w:t>
      </w:r>
      <w:r>
        <w:t xml:space="preserve">	</w:t>
      </w:r>
      <w:r>
        <w:t xml:space="preserve">Li, H.; Li, L.; Yin, Q.; Yu, S.; Gao, N.; Wang, X.; Chen, J. Different Drinking Water Production Schemes to Treat Authentic Algae-Laden Source Water: Removal of 2-Methylisoborneol in Different Forms.</w:t>
      </w:r>
      <w:r>
        <w:t xml:space="preserve"> </w:t>
      </w:r>
      <w:r>
        <w:rPr>
          <w:i/>
          <w:iCs/>
        </w:rPr>
        <w:t xml:space="preserve">Chemical Engineering Journal</w:t>
      </w:r>
      <w:r>
        <w:t xml:space="preserve"> </w:t>
      </w:r>
      <w:r>
        <w:rPr>
          <w:b/>
          <w:bCs/>
        </w:rPr>
        <w:t xml:space="preserve">2022</w:t>
      </w:r>
      <w:r>
        <w:t xml:space="preserve">,</w:t>
      </w:r>
      <w:r>
        <w:t xml:space="preserve"> </w:t>
      </w:r>
      <w:r>
        <w:rPr>
          <w:i/>
          <w:iCs/>
        </w:rPr>
        <w:t xml:space="preserve">440</w:t>
      </w:r>
      <w:r>
        <w:t xml:space="preserve">, 135962. https://doi.org/</w:t>
      </w:r>
      <w:hyperlink r:id="rId215">
        <w:r>
          <w:rPr>
            <w:rStyle w:val="Hyperlink"/>
          </w:rPr>
          <w:t xml:space="preserve">10.1016/j.cej.2022.135962</w:t>
        </w:r>
      </w:hyperlink>
      <w:r>
        <w:t xml:space="preserve">.</w:t>
      </w:r>
    </w:p>
    <w:bookmarkEnd w:id="216"/>
    <w:bookmarkStart w:id="218" w:name="ref-zamyadi2015fate"/>
    <w:p>
      <w:pPr>
        <w:pStyle w:val="Bibliography"/>
      </w:pPr>
      <w:r>
        <w:t xml:space="preserve">(73)</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217">
        <w:r>
          <w:rPr>
            <w:rStyle w:val="Hyperlink"/>
          </w:rPr>
          <w:t xml:space="preserve">10.1016/j.watres.2015.06.038</w:t>
        </w:r>
      </w:hyperlink>
      <w:r>
        <w:t xml:space="preserve">.</w:t>
      </w:r>
    </w:p>
    <w:bookmarkEnd w:id="218"/>
    <w:bookmarkStart w:id="220" w:name="ref-drikas2009removal"/>
    <w:p>
      <w:pPr>
        <w:pStyle w:val="Bibliography"/>
      </w:pPr>
      <w:r>
        <w:t xml:space="preserve">(74)</w:t>
      </w:r>
      <w:r>
        <w:t xml:space="preserve"> </w:t>
      </w:r>
      <w:r>
        <w:t xml:space="preserve">	</w:t>
      </w:r>
      <w:r>
        <w:t xml:space="preserve">Drikas, M.; Dixon, M.; Morran, J. Removal of MIB and Geosmin Using Granular Activated Carbon with and Without MIEX Pre-Treatment.</w:t>
      </w:r>
      <w:r>
        <w:t xml:space="preserve"> </w:t>
      </w:r>
      <w:r>
        <w:rPr>
          <w:i/>
          <w:iCs/>
        </w:rPr>
        <w:t xml:space="preserve">Water Research</w:t>
      </w:r>
      <w:r>
        <w:t xml:space="preserve"> </w:t>
      </w:r>
      <w:r>
        <w:rPr>
          <w:b/>
          <w:bCs/>
        </w:rPr>
        <w:t xml:space="preserve">2009</w:t>
      </w:r>
      <w:r>
        <w:t xml:space="preserve">,</w:t>
      </w:r>
      <w:r>
        <w:t xml:space="preserve"> </w:t>
      </w:r>
      <w:r>
        <w:rPr>
          <w:i/>
          <w:iCs/>
        </w:rPr>
        <w:t xml:space="preserve">43</w:t>
      </w:r>
      <w:r>
        <w:t xml:space="preserve"> </w:t>
      </w:r>
      <w:r>
        <w:t xml:space="preserve">(20), 5151–5159. https://doi.org/</w:t>
      </w:r>
      <w:hyperlink r:id="rId219">
        <w:r>
          <w:rPr>
            <w:rStyle w:val="Hyperlink"/>
          </w:rPr>
          <w:t xml:space="preserve">10.1016/j.watres.2009.08.016</w:t>
        </w:r>
      </w:hyperlink>
      <w:r>
        <w:t xml:space="preserve">.</w:t>
      </w:r>
    </w:p>
    <w:bookmarkEnd w:id="220"/>
    <w:bookmarkEnd w:id="221"/>
    <w:bookmarkEnd w:id="222"/>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0" Target="media/rId40.png" /><Relationship Type="http://schemas.openxmlformats.org/officeDocument/2006/relationships/image" Id="rId44" Target="media/rId44.png" /><Relationship Type="http://schemas.openxmlformats.org/officeDocument/2006/relationships/image" Id="rId49" Target="media/rId49.png" /><Relationship Type="http://schemas.openxmlformats.org/officeDocument/2006/relationships/image" Id="rId53" Target="media/rId53.png" /><Relationship Type="http://schemas.openxmlformats.org/officeDocument/2006/relationships/image" Id="rId64" Target="media/rId64.png" /><Relationship Type="http://schemas.openxmlformats.org/officeDocument/2006/relationships/image" Id="rId58" Target="media/rId58.png" /><Relationship Type="http://schemas.openxmlformats.org/officeDocument/2006/relationships/image" Id="rId35" Target="media/rId35.png" /><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09" Target="https://doi.org/10.1007/s11356-019-06188-6" TargetMode="External" /><Relationship Type="http://schemas.openxmlformats.org/officeDocument/2006/relationships/hyperlink" Id="rId199" Target="https://doi.org/10.1007/s11356-020-07896-0" TargetMode="External" /><Relationship Type="http://schemas.openxmlformats.org/officeDocument/2006/relationships/hyperlink" Id="rId197"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15" Target="https://doi.org/10.1016/j.cej.2022.135962" TargetMode="External" /><Relationship Type="http://schemas.openxmlformats.org/officeDocument/2006/relationships/hyperlink" Id="rId213"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195" Target="https://doi.org/10.1016/j.envpol.2021.118594" TargetMode="External" /><Relationship Type="http://schemas.openxmlformats.org/officeDocument/2006/relationships/hyperlink" Id="rId183"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89"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219" Target="https://doi.org/10.1016/j.watres.2009.08.016"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217" Target="https://doi.org/10.1016/j.watres.2015.06.038" TargetMode="External" /><Relationship Type="http://schemas.openxmlformats.org/officeDocument/2006/relationships/hyperlink" Id="rId187"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07"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193"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03"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7" Target="https://doi.org/10.1080/10408398.2011.570463" TargetMode="External" /><Relationship Type="http://schemas.openxmlformats.org/officeDocument/2006/relationships/hyperlink" Id="rId171" Target="https://doi.org/10.1080/10408699891274246" TargetMode="External" /><Relationship Type="http://schemas.openxmlformats.org/officeDocument/2006/relationships/hyperlink" Id="rId185" Target="https://doi.org/10.1081/ese-200048262" TargetMode="External" /><Relationship Type="http://schemas.openxmlformats.org/officeDocument/2006/relationships/hyperlink" Id="rId205"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91"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201" Target="https://doi.org/10.1186/s12302-018-0175-8"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11" Target="https://doi.org/J.scitotenv.2018.08.307"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09" Target="https://doi.org/10.1007/s11356-019-06188-6" TargetMode="External" /><Relationship Type="http://schemas.openxmlformats.org/officeDocument/2006/relationships/hyperlink" Id="rId199" Target="https://doi.org/10.1007/s11356-020-07896-0" TargetMode="External" /><Relationship Type="http://schemas.openxmlformats.org/officeDocument/2006/relationships/hyperlink" Id="rId197"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15" Target="https://doi.org/10.1016/j.cej.2022.135962" TargetMode="External" /><Relationship Type="http://schemas.openxmlformats.org/officeDocument/2006/relationships/hyperlink" Id="rId213"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195" Target="https://doi.org/10.1016/j.envpol.2021.118594" TargetMode="External" /><Relationship Type="http://schemas.openxmlformats.org/officeDocument/2006/relationships/hyperlink" Id="rId183"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89"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219" Target="https://doi.org/10.1016/j.watres.2009.08.016"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217" Target="https://doi.org/10.1016/j.watres.2015.06.038" TargetMode="External" /><Relationship Type="http://schemas.openxmlformats.org/officeDocument/2006/relationships/hyperlink" Id="rId187"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07"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193"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03"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7" Target="https://doi.org/10.1080/10408398.2011.570463" TargetMode="External" /><Relationship Type="http://schemas.openxmlformats.org/officeDocument/2006/relationships/hyperlink" Id="rId171" Target="https://doi.org/10.1080/10408699891274246" TargetMode="External" /><Relationship Type="http://schemas.openxmlformats.org/officeDocument/2006/relationships/hyperlink" Id="rId185" Target="https://doi.org/10.1081/ese-200048262" TargetMode="External" /><Relationship Type="http://schemas.openxmlformats.org/officeDocument/2006/relationships/hyperlink" Id="rId205"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91"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201" Target="https://doi.org/10.1186/s12302-018-0175-8"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11" Target="https://doi.org/J.scitotenv.2018.08.307"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MIB Release Dynamics and Implications for Lake Taihu</dc:title>
  <dc:creator>Yufan Ai†,1,4, Yongnian Wu†,2, Ming Su†,1,4,✉, Yuying Gui1,3, Yifan Du1, Jiao Fang1, Tengxin Cao1,4, and Min Yang1,4,✉</dc:creator>
  <dc:language>en</dc:language>
  <cp:keywords/>
  <dcterms:created xsi:type="dcterms:W3CDTF">2025-06-01T16:44:23Z</dcterms:created>
  <dcterms:modified xsi:type="dcterms:W3CDTF">2025-06-01T16:44:23Z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_extensions/inst/tex/american-chemical-society.csl</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Environmental Science &amp; Technology</vt:lpwstr>
  </property>
  <property fmtid="{D5CDD505-2E9C-101B-9397-08002B2CF9AE}" pid="21" name="toc-title">
    <vt:lpwstr>Table of contents</vt:lpwstr>
  </property>
</Properties>
</file>