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exponential growth phase and decline during the senescence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S1).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51</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52</w:t>
      </w:r>
      <w:r>
        <w:t xml:space="preserve">, with revisions based on</w:t>
      </w:r>
      <w:r>
        <w:rPr>
          <w:vertAlign w:val="superscript"/>
        </w:rPr>
        <w:t xml:space="preserve">53</w:t>
      </w:r>
      <w:r>
        <w:t xml:space="preserve">. Phytoplankton identification and enumeration were performed using an upright microscope (Olympus BX53, Japan) following the protocol established by</w:t>
      </w:r>
      <w:r>
        <w:rPr>
          <w:vertAlign w:val="superscript"/>
        </w:rPr>
        <w:t xml:space="preserve">54</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55</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56</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S1).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8"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4</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4</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ndrisk">
        <w:r>
          <w:rPr>
            <w:rStyle w:val="Hyperlink"/>
          </w:rPr>
          <w:t xml:space="preserve">Fig. 5</w:t>
        </w:r>
      </w:hyperlink>
      <w:r>
        <w:t xml:space="preserve">A).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Further analysis of the relationship between the growth stage of odor-producing cyanobacteria (</w:t>
      </w:r>
      <m:oMath>
        <m:r>
          <m:t>S</m:t>
        </m:r>
        <m:r>
          <m:t>t</m:t>
        </m:r>
      </m:oMath>
      <w:r>
        <w:t xml:space="preserve">) and total MIB concentration (</w:t>
      </w:r>
      <m:oMath>
        <m:sSub>
          <m:e>
            <m:r>
              <m:t>t</m:t>
            </m:r>
          </m:e>
          <m:sub>
            <m:r>
              <m:rPr>
                <m:nor/>
                <m:sty m:val="p"/>
              </m:rPr>
              <m:t>MIB</m:t>
            </m:r>
          </m:sub>
        </m:sSub>
      </m:oMath>
      <w:r>
        <w:t xml:space="preserve">) revealed the annual distribution of odor risk in Lake Taihu (</w:t>
      </w:r>
      <w:hyperlink w:anchor="fig-periodandrisk">
        <w:r>
          <w:rPr>
            <w:rStyle w:val="Hyperlink"/>
          </w:rPr>
          <w:t xml:space="preserve">Fig. 5</w:t>
        </w:r>
      </w:hyperlink>
      <w:r>
        <w:t xml:space="preserve">B, r zref(</w:t>
      </w:r>
      <w:r>
        <w:t xml:space="preserve">“sfg-taihurisk50”</w:t>
      </w:r>
      <w:r>
        <w:t xml:space="preserve">)). The results showed that the spatial patterns of the probability of MIB exceeding 10 ng L</w:t>
      </w:r>
      <m:oMath>
        <m:sSup>
          <m:e>
            <m:r>
              <m:t>​</m:t>
            </m:r>
          </m:e>
          <m:sup>
            <m:r>
              <m:rPr>
                <m:sty m:val="p"/>
              </m:rPr>
              <m:t>−</m:t>
            </m:r>
            <m:r>
              <m:t>1</m:t>
            </m:r>
          </m:sup>
        </m:sSup>
      </m:oMath>
      <w:r>
        <w:t xml:space="preserve"> </w:t>
      </w:r>
      <w:r>
        <w:t xml:space="preserve">and 50 ng L</w:t>
      </w:r>
      <m:oMath>
        <m:sSup>
          <m:e>
            <m:r>
              <m:t>​</m:t>
            </m:r>
          </m:e>
          <m:sup>
            <m:r>
              <m:rPr>
                <m:sty m:val="p"/>
              </m:rPr>
              <m:t>−</m:t>
            </m:r>
            <m:r>
              <m:t>1</m:t>
            </m:r>
          </m:sup>
        </m:sSup>
      </m:oMath>
      <w:r>
        <w:t xml:space="preserve"> </w:t>
      </w:r>
      <w:r>
        <w:t xml:space="preserve">were similar, with the latter generally being about half the former. Based on this probability distribution, elevated MIB risk was observed in spring (March–May) and late summer to autumn (July–October). In contrast, the risk was low in other months: June served as a transitional period between the two major MIB episodes, and from November to February, most of the lake exhibited minimal risk except for parts of the northern and southeastern regions.</w:t>
      </w:r>
    </w:p>
    <w:p>
      <w:pPr>
        <w:pStyle w:val="BodyText"/>
      </w:pPr>
      <w:r>
        <w:t xml:space="preserve">Spatially, the risk zones in spring were mainly concentrated in the northern part of the lake. As the risk intensified in late summer and autumn, high-risk areas expanded to cover nearly the entire lake. Notably, the northern and southeastern regions of Lake Taihu consistently emerged as hotspots with a higher probability of experiencing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 When the environmental carrying capacity remains constant but the initial cell density increases, the growth stage of odor-producing cyanobacteria becomes shorter, leading to a decrease in</w:t>
      </w:r>
      <w:r>
        <w:t xml:space="preserve"> </w:t>
      </w:r>
      <m:oMath>
        <m:sSub>
          <m:e>
            <m:r>
              <m:t>T</m:t>
            </m:r>
          </m:e>
          <m:sub>
            <m:r>
              <m:t>0</m:t>
            </m:r>
          </m:sub>
        </m:sSub>
      </m:oMath>
      <w:r>
        <w:t xml:space="preserve">. This results in earlier onset of crowding effects, causing cell lysis and the subsequent release of odor compounds, thereby increasing odor risk. Similarly, within favorable ranges of light and temperature, higher light intensity and temperature accelerate cell growth rates, also resulting in a reduced</w:t>
      </w:r>
      <w:r>
        <w:t xml:space="preserve"> </w:t>
      </w:r>
      <m:oMath>
        <m:sSub>
          <m:e>
            <m:r>
              <m:t>T</m:t>
            </m:r>
          </m:e>
          <m:sub>
            <m:r>
              <m:t>0</m:t>
            </m:r>
          </m:sub>
        </m:sSub>
      </m:oMath>
      <w:r>
        <w:t xml:space="preserv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 In Lake Taihu, the variation in MIB-related odor risk is primarily driven by temperature-mediated changes in cyanobacterial growth dynamics.</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57,58</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59</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60</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61,62</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62–65</w:t>
      </w:r>
      <w:r>
        <w:t xml:space="preserve">. From April to May, when the surface water temperature exceeds 20°C, MIB-producing cyanobacteria are already able to grow at a considerable rate</w:t>
      </w:r>
      <w:r>
        <w:rPr>
          <w:vertAlign w:val="superscript"/>
        </w:rPr>
        <w:t xml:space="preserve">66–68</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65,69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70</w:t>
      </w:r>
      <w:r>
        <w:t xml:space="preserve">. Research on microcystin production in Lake Taihu supports this timeline, with significant increases in microcystin concentrations observed only after May</w:t>
      </w:r>
      <w:r>
        <w:rPr>
          <w:vertAlign w:val="superscript"/>
        </w:rPr>
        <w:t xml:space="preserve">61</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9,71–73</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0" w:name="references"/>
    <w:p>
      <w:pPr>
        <w:pStyle w:val="Heading1"/>
      </w:pPr>
      <w:r>
        <w:t xml:space="preserve">References</w:t>
      </w:r>
    </w:p>
    <w:bookmarkStart w:id="219"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7" w:name="ref-sherr1993preservation"/>
    <w:p>
      <w:pPr>
        <w:pStyle w:val="Bibliography"/>
      </w:pPr>
      <w:r>
        <w:t xml:space="preserve">(51)</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77"/>
    <w:bookmarkStart w:id="178" w:name="ref-komarek1998cyanoprokaryota"/>
    <w:p>
      <w:pPr>
        <w:pStyle w:val="Bibliography"/>
      </w:pPr>
      <w:r>
        <w:t xml:space="preserve">(52)</w:t>
      </w:r>
      <w:r>
        <w:t xml:space="preserve"> </w:t>
      </w:r>
      <w:r>
        <w:t xml:space="preserve">	</w:t>
      </w:r>
      <w:r>
        <w:t xml:space="preserve">Komárek, J.; Anagnostidis, K.</w:t>
      </w:r>
      <w:r>
        <w:t xml:space="preserve"> </w:t>
      </w:r>
      <w:r>
        <w:rPr>
          <w:i/>
          <w:iCs/>
        </w:rPr>
        <w:t xml:space="preserve">Cyanoprokaryota 1</w:t>
      </w:r>
      <w:r>
        <w:t xml:space="preserve">; Deu, 1998; Vol. 19(1).</w:t>
      </w:r>
    </w:p>
    <w:bookmarkEnd w:id="178"/>
    <w:bookmarkStart w:id="179" w:name="ref-komarek2014taxonomic"/>
    <w:p>
      <w:pPr>
        <w:pStyle w:val="Bibliography"/>
      </w:pPr>
      <w:r>
        <w:t xml:space="preserve">(53)</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79"/>
    <w:bookmarkStart w:id="180" w:name="ref-utermohl1958vervollkommnung"/>
    <w:p>
      <w:pPr>
        <w:pStyle w:val="Bibliography"/>
      </w:pPr>
      <w:r>
        <w:t xml:space="preserve">(54)</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0"/>
    <w:bookmarkStart w:id="182" w:name="ref-li2010cyanobacterial"/>
    <w:p>
      <w:pPr>
        <w:pStyle w:val="Bibliography"/>
      </w:pPr>
      <w:r>
        <w:t xml:space="preserve">(55)</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1">
        <w:r>
          <w:rPr>
            <w:rStyle w:val="Hyperlink"/>
          </w:rPr>
          <w:t xml:space="preserve">10.1016/j.hal.2010.03.003</w:t>
        </w:r>
      </w:hyperlink>
      <w:r>
        <w:t xml:space="preserve">.</w:t>
      </w:r>
    </w:p>
    <w:bookmarkEnd w:id="182"/>
    <w:bookmarkStart w:id="184" w:name="ref-liang2005removal"/>
    <w:p>
      <w:pPr>
        <w:pStyle w:val="Bibliography"/>
      </w:pPr>
      <w:r>
        <w:t xml:space="preserve">(56)</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3">
        <w:r>
          <w:rPr>
            <w:rStyle w:val="Hyperlink"/>
          </w:rPr>
          <w:t xml:space="preserve">10.1081/ese-200048262</w:t>
        </w:r>
      </w:hyperlink>
      <w:r>
        <w:t xml:space="preserve">.</w:t>
      </w:r>
    </w:p>
    <w:bookmarkEnd w:id="184"/>
    <w:bookmarkStart w:id="186" w:name="ref-liu2019production"/>
    <w:p>
      <w:pPr>
        <w:pStyle w:val="Bibliography"/>
      </w:pPr>
      <w:r>
        <w:t xml:space="preserve">(57)</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5">
        <w:r>
          <w:rPr>
            <w:rStyle w:val="Hyperlink"/>
          </w:rPr>
          <w:t xml:space="preserve">10.1016/j.watres.2019.04.004</w:t>
        </w:r>
      </w:hyperlink>
      <w:r>
        <w:t xml:space="preserve">.</w:t>
      </w:r>
    </w:p>
    <w:bookmarkEnd w:id="186"/>
    <w:bookmarkStart w:id="188" w:name="ref-perkins2019managing"/>
    <w:p>
      <w:pPr>
        <w:pStyle w:val="Bibliography"/>
      </w:pPr>
      <w:r>
        <w:t xml:space="preserve">(58)</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87">
        <w:r>
          <w:rPr>
            <w:rStyle w:val="Hyperlink"/>
          </w:rPr>
          <w:t xml:space="preserve">10.1016/j.jenvman.2019.04.123</w:t>
        </w:r>
      </w:hyperlink>
      <w:r>
        <w:t xml:space="preserve">.</w:t>
      </w:r>
    </w:p>
    <w:bookmarkEnd w:id="188"/>
    <w:bookmarkStart w:id="190" w:name="ref-bafford1993intracellular"/>
    <w:p>
      <w:pPr>
        <w:pStyle w:val="Bibliography"/>
      </w:pPr>
      <w:r>
        <w:t xml:space="preserve">(59)</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89">
        <w:r>
          <w:rPr>
            <w:rStyle w:val="Hyperlink"/>
          </w:rPr>
          <w:t xml:space="preserve">10.1111/j.1529-8817.1993.tb00285.x</w:t>
        </w:r>
      </w:hyperlink>
      <w:r>
        <w:t xml:space="preserve">.</w:t>
      </w:r>
    </w:p>
    <w:bookmarkEnd w:id="190"/>
    <w:bookmarkStart w:id="192" w:name="ref-pavel2018contact"/>
    <w:p>
      <w:pPr>
        <w:pStyle w:val="Bibliography"/>
      </w:pPr>
      <w:r>
        <w:t xml:space="preserve">(60)</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1">
        <w:r>
          <w:rPr>
            <w:rStyle w:val="Hyperlink"/>
          </w:rPr>
          <w:t xml:space="preserve">10.1038/s41467-018-05388-x</w:t>
        </w:r>
      </w:hyperlink>
      <w:r>
        <w:t xml:space="preserve">.</w:t>
      </w:r>
    </w:p>
    <w:bookmarkEnd w:id="192"/>
    <w:bookmarkStart w:id="194" w:name="ref-li2022cooccurrence"/>
    <w:p>
      <w:pPr>
        <w:pStyle w:val="Bibliography"/>
      </w:pPr>
      <w:r>
        <w:t xml:space="preserve">(61)</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3">
        <w:r>
          <w:rPr>
            <w:rStyle w:val="Hyperlink"/>
          </w:rPr>
          <w:t xml:space="preserve">10.1016/j.envpol.2021.118594</w:t>
        </w:r>
      </w:hyperlink>
      <w:r>
        <w:t xml:space="preserve">.</w:t>
      </w:r>
    </w:p>
    <w:bookmarkEnd w:id="194"/>
    <w:bookmarkStart w:id="196" w:name="ref-shi2023distribution"/>
    <w:p>
      <w:pPr>
        <w:pStyle w:val="Bibliography"/>
      </w:pPr>
      <w:r>
        <w:t xml:space="preserve">(62)</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5">
        <w:r>
          <w:rPr>
            <w:rStyle w:val="Hyperlink"/>
          </w:rPr>
          <w:t xml:space="preserve">10.1007/s11356-023-27506-z</w:t>
        </w:r>
      </w:hyperlink>
      <w:r>
        <w:t xml:space="preserve">.</w:t>
      </w:r>
    </w:p>
    <w:bookmarkEnd w:id="196"/>
    <w:bookmarkStart w:id="198" w:name="ref-qi2020characterization"/>
    <w:p>
      <w:pPr>
        <w:pStyle w:val="Bibliography"/>
      </w:pPr>
      <w:r>
        <w:t xml:space="preserve">(63)</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197">
        <w:r>
          <w:rPr>
            <w:rStyle w:val="Hyperlink"/>
          </w:rPr>
          <w:t xml:space="preserve">10.1007/s11356-020-07896-0</w:t>
        </w:r>
      </w:hyperlink>
      <w:r>
        <w:t xml:space="preserve">.</w:t>
      </w:r>
    </w:p>
    <w:bookmarkEnd w:id="198"/>
    <w:bookmarkStart w:id="200" w:name="ref-rong2018source"/>
    <w:p>
      <w:pPr>
        <w:pStyle w:val="Bibliography"/>
      </w:pPr>
      <w:r>
        <w:t xml:space="preserve">(64)</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199">
        <w:r>
          <w:rPr>
            <w:rStyle w:val="Hyperlink"/>
          </w:rPr>
          <w:t xml:space="preserve">10.1186/s12302-018-0175-8</w:t>
        </w:r>
      </w:hyperlink>
      <w:r>
        <w:t xml:space="preserve">.</w:t>
      </w:r>
    </w:p>
    <w:bookmarkEnd w:id="200"/>
    <w:bookmarkStart w:id="202" w:name="ref-su2022lightdominated"/>
    <w:p>
      <w:pPr>
        <w:pStyle w:val="Bibliography"/>
      </w:pPr>
      <w:r>
        <w:t xml:space="preserve">(65)</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1">
        <w:r>
          <w:rPr>
            <w:rStyle w:val="Hyperlink"/>
          </w:rPr>
          <w:t xml:space="preserve">10.1038/s41545-022-00181-2</w:t>
        </w:r>
      </w:hyperlink>
      <w:r>
        <w:t xml:space="preserve">.</w:t>
      </w:r>
    </w:p>
    <w:bookmarkEnd w:id="202"/>
    <w:bookmarkStart w:id="204" w:name="ref-nan2021enclosure"/>
    <w:p>
      <w:pPr>
        <w:pStyle w:val="Bibliography"/>
      </w:pPr>
      <w:r>
        <w:t xml:space="preserve">(66)</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3">
        <w:r>
          <w:rPr>
            <w:rStyle w:val="Hyperlink"/>
          </w:rPr>
          <w:t xml:space="preserve">10.1111/are.15568</w:t>
        </w:r>
      </w:hyperlink>
      <w:r>
        <w:t xml:space="preserve">.</w:t>
      </w:r>
    </w:p>
    <w:bookmarkEnd w:id="204"/>
    <w:bookmarkStart w:id="206" w:name="ref-wang2019causality"/>
    <w:p>
      <w:pPr>
        <w:pStyle w:val="Bibliography"/>
      </w:pPr>
      <w:r>
        <w:t xml:space="preserve">(67)</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5">
        <w:r>
          <w:rPr>
            <w:rStyle w:val="Hyperlink"/>
          </w:rPr>
          <w:t xml:space="preserve">10.1016/j.watres.2019.114864</w:t>
        </w:r>
      </w:hyperlink>
      <w:r>
        <w:t xml:space="preserve">.</w:t>
      </w:r>
    </w:p>
    <w:bookmarkEnd w:id="206"/>
    <w:bookmarkStart w:id="208" w:name="ref-yu2019taste"/>
    <w:p>
      <w:pPr>
        <w:pStyle w:val="Bibliography"/>
      </w:pPr>
      <w:r>
        <w:t xml:space="preserve">(68)</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07">
        <w:r>
          <w:rPr>
            <w:rStyle w:val="Hyperlink"/>
          </w:rPr>
          <w:t xml:space="preserve">10.1007/s11356-019-06188-6</w:t>
        </w:r>
      </w:hyperlink>
      <w:r>
        <w:t xml:space="preserve">.</w:t>
      </w:r>
    </w:p>
    <w:bookmarkEnd w:id="208"/>
    <w:bookmarkStart w:id="210" w:name="ref-su2019succession"/>
    <w:p>
      <w:pPr>
        <w:pStyle w:val="Bibliography"/>
      </w:pPr>
      <w:r>
        <w:t xml:space="preserve">(69)</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9">
        <w:r>
          <w:rPr>
            <w:rStyle w:val="Hyperlink"/>
          </w:rPr>
          <w:t xml:space="preserve">J.scitotenv.2018.08.307</w:t>
        </w:r>
      </w:hyperlink>
      <w:r>
        <w:t xml:space="preserve">.</w:t>
      </w:r>
    </w:p>
    <w:bookmarkEnd w:id="210"/>
    <w:bookmarkStart w:id="212" w:name="ref-xuwei2019the"/>
    <w:p>
      <w:pPr>
        <w:pStyle w:val="Bibliography"/>
      </w:pPr>
      <w:r>
        <w:t xml:space="preserve">(70)</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1">
        <w:r>
          <w:rPr>
            <w:rStyle w:val="Hyperlink"/>
          </w:rPr>
          <w:t xml:space="preserve">10.1016/j.chemosphere.2018.11.121</w:t>
        </w:r>
      </w:hyperlink>
      <w:r>
        <w:t xml:space="preserve">.</w:t>
      </w:r>
    </w:p>
    <w:bookmarkEnd w:id="212"/>
    <w:bookmarkStart w:id="214" w:name="ref-li2022different"/>
    <w:p>
      <w:pPr>
        <w:pStyle w:val="Bibliography"/>
      </w:pPr>
      <w:r>
        <w:t xml:space="preserve">(71)</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3">
        <w:r>
          <w:rPr>
            <w:rStyle w:val="Hyperlink"/>
          </w:rPr>
          <w:t xml:space="preserve">10.1016/j.cej.2022.135962</w:t>
        </w:r>
      </w:hyperlink>
      <w:r>
        <w:t xml:space="preserve">.</w:t>
      </w:r>
    </w:p>
    <w:bookmarkEnd w:id="214"/>
    <w:bookmarkStart w:id="216" w:name="ref-zamyadi2015fate"/>
    <w:p>
      <w:pPr>
        <w:pStyle w:val="Bibliography"/>
      </w:pPr>
      <w:r>
        <w:t xml:space="preserve">(72)</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5">
        <w:r>
          <w:rPr>
            <w:rStyle w:val="Hyperlink"/>
          </w:rPr>
          <w:t xml:space="preserve">10.1016/j.watres.2015.06.038</w:t>
        </w:r>
      </w:hyperlink>
      <w:r>
        <w:t xml:space="preserve">.</w:t>
      </w:r>
    </w:p>
    <w:bookmarkEnd w:id="216"/>
    <w:bookmarkStart w:id="218" w:name="ref-drikas2009removal"/>
    <w:p>
      <w:pPr>
        <w:pStyle w:val="Bibliography"/>
      </w:pPr>
      <w:r>
        <w:t xml:space="preserve">(73)</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17">
        <w:r>
          <w:rPr>
            <w:rStyle w:val="Hyperlink"/>
          </w:rPr>
          <w:t xml:space="preserve">10.1016/j.watres.2009.08.016</w:t>
        </w:r>
      </w:hyperlink>
      <w:r>
        <w:t xml:space="preserve">.</w:t>
      </w:r>
    </w:p>
    <w:bookmarkEnd w:id="218"/>
    <w:bookmarkEnd w:id="219"/>
    <w:bookmarkEnd w:id="22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7" Target="https://doi.org/10.1007/s11356-019-06188-6" TargetMode="External" /><Relationship Type="http://schemas.openxmlformats.org/officeDocument/2006/relationships/hyperlink" Id="rId197" Target="https://doi.org/10.1007/s11356-020-07896-0" TargetMode="External" /><Relationship Type="http://schemas.openxmlformats.org/officeDocument/2006/relationships/hyperlink" Id="rId195"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3" Target="https://doi.org/10.1016/j.cej.2022.135962" TargetMode="External" /><Relationship Type="http://schemas.openxmlformats.org/officeDocument/2006/relationships/hyperlink" Id="rId211"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3" Target="https://doi.org/10.1016/j.envpol.2021.118594" TargetMode="External" /><Relationship Type="http://schemas.openxmlformats.org/officeDocument/2006/relationships/hyperlink" Id="rId181"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7"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7"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5" Target="https://doi.org/10.1016/j.watres.2015.06.038" TargetMode="External" /><Relationship Type="http://schemas.openxmlformats.org/officeDocument/2006/relationships/hyperlink" Id="rId185"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5"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1"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1"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83" Target="https://doi.org/10.1081/ese-200048262" TargetMode="External" /><Relationship Type="http://schemas.openxmlformats.org/officeDocument/2006/relationships/hyperlink" Id="rId203"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89"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199"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09"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7" Target="https://doi.org/10.1007/s11356-019-06188-6" TargetMode="External" /><Relationship Type="http://schemas.openxmlformats.org/officeDocument/2006/relationships/hyperlink" Id="rId197" Target="https://doi.org/10.1007/s11356-020-07896-0" TargetMode="External" /><Relationship Type="http://schemas.openxmlformats.org/officeDocument/2006/relationships/hyperlink" Id="rId195"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3" Target="https://doi.org/10.1016/j.cej.2022.135962" TargetMode="External" /><Relationship Type="http://schemas.openxmlformats.org/officeDocument/2006/relationships/hyperlink" Id="rId211"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3" Target="https://doi.org/10.1016/j.envpol.2021.118594" TargetMode="External" /><Relationship Type="http://schemas.openxmlformats.org/officeDocument/2006/relationships/hyperlink" Id="rId181"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7"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7"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5" Target="https://doi.org/10.1016/j.watres.2015.06.038" TargetMode="External" /><Relationship Type="http://schemas.openxmlformats.org/officeDocument/2006/relationships/hyperlink" Id="rId185"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5"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1"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1"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83" Target="https://doi.org/10.1081/ese-200048262" TargetMode="External" /><Relationship Type="http://schemas.openxmlformats.org/officeDocument/2006/relationships/hyperlink" Id="rId203"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89"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199"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09"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2025-06-02T08:46:40Z</dcterms:created>
  <dcterms:modified xsi:type="dcterms:W3CDTF">2025-06-02T08:46:40Z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