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exponential growth phase and decline during the senescence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lake’s watershed supports a densely populated region of over 40 million people and serves as a critical drinking water source for approximately 10 million residents. 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w:t>
      </w:r>
      <m:oMath>
        <m:r>
          <m:rPr>
            <m:nor/>
            <m:sty m:val="p"/>
          </m:rPr>
          <m:t>MIB</m:t>
        </m:r>
      </m:oMath>
      <w:r>
        <w:t xml:space="preserve">)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w:t>
      </w:r>
      <w:r>
        <w:t xml:space="preserve"> </w:t>
      </w:r>
      <w:r>
        <w:t xml:space="preserve">TODO: [Ref]</w:t>
      </w:r>
      <w:r>
        <w:t xml:space="preserve">.</w:t>
      </w:r>
    </w:p>
    <w:p>
      <w:pPr>
        <w:pStyle w:val="BodyText"/>
      </w:pPr>
      <w:r>
        <w:t xml:space="preserve">For odorant analysis, subsamples (100 mL) were collected in amber glass bottles with airtight seals and preserved with 10 mg L⁻¹</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w:t>
      </w:r>
      <w:r>
        <w:t xml:space="preserve"> </w:t>
      </w:r>
      <w:r>
        <w:t xml:space="preserve">(obtained from the Freshwater Algae Culture Collection at the Institute of Hydrobiology), we developed stage-specific equations for</w:t>
      </w:r>
      <w:r>
        <w:t xml:space="preserve"> </w:t>
      </w:r>
      <m:oMath>
        <m:r>
          <m:t>f</m:t>
        </m:r>
      </m:oMath>
      <w:r>
        <w:t xml:space="preserve">. For cell densities below 80% of</w:t>
      </w:r>
      <w:r>
        <w:t xml:space="preserve"> </w:t>
      </w:r>
      <m:oMath>
        <m:r>
          <m:t>K</m:t>
        </m:r>
      </m:oMath>
      <w:r>
        <w:t xml:space="preserve">,</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w:t>
      </w:r>
      <w:r>
        <w:t xml:space="preserve"> </w:t>
      </w:r>
      <m:oMath>
        <m:r>
          <m:t>f</m:t>
        </m:r>
      </m:oMath>
      <w:r>
        <w:t xml:space="preserve"> </w:t>
      </w:r>
      <w:r>
        <w:t xml:space="preserve">was modeled using residual growth capacity to describe the decline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0</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S9)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S1).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8"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266803"/>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266803"/>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780867"/>
                  <wp:effectExtent b="0" l="0" r="0" t="0"/>
                  <wp:docPr descr="" title="" id="45" name="Picture"/>
                  <a:graphic>
                    <a:graphicData uri="http://schemas.openxmlformats.org/drawingml/2006/picture">
                      <pic:pic>
                        <pic:nvPicPr>
                          <pic:cNvPr descr="../figures/modeloutdf_revised.png" id="46" name="Picture"/>
                          <pic:cNvPicPr>
                            <a:picLocks noChangeArrowheads="1" noChangeAspect="1"/>
                          </pic:cNvPicPr>
                        </pic:nvPicPr>
                        <pic:blipFill>
                          <a:blip r:embed="rId44"/>
                          <a:stretch>
                            <a:fillRect/>
                          </a:stretch>
                        </pic:blipFill>
                        <pic:spPr bwMode="auto">
                          <a:xfrm>
                            <a:off x="0" y="0"/>
                            <a:ext cx="4027170" cy="4780867"/>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4</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4</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ndrisk">
        <w:r>
          <w:rPr>
            <w:rStyle w:val="Hyperlink"/>
          </w:rPr>
          <w:t xml:space="preserve">Fig. 5</w:t>
        </w:r>
      </w:hyperlink>
      <w:r>
        <w:t xml:space="preserve">A).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Further analysis of the relationship between the growth stage of odor-producing cyanobacteria (</w:t>
      </w:r>
      <m:oMath>
        <m:r>
          <m:t>S</m:t>
        </m:r>
        <m:r>
          <m:t>t</m:t>
        </m:r>
      </m:oMath>
      <w:r>
        <w:t xml:space="preserve">) and total MIB concentration (</w:t>
      </w:r>
      <m:oMath>
        <m:sSub>
          <m:e>
            <m:r>
              <m:t>t</m:t>
            </m:r>
          </m:e>
          <m:sub>
            <m:r>
              <m:rPr>
                <m:nor/>
                <m:sty m:val="p"/>
              </m:rPr>
              <m:t>MIB</m:t>
            </m:r>
          </m:sub>
        </m:sSub>
      </m:oMath>
      <w:r>
        <w:t xml:space="preserve">) revealed the annual distribution of odor risk in Lake Taihu (</w:t>
      </w:r>
      <w:hyperlink w:anchor="fig-periodandrisk">
        <w:r>
          <w:rPr>
            <w:rStyle w:val="Hyperlink"/>
          </w:rPr>
          <w:t xml:space="preserve">Fig. 5</w:t>
        </w:r>
      </w:hyperlink>
      <w:r>
        <w:t xml:space="preserve">B, r zref(</w:t>
      </w:r>
      <w:r>
        <w:t xml:space="preserve">“sfg-taihurisk50”</w:t>
      </w:r>
      <w:r>
        <w:t xml:space="preserve">)). The results showed that the spatial patterns of the probability of MIB exceeding 10 ng L</w:t>
      </w:r>
      <m:oMath>
        <m:sSup>
          <m:e>
            <m:r>
              <m:t>​</m:t>
            </m:r>
          </m:e>
          <m:sup>
            <m:r>
              <m:rPr>
                <m:sty m:val="p"/>
              </m:rPr>
              <m:t>−</m:t>
            </m:r>
            <m:r>
              <m:t>1</m:t>
            </m:r>
          </m:sup>
        </m:sSup>
      </m:oMath>
      <w:r>
        <w:t xml:space="preserve"> </w:t>
      </w:r>
      <w:r>
        <w:t xml:space="preserve">and 50 ng L</w:t>
      </w:r>
      <m:oMath>
        <m:sSup>
          <m:e>
            <m:r>
              <m:t>​</m:t>
            </m:r>
          </m:e>
          <m:sup>
            <m:r>
              <m:rPr>
                <m:sty m:val="p"/>
              </m:rPr>
              <m:t>−</m:t>
            </m:r>
            <m:r>
              <m:t>1</m:t>
            </m:r>
          </m:sup>
        </m:sSup>
      </m:oMath>
      <w:r>
        <w:t xml:space="preserve"> </w:t>
      </w:r>
      <w:r>
        <w:t xml:space="preserve">were similar, with the latter generally being about half the former. Based on this probability distribution, elevated MIB risk was observed in spring (March–May) and late summer to autumn (July–October). In contrast, the risk was low in other months: June served as a transitional period between the two major MIB episodes, and from November to February, most of the lake exhibited minimal risk except for parts of the northern and southeastern regions.</w:t>
      </w:r>
    </w:p>
    <w:p>
      <w:pPr>
        <w:pStyle w:val="BodyText"/>
      </w:pPr>
      <w:r>
        <w:t xml:space="preserve">Spatially, the risk zones in spring were mainly concentrated in the northern part of the lake. As the risk intensified in late summer and autumn, high-risk areas expanded to cover nearly the entire lake. Notably, the northern and southeastern regions of Lake Taihu consistently emerged as hotspots with a higher probability of experiencing elevated MIB concentrations.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w:t>
      </w:r>
      <w:r>
        <w:rPr>
          <w:vertAlign w:val="superscript"/>
        </w:rPr>
        <w:t xml:space="preserve">-2</w:t>
      </w:r>
      <w:r>
        <w:t xml:space="preserve"> </w:t>
      </w:r>
      <w:r>
        <w:t xml:space="preserve">d</w:t>
      </w:r>
      <w:r>
        <w:rPr>
          <w:vertAlign w:val="superscript"/>
        </w:rPr>
        <w:t xml:space="preserve">-1</w:t>
      </w:r>
      <w:r>
        <w:t xml:space="preserve">),</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 When the environmental carrying capacity remains constant but the initial cell density increases, the growth stage of odor-producing cyanobacteria becomes shorter, leading to a decrease in</w:t>
      </w:r>
      <w:r>
        <w:t xml:space="preserve"> </w:t>
      </w:r>
      <m:oMath>
        <m:sSub>
          <m:e>
            <m:r>
              <m:t>T</m:t>
            </m:r>
          </m:e>
          <m:sub>
            <m:r>
              <m:t>0</m:t>
            </m:r>
          </m:sub>
        </m:sSub>
      </m:oMath>
      <w:r>
        <w:t xml:space="preserve">. This results in earlier onset of crowding effects, causing cell lysis and the subsequent release of odor compounds, thereby increasing odor risk. Similarly, within favorable ranges of light and temperature, higher light intensity and temperature accelerate cell growth rates, also resulting in a reduced</w:t>
      </w:r>
      <w:r>
        <w:t xml:space="preserve"> </w:t>
      </w:r>
      <m:oMath>
        <m:sSub>
          <m:e>
            <m:r>
              <m:t>T</m:t>
            </m:r>
          </m:e>
          <m:sub>
            <m:r>
              <m:t>0</m:t>
            </m:r>
          </m:sub>
        </m:sSub>
      </m:oMath>
      <w:r>
        <w:t xml:space="preserv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 In Lake Taihu, the variation in MIB-related odor risk is primarily driven by temperature-mediated changes in cyanobacterial growth dynamics.</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66,67</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67–70</w:t>
      </w:r>
      <w:r>
        <w:t xml:space="preserve">. From April to May, when the surface water temperature exceeds 20°C, MIB-producing cyanobacteria are already able to grow at a considerable rate</w:t>
      </w:r>
      <w:r>
        <w:rPr>
          <w:vertAlign w:val="superscript"/>
        </w:rPr>
        <w:t xml:space="preserve">71–73</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70,74</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75</w:t>
      </w:r>
      <w:r>
        <w:t xml:space="preserve">. Research on microcystin production in Lake Taihu supports this timeline, with significant increases in microcystin concentrations observed only after May</w:t>
      </w:r>
      <w:r>
        <w:rPr>
          <w:vertAlign w:val="superscript"/>
        </w:rPr>
        <w:t xml:space="preserve">66</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9,76–78</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xuwei2019the"/>
    <w:p>
      <w:pPr>
        <w:pStyle w:val="Bibliography"/>
      </w:pPr>
      <w:r>
        <w:t xml:space="preserve">(75)</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2025-06-02T10:30:07Z</dcterms:created>
  <dcterms:modified xsi:type="dcterms:W3CDTF">2025-06-02T10:30:07Z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