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exponential growth phase and decline during the senescence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lake’s watershed supports a densely populated region of over 40 million people and serves as a critical drinking water source for approximately 10 million residents. 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w:t>
      </w:r>
      <w:r>
        <w:t xml:space="preserve"> </w:t>
      </w:r>
      <w:r>
        <w:t xml:space="preserve">TODO: [Ref]</w:t>
      </w:r>
      <w:r>
        <w:t xml:space="preserve">.</w:t>
      </w:r>
    </w:p>
    <w:p>
      <w:pPr>
        <w:pStyle w:val="BodyText"/>
      </w:pPr>
      <w:r>
        <w:t xml:space="preserve">For odorant analysis, subsamples (100 mL) were collected in amber glass bottles with airtight seals and preserved with 10 mg L⁻¹</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t xml:space="preserve">Check:</w:t>
      </w:r>
      <w:r>
        <w:t xml:space="preserve"> </w:t>
      </w:r>
      <w:r>
        <w:rPr>
          <w:i/>
          <w:iCs/>
        </w:rPr>
        <w:t xml:space="preserve">Planktothricoides ????</w:t>
      </w:r>
      <w:r>
        <w:t xml:space="preserve"> </w:t>
      </w:r>
      <w:r>
        <w:t xml:space="preserve">(obtained from the Freshwater Algae Culture Collection at the Institute of Hydrobiology), we developed stage-specific equations for</w:t>
      </w:r>
      <w:r>
        <w:t xml:space="preserve"> </w:t>
      </w:r>
      <m:oMath>
        <m:r>
          <m:t>f</m:t>
        </m:r>
      </m:oMath>
      <w:r>
        <w:t xml:space="preserve">. For cell densities below 80% of</w:t>
      </w:r>
      <w:r>
        <w:t xml:space="preserve"> </w:t>
      </w:r>
      <m:oMath>
        <m:r>
          <m:t>K</m:t>
        </m:r>
      </m:oMath>
      <w:r>
        <w:t xml:space="preserve">,</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w:t>
      </w:r>
      <w:r>
        <w:t xml:space="preserve"> </w:t>
      </w:r>
      <m:oMath>
        <m:r>
          <m:t>f</m:t>
        </m:r>
      </m:oMath>
      <w:r>
        <w:t xml:space="preserve"> </w:t>
      </w:r>
      <w:r>
        <w:t xml:space="preserve">was modeled using residual growth capacity to describe the decline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0</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S9)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decline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m:oMath>
        <m:r>
          <m:t>f</m:t>
        </m:r>
      </m:oMath>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investigate this phenomenon, we conducted controlled experiments with pure cultures of two odor-producing cyanobacteria (</w:t>
      </w:r>
      <w:r>
        <w:rPr>
          <w:i/>
          <w:iCs/>
        </w:rPr>
        <w:t xml:space="preserve">Pseudanabaena</w:t>
      </w:r>
      <w:r>
        <w:t xml:space="preserve"> </w:t>
      </w:r>
      <w:r>
        <w:t xml:space="preserve">and</w:t>
      </w:r>
      <w:r>
        <w:t xml:space="preserve"> </w:t>
      </w:r>
      <w:r>
        <w:rPr>
          <w:i/>
          <w:iCs/>
        </w:rPr>
        <w:t xml:space="preserve">Planktothricoides</w:t>
      </w:r>
      <w:r>
        <w:t xml:space="preserve">) under varying light conditions (</w:t>
      </w:r>
      <w:hyperlink w:anchor="fig-modelconcept">
        <w:r>
          <w:rPr>
            <w:rStyle w:val="Hyperlink"/>
          </w:rPr>
          <w:t xml:space="preserve">Fig. 2</w:t>
        </w:r>
      </w:hyperlink>
      <w:r>
        <w:t xml:space="preserve">C).</w:t>
      </w:r>
    </w:p>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w:t>
      </w:r>
    </w:p>
    <w:p>
      <w:pPr>
        <w:pStyle w:val="BodyText"/>
      </w:pPr>
      <w:r>
        <w:t xml:space="preserve">We developed a logistic growth-based model to characterize these</w:t>
      </w:r>
      <w:r>
        <w:t xml:space="preserve"> </w:t>
      </w:r>
      <m:oMath>
        <m:r>
          <m:t>f</m:t>
        </m:r>
      </m:oMath>
      <w:r>
        <w:t xml:space="preserve"> </w:t>
      </w:r>
      <w:r>
        <w:t xml:space="preserve">ratio dynamics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patterns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w:t>
      </w:r>
      <w:r>
        <w:t xml:space="preserve"> </w:t>
      </w:r>
      <w:hyperlink w:anchor="fig-modelconcept">
        <w:r>
          <w:rPr>
            <w:rStyle w:val="Hyperlink"/>
          </w:rPr>
          <w:t xml:space="preserve">2</w:t>
        </w:r>
      </w:hyperlink>
      <w:r>
        <w:t xml:space="preserve">D). 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concept">
        <w:r>
          <w:rPr>
            <w:rStyle w:val="Hyperlink"/>
          </w:rPr>
          <w:t xml:space="preserve">Fig. 2</w:t>
        </w:r>
      </w:hyperlink>
      <w:r>
        <w:t xml:space="preserve">E). The model demonstrated good overall performance, with relatively small residuals across most growth conditions (</w:t>
      </w:r>
      <w:hyperlink w:anchor="fig-modelconcept">
        <w:r>
          <w:rPr>
            <w:rStyle w:val="Hyperlink"/>
          </w:rPr>
          <w:t xml:space="preserve">Fig. 2</w:t>
        </w:r>
      </w:hyperlink>
      <w:r>
        <w:t xml:space="preserve">F).</w:t>
      </w:r>
    </w:p>
    <w:p>
      <w:pPr>
        <w:pStyle w:val="BodyText"/>
      </w:pPr>
      <w:r>
        <w:t xml:space="preserve">TODO: </w:t>
      </w:r>
      <w:r>
        <w:rPr>
          <w:rFonts w:hint="eastAsia"/>
        </w:rPr>
        <w:t xml:space="preserve">增加</w:t>
      </w:r>
      <w:hyperlink w:anchor="fig-modelout">
        <w:r>
          <w:rPr>
            <w:rStyle w:val="Hyperlink"/>
          </w:rPr>
          <w:t xml:space="preserve">Fig. 3</w:t>
        </w:r>
      </w:hyperlink>
      <w:r>
        <w:rPr>
          <w:rFonts w:hint="eastAsia"/>
        </w:rPr>
        <w:t xml:space="preserve">的描述</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Model development and performance for extracellular MIB ratio (</w:t>
            </w:r>
            <m:oMath>
              <m:r>
                <m:t>f</m:t>
              </m:r>
            </m:oMath>
            <w:r>
              <w:t xml:space="preserve">): (A) Logistic growth curve illustrating key growth phases; (B) Conceptual framework of the</w:t>
            </w:r>
            <w:r>
              <w:t xml:space="preserve"> </w:t>
            </w:r>
            <m:oMath>
              <m:r>
                <m:t>f</m:t>
              </m:r>
            </m:oMath>
            <w:r>
              <w:t xml:space="preserve"> </w:t>
            </w:r>
            <w:r>
              <w:t xml:space="preserve">ratio model; (C-D) Logistic growth fitting for</w:t>
            </w:r>
            <w:r>
              <w:t xml:space="preserve"> </w:t>
            </w:r>
            <w:r>
              <w:rPr>
                <w:i/>
                <w:iCs/>
              </w:rPr>
              <w:t xml:space="preserve">Pseudanabaena</w:t>
            </w:r>
            <w:r>
              <w:t xml:space="preserve"> </w:t>
            </w:r>
            <w:r>
              <w:t xml:space="preserve">(C) and</w:t>
            </w:r>
            <w:r>
              <w:t xml:space="preserve"> </w:t>
            </w:r>
            <w:r>
              <w:rPr>
                <w:i/>
                <w:iCs/>
              </w:rPr>
              <w:t xml:space="preserve">Planktothricoides</w:t>
            </w:r>
            <w:r>
              <w:t xml:space="preserve"> </w:t>
            </w:r>
            <w:r>
              <w:t xml:space="preserve">(D),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 (E) Inter-species comparison of model parameters (</w:t>
            </w:r>
            <m:oMath>
              <m:sSub>
                <m:e>
                  <m:r>
                    <m:t>α</m:t>
                  </m:r>
                </m:e>
                <m:sub>
                  <m:r>
                    <m:t>1</m:t>
                  </m:r>
                </m:sub>
              </m:sSub>
            </m:oMath>
            <w:r>
              <w:t xml:space="preserve">,</w:t>
            </w:r>
            <w:r>
              <w:t xml:space="preserve"> </w:t>
            </w:r>
            <m:oMath>
              <m:sSub>
                <m:e>
                  <m:r>
                    <m:t>α</m:t>
                  </m:r>
                </m:e>
                <m:sub>
                  <m:r>
                    <m:t>1</m:t>
                  </m:r>
                </m:sub>
              </m:sSub>
            </m:oMath>
            <w:r>
              <w:t xml:space="preserve">, β; (F) Model residual analysis for both species. Note: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w:t>
      </w:r>
      <m:oMath>
        <m:r>
          <m:t>f</m:t>
        </m:r>
      </m:oMath>
      <w:r>
        <w:t xml:space="preserve"> </w:t>
      </w:r>
      <w:r>
        <w:t xml:space="preserve">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S8).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Research has established that</w:t>
      </w:r>
      <w:r>
        <w:t xml:space="preserve"> </w:t>
      </w:r>
      <w:r>
        <w:rPr>
          <w:i/>
          <w:iCs/>
        </w:rPr>
        <w:t xml:space="preserve">Pseudanabaena</w:t>
      </w:r>
      <w:r>
        <w:t xml:space="preserve"> </w:t>
      </w:r>
      <w:r>
        <w:t xml:space="preserve">exhibits distinct intrinsic growth rates (</w:t>
      </w:r>
      <m:oMath>
        <m:r>
          <m:t>r</m:t>
        </m:r>
      </m:oMath>
      <w:r>
        <w:t xml:space="preserve">) under varying light and temperature conditions. These growth rate variations significantly influence the temporal dynamics of the growth stage indicator (</w:t>
      </w:r>
      <m:oMath>
        <m:r>
          <m:t>S</m:t>
        </m:r>
        <m:r>
          <m:t>t</m:t>
        </m:r>
      </m:oMath>
      <w:r>
        <w:t xml:space="preserve">) by modifying the timing of the logistic growth inflection point (</w:t>
      </w:r>
      <m:oMath>
        <m:sSub>
          <m:e>
            <m:r>
              <m:t>T</m:t>
            </m:r>
          </m:e>
          <m:sub>
            <m:r>
              <m:t>0</m:t>
            </m:r>
          </m:sub>
        </m:sSub>
      </m:oMath>
      <w:r>
        <w:t xml:space="preserve">). Across the environmental ranges typical for Lake Taihu (15-35°C and 0.1-0.4 mol m</w:t>
      </w:r>
      <w:r>
        <w:rPr>
          <w:vertAlign w:val="superscript"/>
        </w:rPr>
        <w:t xml:space="preserve">-2</w:t>
      </w:r>
      <w:r>
        <w:t xml:space="preserve"> </w:t>
      </w:r>
      <w:r>
        <w:t xml:space="preserve">d</w:t>
      </w:r>
      <w:r>
        <w:rPr>
          <w:vertAlign w:val="superscript"/>
        </w:rPr>
        <w:t xml:space="preserve">-1</w:t>
      </w:r>
      <w:r>
        <w:t xml:space="preserve">),</w:t>
      </w:r>
      <w:r>
        <w:t xml:space="preserve"> </w:t>
      </w:r>
      <m:oMath>
        <m:sSub>
          <m:e>
            <m:r>
              <m:t>T</m:t>
            </m:r>
          </m:e>
          <m:sub>
            <m:r>
              <m:t>0</m:t>
            </m:r>
          </m:sub>
        </m:sSub>
      </m:oMath>
      <w:r>
        <w:t xml:space="preserve"> </w:t>
      </w:r>
      <w:r>
        <w:t xml:space="preserve">demonstrates consistent negative correlations with three key factors: initial cell density, light availability, and temperature (</w:t>
      </w:r>
      <w:hyperlink w:anchor="fig-lighttemp">
        <w:r>
          <w:rPr>
            <w:rStyle w:val="Hyperlink"/>
          </w:rPr>
          <w:t xml:space="preserve">Fig. 6</w:t>
        </w:r>
      </w:hyperlink>
      <w:r>
        <w:t xml:space="preserve">A).</w:t>
      </w:r>
    </w:p>
    <w:p>
      <w:pPr>
        <w:pStyle w:val="BodyText"/>
      </w:pPr>
      <w:r>
        <w:t xml:space="preserve">The ecological implications of these relationships are noteworthy. When environmental carrying capacity remains stable but initial cell density increases, the growth stage duration of odor-producing cyanobacteria shortens substantially, resulting in decreased</w:t>
      </w:r>
      <w:r>
        <w:t xml:space="preserve"> </w:t>
      </w:r>
      <m:oMath>
        <m:sSub>
          <m:e>
            <m:r>
              <m:t>T</m:t>
            </m:r>
          </m:e>
          <m:sub>
            <m:r>
              <m:t>0</m:t>
            </m:r>
          </m:sub>
        </m:sSub>
      </m:oMath>
      <w:r>
        <w:t xml:space="preserve"> </w:t>
      </w:r>
      <w:r>
        <w:t xml:space="preserve">values. This accelerated growth timeline leads to earlier onset of crowding effects, subsequent cell lysis, and increased release of odor compounds - all contributing to elevated odor risk. Parallel effects occur under favorable light and temperature conditions, where higher light intensity and warmer temperatures similarly reduce</w:t>
      </w:r>
      <w:r>
        <w:t xml:space="preserve"> </w:t>
      </w:r>
      <m:oMath>
        <m:sSub>
          <m:e>
            <m:r>
              <m:t>T</m:t>
            </m:r>
          </m:e>
          <m:sub>
            <m:r>
              <m:t>0</m:t>
            </m:r>
          </m:sub>
        </m:sSub>
      </m:oMath>
      <w:r>
        <w:t xml:space="preserve"> </w:t>
      </w:r>
      <w:r>
        <w:t xml:space="preserve">through enhanced cellular growth rates.</w:t>
      </w:r>
    </w:p>
    <w:p>
      <w:pPr>
        <w:pStyle w:val="BodyText"/>
      </w:pPr>
      <w:r>
        <w:t xml:space="preserve">Application of these relationships within Lake Taihu’s odor risk prediction framework reveals two distinct risk peaks under moderate light conditions. The first occurs around 15°C, with a second peak emerging above 30°C (</w:t>
      </w:r>
      <w:hyperlink w:anchor="fig-lighttemp">
        <w:r>
          <w:rPr>
            <w:rStyle w:val="Hyperlink"/>
          </w:rPr>
          <w:t xml:space="preserve">Fig. 6</w:t>
        </w:r>
      </w:hyperlink>
      <w:r>
        <w:t xml:space="preserve">B). These critical temperature thresholds align precisely with the observed bimodal pattern of MIB-related odor events in the lake, explaining the characteristic spring and summer outbreak periods. The model output confirms that temperature-mediated alterations in cyanobacterial growth dynamics represent the primary driver of seasonal MIB risk variations throughout Lake Taihu.</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Environmental influences on cyanobacterial growth dynamics and odor risk in Lake Taihu: (A) Variation in logistic growth inflection points under different light and temperature conditions; (B) Resulting probability of total MIB concentrations exceeding 10 ng L</w:t>
            </w:r>
            <w:r>
              <w:rPr>
                <w:vertAlign w:val="superscript"/>
              </w:rPr>
              <w:t xml:space="preserve">-1</w:t>
            </w:r>
            <w:r>
              <w:t xml:space="preserve"> </w:t>
            </w:r>
            <w:r>
              <w:t xml:space="preserve">(</w:t>
            </w:r>
            <m:oMath>
              <m:r>
                <m:t>t</m:t>
              </m:r>
            </m:oMath>
            <w:r>
              <w:rPr>
                <w:vertAlign w:val="subscript"/>
              </w:rPr>
              <w:t xml:space="preserve">MIB</w:t>
            </w:r>
            <w:r>
              <w:t xml:space="preserve"> </w:t>
            </w:r>
            <w:r>
              <w:t xml:space="preserve">&gt; 10 ng L</w:t>
            </w:r>
            <w:r>
              <w:rPr>
                <w:vertAlign w:val="superscript"/>
              </w:rPr>
              <w:t xml:space="preserve">-1</w:t>
            </w:r>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66,67</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67–70</w:t>
      </w:r>
      <w:r>
        <w:t xml:space="preserve">. From April to May, when the surface water temperature exceeds 20°C, MIB-producing cyanobacteria are already able to grow at a considerable rate</w:t>
      </w:r>
      <w:r>
        <w:rPr>
          <w:vertAlign w:val="superscript"/>
        </w:rPr>
        <w:t xml:space="preserve">71–73</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70,74</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75</w:t>
      </w:r>
      <w:r>
        <w:t xml:space="preserve">. Research on microcystin production in Lake Taihu supports this timeline, with significant increases in microcystin concentrations observed only after May</w:t>
      </w:r>
      <w:r>
        <w:rPr>
          <w:vertAlign w:val="superscript"/>
        </w:rPr>
        <w:t xml:space="preserve">66</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9,76–78</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xuwei2019the"/>
    <w:p>
      <w:pPr>
        <w:pStyle w:val="Bibliography"/>
      </w:pPr>
      <w:r>
        <w:t xml:space="preserve">(75)</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2025-06-02T16:08:58Z</dcterms:created>
  <dcterms:modified xsi:type="dcterms:W3CDTF">2025-06-02T16:08:58Z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