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45.png" ContentType="image/png"/>
  <Override PartName="/word/media/rId49.png" ContentType="image/png"/>
  <Override PartName="/word/media/rId54.png" ContentType="image/png"/>
  <Override PartName="/word/media/rId58.png" ContentType="image/png"/>
  <Override PartName="/word/media/rId69.png" ContentType="image/png"/>
  <Override PartName="/word/media/rId63.png" ContentType="image/png"/>
  <Override PartName="/word/media/rId4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MIB Release Dynamics and Implications for Lake Taihu</w:t>
      </w:r>
    </w:p>
    <w:p>
      <w:pPr>
        <w:pStyle w:val="Author"/>
      </w:pPr>
      <w:r>
        <w:t xml:space="preserve">Yufan Ai</w:t>
      </w:r>
      <w:r>
        <w:rPr>
          <w:vertAlign w:val="superscript"/>
        </w:rPr>
        <w:t xml:space="preserve">†,1,4</w:t>
      </w:r>
      <w:r>
        <w:t xml:space="preserve">, Yongnian Wu</w:t>
      </w:r>
      <w:r>
        <w:rPr>
          <w:vertAlign w:val="superscript"/>
        </w:rPr>
        <w:t xml:space="preserve">†,2</w:t>
      </w:r>
      <w:r>
        <w:t xml:space="preserve">, Ming Su</w:t>
      </w:r>
      <w:r>
        <w:rPr>
          <w:vertAlign w:val="superscript"/>
        </w:rPr>
        <w:t xml:space="preserve">†,1,4,✉</w:t>
      </w:r>
      <w:r>
        <w:t xml:space="preserve">, Yuying Gui</w:t>
      </w:r>
      <w:r>
        <w:rPr>
          <w:vertAlign w:val="superscript"/>
        </w:rPr>
        <w:t xml:space="preserve">1,3</w:t>
      </w:r>
      <w:r>
        <w:t xml:space="preserve">, Yifan Du</w:t>
      </w:r>
      <w:r>
        <w:rPr>
          <w:vertAlign w:val="superscript"/>
        </w:rPr>
        <w:t xml:space="preserve">1</w:t>
      </w:r>
      <w:r>
        <w:t xml:space="preserve">, Jiao Fang</w:t>
      </w:r>
      <w:r>
        <w:rPr>
          <w:vertAlign w:val="superscript"/>
        </w:rPr>
        <w:t xml:space="preserve">1</w:t>
      </w:r>
      <w:r>
        <w:t xml:space="preserve">, Tengxin Cao</w:t>
      </w:r>
      <w:r>
        <w:rPr>
          <w:vertAlign w:val="superscript"/>
        </w:rPr>
        <w:t xml:space="preserve">1,4</w:t>
      </w:r>
      <w:r>
        <w:t xml:space="preserve">, and Min Yang</w:t>
      </w:r>
      <w:r>
        <w:rPr>
          <w:vertAlign w:val="superscript"/>
        </w:rPr>
        <w:t xml:space="preserve">1,4,✉</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1</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w:t>
      </w:r>
      <w:r>
        <w:br/>
      </w:r>
      <w:r>
        <w:rPr>
          <w:vertAlign w:val="superscript"/>
        </w:rPr>
        <w:t xml:space="preserve">2</w:t>
      </w:r>
      <w:r>
        <w:t xml:space="preserve"> </w:t>
      </w:r>
      <w:r>
        <w:t xml:space="preserve">Bureau of Hydrology Information Center of Taihu Basin Authority, Shanghai 200434, China</w:t>
      </w:r>
      <w:r>
        <w:br/>
      </w:r>
      <w:r>
        <w:rPr>
          <w:vertAlign w:val="superscript"/>
        </w:rPr>
        <w:t xml:space="preserve">3</w:t>
      </w:r>
      <w:r>
        <w:t xml:space="preserve"> </w:t>
      </w:r>
      <w:r>
        <w:t xml:space="preserve">College of Environmental Science and Engineering, Ocean University of China</w:t>
      </w:r>
      <w:r>
        <w:br/>
      </w:r>
      <w:r>
        <w:rPr>
          <w:vertAlign w:val="superscript"/>
        </w:rPr>
        <w:t xml:space="preserve">4</w:t>
      </w:r>
      <w:r>
        <w:t xml:space="preserve"> </w:t>
      </w:r>
      <w:r>
        <w:t xml:space="preserve">University of Chinese Academy of Sciences. No. 19A Yuquan Road, Shijingshan, Beijing, 100049, China</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Ming Su &lt;mingsu@rcees.ac.cn&gt;</w:t>
        </w:r>
      </w:hyperlink>
      <w:r>
        <w:t xml:space="preserve">,</w:t>
      </w:r>
      <w:r>
        <w:t xml:space="preserve"> </w:t>
      </w:r>
      <w:hyperlink r:id="rId21">
        <w:r>
          <w:rPr>
            <w:rStyle w:val="Hyperlink"/>
          </w:rPr>
          <w:t xml:space="preserve">Min Yang &lt;yangmin@rcees.ac.cn&gt;</w:t>
        </w:r>
      </w:hyperlink>
    </w:p>
    <w:p>
      <w:r>
        <w:br w:type="page"/>
      </w:r>
    </w:p>
    <w:bookmarkStart w:id="25" w:name="toc-of-art"/>
    <w:p>
      <w:pPr>
        <w:pStyle w:val="Heading1"/>
      </w:pPr>
      <w:r>
        <w:t xml:space="preserve">TOC OF ART</w:t>
      </w:r>
    </w:p>
    <w:p>
      <w:pPr>
        <w:pStyle w:val="FirstParagraph"/>
      </w:pPr>
      <w:r>
        <w:drawing>
          <wp:inline>
            <wp:extent cx="4027170" cy="2836035"/>
            <wp:effectExtent b="0" l="0" r="0" t="0"/>
            <wp:docPr descr="" title="" id="23" name="Picture"/>
            <a:graphic>
              <a:graphicData uri="http://schemas.openxmlformats.org/drawingml/2006/picture">
                <pic:pic>
                  <pic:nvPicPr>
                    <pic:cNvPr descr="../figures/GA.png" id="24" name="Picture"/>
                    <pic:cNvPicPr>
                      <a:picLocks noChangeArrowheads="1" noChangeAspect="1"/>
                    </pic:cNvPicPr>
                  </pic:nvPicPr>
                  <pic:blipFill>
                    <a:blip r:embed="rId22"/>
                    <a:stretch>
                      <a:fillRect/>
                    </a:stretch>
                  </pic:blipFill>
                  <pic:spPr bwMode="auto">
                    <a:xfrm>
                      <a:off x="0" y="0"/>
                      <a:ext cx="4027170" cy="2836035"/>
                    </a:xfrm>
                    <a:prstGeom prst="rect">
                      <a:avLst/>
                    </a:prstGeom>
                    <a:noFill/>
                    <a:ln w="9525">
                      <a:noFill/>
                      <a:headEnd/>
                      <a:tailEnd/>
                    </a:ln>
                  </pic:spPr>
                </pic:pic>
              </a:graphicData>
            </a:graphic>
          </wp:inline>
        </w:drawing>
      </w:r>
    </w:p>
    <w:p>
      <w:r>
        <w:br w:type="page"/>
      </w:r>
    </w:p>
    <w:bookmarkEnd w:id="25"/>
    <w:bookmarkStart w:id="26"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 Application to Lake Taihu successfully reconstructed two odor events (2022-2023),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6"/>
    <w:bookmarkStart w:id="27" w:name="synopsis"/>
    <w:p>
      <w:pPr>
        <w:pStyle w:val="Heading1"/>
      </w:pPr>
      <w:r>
        <w:t xml:space="preserve">SYNOPSIS</w:t>
      </w:r>
    </w:p>
    <w:p>
      <w:pPr>
        <w:pStyle w:val="FirstParagraph"/>
      </w:pPr>
      <w:r>
        <w:t xml:space="preserve">Our mechanistic model shows crowding-induced cyanobacterial lysis drives MIB release, enabling odor outbreak prediction and optimized water treatment strategies</w:t>
      </w:r>
    </w:p>
    <w:bookmarkEnd w:id="27"/>
    <w:bookmarkStart w:id="28"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prevalent problems</w:t>
      </w:r>
      <w:r>
        <w:rPr>
          <w:vertAlign w:val="superscript"/>
        </w:rPr>
        <w:t xml:space="preserve">1–3</w:t>
      </w:r>
      <w:r>
        <w:t xml:space="preserve">. MIB, an odorous terpenoid derivative, poses a persistent challenge in drinking water due to its extremely low odor threshold concentration (OTC) of 10 ng L</w:t>
      </w:r>
      <w:r>
        <w:rPr>
          <w:vertAlign w:val="superscript"/>
        </w:rPr>
        <w:t xml:space="preserve">-1</w:t>
      </w:r>
      <w:r>
        <w:t xml:space="preserve"> </w:t>
      </w:r>
      <w:r>
        <w:t xml:space="preserve">and its resistance to conventional water treatment processes</w:t>
      </w:r>
      <w:r>
        <w:rPr>
          <w:vertAlign w:val="superscript"/>
        </w:rPr>
        <w:t xml:space="preserve">4–10</w:t>
      </w:r>
      <w:r>
        <w:t xml:space="preserve">. This compound is produced by various microorganisms, including actinomycetes</w:t>
      </w:r>
      <w:r>
        <w:rPr>
          <w:vertAlign w:val="superscript"/>
        </w:rPr>
        <w:t xml:space="preserve">11</w:t>
      </w:r>
      <w:r>
        <w:t xml:space="preserve">, cyanobacteria</w:t>
      </w:r>
      <w:r>
        <w:rPr>
          <w:vertAlign w:val="superscript"/>
        </w:rPr>
        <w:t xml:space="preserve">12</w:t>
      </w:r>
      <w:r>
        <w:t xml:space="preserve">, fungi</w:t>
      </w:r>
      <w:r>
        <w:rPr>
          <w:vertAlign w:val="superscript"/>
        </w:rPr>
        <w:t xml:space="preserve">13</w:t>
      </w:r>
      <w:r>
        <w:t xml:space="preserve">, and myxobacteria</w:t>
      </w:r>
      <w:r>
        <w:rPr>
          <w:vertAlign w:val="superscript"/>
        </w:rPr>
        <w:t xml:space="preserve">14</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15–21</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22,23</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24,25</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 Existing studies on MIB distribution are limited and often assume a constant ratio, which fails to provide actionable insights for water treatment optimization.</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25–28</w:t>
      </w:r>
      <w:r>
        <w:t xml:space="preserve">. The biosynthetic pathway of MIB in cyanobacteria involves the methylation of geranyl diphosphate (GPP) followed by cyclization of methyl-GPP, catalyzed by 2-methylisoborneol synthase (2-MIBS) within the Sg Enc protein shell</w:t>
      </w:r>
      <w:r>
        <w:rPr>
          <w:vertAlign w:val="superscript"/>
        </w:rPr>
        <w:t xml:space="preserve">29–32</w:t>
      </w:r>
      <w:r>
        <w:t xml:space="preserve">. 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27,33</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25,34,35</w:t>
      </w:r>
      <w:r>
        <w:t xml:space="preserve">. One hypothesis suggests that cyanobacteria may increase extracellular MIB release under stress to inhibit competing algal species, thereby maintaining ecological dominance</w:t>
      </w:r>
      <w:r>
        <w:rPr>
          <w:vertAlign w:val="superscript"/>
        </w:rPr>
        <w:t xml:space="preserve">35</w:t>
      </w:r>
      <w:r>
        <w:t xml:space="preserve">. Alternatively, extracellular MIB may simply result from cell damage or death under adverse conditions</w:t>
      </w:r>
      <w:r>
        <w:rPr>
          <w:vertAlign w:val="superscript"/>
        </w:rPr>
        <w:t xml:space="preserve">25,36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37–40</w:t>
      </w:r>
      <w:r>
        <w:t xml:space="preserve">. Crowding-induced growth limitation arises from resource competition, spatial constraints, and cell cycle arrest</w:t>
      </w:r>
      <w:r>
        <w:rPr>
          <w:vertAlign w:val="superscript"/>
        </w:rPr>
        <w:t xml:space="preserve">41,42</w:t>
      </w:r>
      <w:r>
        <w:t xml:space="preserve">, while cell death may result from programmed cell death, metabolic stress, mechanical damage, or cell-to-cell interactions</w:t>
      </w:r>
      <w:r>
        <w:rPr>
          <w:vertAlign w:val="superscript"/>
        </w:rPr>
        <w:t xml:space="preserve">43–45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46–48</w:t>
      </w:r>
      <w:r>
        <w:t xml:space="preserve">. This model is particularly useful for analyzing shifts in metabolic activity and the timing of metabolite release, making it well-suited for studying MIB dynamics</w:t>
      </w:r>
      <w:r>
        <w:rPr>
          <w:vertAlign w:val="superscript"/>
        </w:rPr>
        <w:t xml:space="preserve">49,50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mechanical model describing the temporal variation of</w:t>
      </w:r>
      <w:r>
        <w:t xml:space="preserve"> </w:t>
      </w:r>
      <m:oMath>
        <m:r>
          <m:t>f</m:t>
        </m:r>
      </m:oMath>
      <w:r>
        <w:t xml:space="preserve"> </w:t>
      </w:r>
      <w:r>
        <w:t xml:space="preserve">using culture experiments with typical MIB-producing strains. The model was validated to explain MIB release patterns during cell growth and applied to assess growth-stage distributions of odor-producing cyanobacteria in Taihu Lake, predicting odor risk during MIB outbreaks. This study provides new insights into MIB release dynamics, enhances understanding of cyanobacterial odor production, and offers practical guidance for water treatment process selection and bloom management.</w:t>
      </w:r>
    </w:p>
    <w:bookmarkEnd w:id="28"/>
    <w:bookmarkStart w:id="39" w:name="materials-and-methods"/>
    <w:p>
      <w:pPr>
        <w:pStyle w:val="Heading1"/>
      </w:pPr>
      <w:r>
        <w:t xml:space="preserve">Materials and Methods</w:t>
      </w:r>
    </w:p>
    <w:bookmarkStart w:id="29"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w:t>
      </w:r>
      <w:r>
        <w:t xml:space="preserve"> </w:t>
      </w:r>
      <w:r>
        <w:t xml:space="preserve">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w:t>
      </w:r>
      <w:r>
        <w:t xml:space="preserve"> </w:t>
      </w:r>
      <w:r>
        <w:t xml:space="preserve">It is also extensively used for irrigation and aquaculture, making water quality a vital concern for local ecosystems and livelihoods.</w:t>
      </w:r>
    </w:p>
    <w:p>
      <w:pPr>
        <w:pStyle w:val="BodyText"/>
      </w:pPr>
      <w:r>
        <w:t xml:space="preserve">Lake Taihu is renowned for its recurrent</w:t>
      </w:r>
      <w:r>
        <w:t xml:space="preserve"> </w:t>
      </w:r>
      <w:r>
        <w:rPr>
          <w:i/>
          <w:iCs/>
        </w:rPr>
        <w:t xml:space="preserve">Microcystis</w:t>
      </w:r>
      <w:r>
        <w:t xml:space="preserve"> </w:t>
      </w:r>
      <w:r>
        <w:t xml:space="preserve">blooms, which have drawn significant scientific and policy attention. In response, China has implemented substantial efforts to reduce non-point source pollution, particularly nutrient loading, leading to measurable improvements in water quality in recent years. However, as nutrient concentrations have declined, shifts in algal community composition have occurred:</w:t>
      </w:r>
      <w:r>
        <w:t xml:space="preserve"> </w:t>
      </w:r>
      <w:r>
        <w:rPr>
          <w:i/>
          <w:iCs/>
        </w:rPr>
        <w:t xml:space="preserve">Microcystis</w:t>
      </w:r>
      <w:r>
        <w:t xml:space="preserve"> </w:t>
      </w:r>
      <w:r>
        <w:t xml:space="preserve">blooms have diminished, while filamentous cyanobacteria have proliferated, resulting in elevated 2-methylisoborneol (MIB) levels.</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p>
    <w:bookmarkEnd w:id="29"/>
    <w:bookmarkStart w:id="30"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51</w:t>
      </w:r>
      <w:r>
        <w:t xml:space="preserve">. Total MIB production potential was determined by measuring its concentration within 72 hours using solid-phase microextraction (SPME) coupled with gas chromatography-mass spectrometry (GC-MS; Agilent 6890/5975, USA), following established protocols</w:t>
      </w:r>
      <w:r>
        <w:rPr>
          <w:vertAlign w:val="superscript"/>
        </w:rPr>
        <w:t xml:space="preserve">16,52</w:t>
      </w:r>
      <w:r>
        <w:t xml:space="preserve">.</w:t>
      </w:r>
    </w:p>
    <w:p>
      <w:pPr>
        <w:pStyle w:val="BodyText"/>
      </w:pPr>
      <w:r>
        <w:t xml:space="preserve">For phytoplankton enumeration, subsamples (1000 mL) were fixed with 5% Lugol’s iodine solution</w:t>
      </w:r>
      <w:r>
        <w:rPr>
          <w:vertAlign w:val="superscript"/>
        </w:rPr>
        <w:t xml:space="preserve">53</w:t>
      </w:r>
      <w:r>
        <w:t xml:space="preserve">, settled for 48 hours, and pre-concentrated 20-fold before analysis. Cyanobacterial species were identified based on morphological criteria</w:t>
      </w:r>
      <w:r>
        <w:rPr>
          <w:vertAlign w:val="superscript"/>
        </w:rPr>
        <w:t xml:space="preserve">54</w:t>
      </w:r>
      <w:r>
        <w:t xml:space="preserve">, with taxonomic revisions following ref</w:t>
      </w:r>
      <w:r>
        <w:rPr>
          <w:vertAlign w:val="superscript"/>
        </w:rPr>
        <w:t xml:space="preserve">55</w:t>
      </w:r>
      <w:r>
        <w:t xml:space="preserve">. Cell counts were performed using an upright microscope (Olympus BX53, Japan) following the Utermöhl method</w:t>
      </w:r>
      <w:r>
        <w:rPr>
          <w:vertAlign w:val="superscript"/>
        </w:rPr>
        <w:t xml:space="preserve">56</w:t>
      </w:r>
      <w:r>
        <w:t xml:space="preserve">.</w:t>
      </w:r>
    </w:p>
    <w:bookmarkEnd w:id="30"/>
    <w:bookmarkStart w:id="35" w:name="model-development"/>
    <w:p>
      <w:pPr>
        <w:pStyle w:val="Heading2"/>
      </w:pPr>
      <w:r>
        <w:t xml:space="preserve">Model Development</w:t>
      </w:r>
    </w:p>
    <w:p>
      <w:pPr>
        <w:pStyle w:val="FirstParagraph"/>
      </w:pP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31"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31"/>
    </w:p>
    <w:p>
      <w:pPr>
        <w:pStyle w:val="FirstParagraph"/>
      </w:pPr>
      <w:r>
        <w:br/>
      </w:r>
    </w:p>
    <w:p>
      <w:pPr>
        <w:pStyle w:val="BodyText"/>
      </w:pPr>
      <w:bookmarkStart w:id="32"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32"/>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48,50</w:t>
      </w:r>
      <w:r>
        <w:t xml:space="preserve">, and</w:t>
      </w:r>
      <w:r>
        <w:t xml:space="preserve"> </w:t>
      </w:r>
      <m:oMath>
        <m:r>
          <m:t>θ</m:t>
        </m:r>
      </m:oMath>
      <w:r>
        <w:t xml:space="preserve"> </w:t>
      </w:r>
      <w:r>
        <w:t xml:space="preserve">denotes the initial growth potential.</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33</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3"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3"/>
    </w:p>
    <w:p>
      <w:pPr>
        <w:pStyle w:val="FirstParagraph"/>
      </w:pPr>
      <w:r>
        <w:br/>
      </w:r>
    </w:p>
    <w:p>
      <w:pPr>
        <w:pStyle w:val="BodyText"/>
      </w:pPr>
      <w:bookmarkStart w:id="34"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4"/>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is a correction factor for</w:t>
      </w:r>
      <w:r>
        <w:t xml:space="preserve"> </w:t>
      </w:r>
      <m:oMath>
        <m:r>
          <m:rPr>
            <m:nor/>
            <m:sty m:val="p"/>
          </m:rPr>
          <m:t>MIB</m:t>
        </m:r>
      </m:oMath>
      <w:r>
        <w:t xml:space="preserve"> </w:t>
      </w:r>
      <w:r>
        <w:t xml:space="preserve">accumulation/volatilization. 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5"/>
    <w:bookmarkStart w:id="37"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6"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6"/>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 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generated a frequency distribution histogram (Fig. S11)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7"/>
    <w:bookmarkStart w:id="38"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57</w:t>
      </w:r>
      <w:r>
        <w:t xml:space="preserve">. Data preprocessing and summarization used</w:t>
      </w:r>
      <w:r>
        <w:t xml:space="preserve"> </w:t>
      </w:r>
      <w:r>
        <w:rPr>
          <w:rStyle w:val="VerbatimChar"/>
        </w:rPr>
        <w:t xml:space="preserve">dplyr</w:t>
      </w:r>
      <w:r>
        <w:rPr>
          <w:vertAlign w:val="superscript"/>
        </w:rPr>
        <w:t xml:space="preserve">58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59</w:t>
      </w:r>
      <w:r>
        <w:t xml:space="preserve">) and quantile regression (</w:t>
      </w:r>
      <w:r>
        <w:rPr>
          <w:rStyle w:val="VerbatimChar"/>
        </w:rPr>
        <w:t xml:space="preserve">quantreg</w:t>
      </w:r>
      <w:r>
        <w:t xml:space="preserve">;</w:t>
      </w:r>
      <w:r>
        <w:rPr>
          <w:vertAlign w:val="superscript"/>
        </w:rPr>
        <w:t xml:space="preserve">60</w:t>
      </w:r>
      <w:r>
        <w:t xml:space="preserve">) were applied where appropriate. Figures were generated using</w:t>
      </w:r>
      <w:r>
        <w:t xml:space="preserve"> </w:t>
      </w:r>
      <w:r>
        <w:rPr>
          <w:rStyle w:val="VerbatimChar"/>
        </w:rPr>
        <w:t xml:space="preserve">ggplot2</w:t>
      </w:r>
      <w:r>
        <w:rPr>
          <w:vertAlign w:val="superscript"/>
        </w:rPr>
        <w:t xml:space="preserve">61</w:t>
      </w:r>
      <w:r>
        <w:t xml:space="preserve">, with contour plots produced via the</w:t>
      </w:r>
      <w:r>
        <w:t xml:space="preserve"> </w:t>
      </w:r>
      <w:r>
        <w:rPr>
          <w:rStyle w:val="VerbatimChar"/>
        </w:rPr>
        <w:t xml:space="preserve">graphics</w:t>
      </w:r>
      <w:r>
        <w:t xml:space="preserve"> </w:t>
      </w:r>
      <w:r>
        <w:t xml:space="preserve">package.</w:t>
      </w:r>
    </w:p>
    <w:bookmarkEnd w:id="38"/>
    <w:bookmarkEnd w:id="39"/>
    <w:bookmarkStart w:id="68" w:name="results"/>
    <w:p>
      <w:pPr>
        <w:pStyle w:val="Heading1"/>
      </w:pPr>
      <w:r>
        <w:t xml:space="preserve">Results</w:t>
      </w:r>
    </w:p>
    <w:bookmarkStart w:id="44"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w:t>
      </w:r>
      <w:r>
        <w:rPr>
          <w:i/>
          <w:iCs/>
        </w:rPr>
        <w:t xml:space="preserve">p</w:t>
      </w:r>
      <w:r>
        <w:t xml:space="preserve"> </w:t>
      </w:r>
      <w:r>
        <w:t xml:space="preserve">&lt; 0.001). Notably, MIB concentrations across the lake were relatively low in June, between the two outbreak periods.</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 Cluster analysis of MIB concentrations from all 31 sampling sites revealed four distinct spatial clusters that corresponded to different lake regions (Fig. S1), with the most severe outbreaks concentrated in the northern and southeastern clusters.</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 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 coinciding with MIB production. 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3" w:name="fig-taihumibalgae"/>
          <w:p>
            <w:pPr>
              <w:pStyle w:val="Compact"/>
              <w:jc w:val="center"/>
            </w:pPr>
            <w:r>
              <w:drawing>
                <wp:inline>
                  <wp:extent cx="5177790" cy="5188166"/>
                  <wp:effectExtent b="0" l="0" r="0" t="0"/>
                  <wp:docPr descr="" title="" id="41" name="Picture"/>
                  <a:graphic>
                    <a:graphicData uri="http://schemas.openxmlformats.org/drawingml/2006/picture">
                      <pic:pic>
                        <pic:nvPicPr>
                          <pic:cNvPr descr="../figures/taihumibalgae_revised.png" id="42" name="Picture"/>
                          <pic:cNvPicPr>
                            <a:picLocks noChangeArrowheads="1" noChangeAspect="1"/>
                          </pic:cNvPicPr>
                        </pic:nvPicPr>
                        <pic:blipFill>
                          <a:blip r:embed="rId40"/>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3"/>
        </w:tc>
      </w:tr>
    </w:tbl>
    <w:bookmarkEnd w:id="44"/>
    <w:bookmarkStart w:id="53"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8" w:name="fig-modelconcept"/>
          <w:p>
            <w:pPr>
              <w:pStyle w:val="Compact"/>
              <w:jc w:val="center"/>
            </w:pPr>
            <w:r>
              <w:drawing>
                <wp:inline>
                  <wp:extent cx="4602480" cy="4475475"/>
                  <wp:effectExtent b="0" l="0" r="0" t="0"/>
                  <wp:docPr descr="" title="" id="46" name="Picture"/>
                  <a:graphic>
                    <a:graphicData uri="http://schemas.openxmlformats.org/drawingml/2006/picture">
                      <pic:pic>
                        <pic:nvPicPr>
                          <pic:cNvPr descr="../figures/culturedata.png" id="47" name="Picture"/>
                          <pic:cNvPicPr>
                            <a:picLocks noChangeArrowheads="1" noChangeAspect="1"/>
                          </pic:cNvPicPr>
                        </pic:nvPicPr>
                        <pic:blipFill>
                          <a:blip r:embed="rId45"/>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bookmarkEnd w:id="48"/>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 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Therefore, we formed this mechanical model as illustrated and represent in</w:t>
      </w:r>
      <w:r>
        <w:t xml:space="preserv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These patterns are consistent with the conceptual results (</w:t>
      </w:r>
      <w:hyperlink w:anchor="fig-modelout">
        <w:r>
          <w:rPr>
            <w:rStyle w:val="Hyperlink"/>
          </w:rPr>
          <w:t xml:space="preserve">Fig. 3</w:t>
        </w:r>
      </w:hyperlink>
      <w:r>
        <w:t xml:space="preserve">A).</w:t>
      </w:r>
    </w:p>
    <w:tbl>
      <w:tblPr>
        <w:tblStyle w:val="Table"/>
        <w:tblW w:type="pct" w:w="5000"/>
        <w:tblLayout w:type="fixed"/>
        <w:tblLook w:firstRow="0" w:lastRow="0" w:firstColumn="0" w:lastColumn="0" w:noHBand="0" w:noVBand="0" w:val="0000"/>
      </w:tblPr>
      <w:tblGrid>
        <w:gridCol w:w="7920"/>
      </w:tblGrid>
      <w:tr>
        <w:tc>
          <w:tcPr/>
          <w:bookmarkStart w:id="52" w:name="fig-modelout"/>
          <w:p>
            <w:pPr>
              <w:pStyle w:val="Compact"/>
              <w:jc w:val="center"/>
            </w:pPr>
            <w:r>
              <w:drawing>
                <wp:inline>
                  <wp:extent cx="4027170" cy="4523779"/>
                  <wp:effectExtent b="0" l="0" r="0" t="0"/>
                  <wp:docPr descr="" title="" id="50" name="Picture"/>
                  <a:graphic>
                    <a:graphicData uri="http://schemas.openxmlformats.org/drawingml/2006/picture">
                      <pic:pic>
                        <pic:nvPicPr>
                          <pic:cNvPr descr="../figures/model.png" id="51" name="Picture"/>
                          <pic:cNvPicPr>
                            <a:picLocks noChangeArrowheads="1" noChangeAspect="1"/>
                          </pic:cNvPicPr>
                        </pic:nvPicPr>
                        <pic:blipFill>
                          <a:blip r:embed="rId49"/>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52"/>
        </w:tc>
      </w:tr>
    </w:tbl>
    <w:bookmarkEnd w:id="53"/>
    <w:bookmarkStart w:id="62"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S2).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w:t>
      </w:r>
    </w:p>
    <w:p>
      <w:pPr>
        <w:pStyle w:val="BodyText"/>
      </w:pPr>
      <w:r>
        <w:t xml:space="preserve">These alternating growth phases directly corresponded with the two annual peaks in MIB concentrations observed in the lake.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 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p>
    <w:tbl>
      <w:tblPr>
        <w:tblStyle w:val="Table"/>
        <w:tblW w:type="pct" w:w="5000"/>
        <w:tblLayout w:type="fixed"/>
        <w:tblLook w:firstRow="0" w:lastRow="0" w:firstColumn="0" w:lastColumn="0" w:noHBand="0" w:noVBand="0" w:val="0000"/>
      </w:tblPr>
      <w:tblGrid>
        <w:gridCol w:w="7920"/>
      </w:tblGrid>
      <w:tr>
        <w:tc>
          <w:tcPr/>
          <w:bookmarkStart w:id="57" w:name="fig-period"/>
          <w:p>
            <w:pPr>
              <w:pStyle w:val="Compact"/>
              <w:jc w:val="center"/>
            </w:pPr>
            <w:r>
              <w:drawing>
                <wp:inline>
                  <wp:extent cx="4602480" cy="4820503"/>
                  <wp:effectExtent b="0" l="0" r="0" t="0"/>
                  <wp:docPr descr="" title="" id="55" name="Picture"/>
                  <a:graphic>
                    <a:graphicData uri="http://schemas.openxmlformats.org/drawingml/2006/picture">
                      <pic:pic>
                        <pic:nvPicPr>
                          <pic:cNvPr descr="../figures/period_revised.png" id="56" name="Picture"/>
                          <pic:cNvPicPr>
                            <a:picLocks noChangeArrowheads="1" noChangeAspect="1"/>
                          </pic:cNvPicPr>
                        </pic:nvPicPr>
                        <pic:blipFill>
                          <a:blip r:embed="rId54"/>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7"/>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S2, Fig. S7).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 This spatiotemporal progression of growth stages aligned closely with the observed patterns of MIB production throughout the study period.</w:t>
      </w:r>
    </w:p>
    <w:tbl>
      <w:tblPr>
        <w:tblStyle w:val="Table"/>
        <w:tblW w:type="pct" w:w="5000"/>
        <w:tblLayout w:type="fixed"/>
        <w:tblLook w:firstRow="0" w:lastRow="0" w:firstColumn="0" w:lastColumn="0" w:noHBand="0" w:noVBand="0" w:val="0000"/>
      </w:tblPr>
      <w:tblGrid>
        <w:gridCol w:w="7920"/>
      </w:tblGrid>
      <w:tr>
        <w:tc>
          <w:tcPr/>
          <w:bookmarkStart w:id="61" w:name="fig-periodandrisk"/>
          <w:p>
            <w:pPr>
              <w:pStyle w:val="Compact"/>
              <w:jc w:val="center"/>
            </w:pPr>
            <w:r>
              <w:drawing>
                <wp:inline>
                  <wp:extent cx="5753100" cy="5227075"/>
                  <wp:effectExtent b="0" l="0" r="0" t="0"/>
                  <wp:docPr descr="" title="" id="59" name="Picture"/>
                  <a:graphic>
                    <a:graphicData uri="http://schemas.openxmlformats.org/drawingml/2006/picture">
                      <pic:pic>
                        <pic:nvPicPr>
                          <pic:cNvPr descr="../figures/periodandrisk.png" id="60" name="Picture"/>
                          <pic:cNvPicPr>
                            <a:picLocks noChangeArrowheads="1" noChangeAspect="1"/>
                          </pic:cNvPicPr>
                        </pic:nvPicPr>
                        <pic:blipFill>
                          <a:blip r:embed="rId58"/>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61"/>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S10).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62"/>
    <w:bookmarkStart w:id="67"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m^-2 d^-1 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6" w:name="fig-lighttemp"/>
          <w:p>
            <w:pPr>
              <w:pStyle w:val="Compact"/>
              <w:jc w:val="center"/>
            </w:pPr>
            <w:r>
              <w:drawing>
                <wp:inline>
                  <wp:extent cx="4602480" cy="3067670"/>
                  <wp:effectExtent b="0" l="0" r="0" t="0"/>
                  <wp:docPr descr="" title="" id="64" name="Picture"/>
                  <a:graphic>
                    <a:graphicData uri="http://schemas.openxmlformats.org/drawingml/2006/picture">
                      <pic:pic>
                        <pic:nvPicPr>
                          <pic:cNvPr descr="../figures/taihualgaerisk_revised.png" id="65" name="Picture"/>
                          <pic:cNvPicPr>
                            <a:picLocks noChangeArrowheads="1" noChangeAspect="1"/>
                          </pic:cNvPicPr>
                        </pic:nvPicPr>
                        <pic:blipFill>
                          <a:blip r:embed="rId63"/>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6"/>
        </w:tc>
      </w:tr>
    </w:tbl>
    <w:bookmarkEnd w:id="67"/>
    <w:bookmarkEnd w:id="68"/>
    <w:bookmarkStart w:id="76" w:name="discussion"/>
    <w:p>
      <w:pPr>
        <w:pStyle w:val="Heading1"/>
      </w:pPr>
      <w:r>
        <w:t xml:space="preserve">Discussion</w:t>
      </w:r>
    </w:p>
    <w:bookmarkStart w:id="73"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62,63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 an key indicator 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64</w:t>
      </w:r>
      <w:r>
        <w:t xml:space="preserve">. The major mechanism of MIB release is cell lysis, occurring either through programmed cell death or mechanical rupture of the cell wall</w:t>
      </w:r>
      <w:r>
        <w:rPr>
          <w:vertAlign w:val="superscript"/>
        </w:rPr>
        <w:t xml:space="preserve">25,27,28,36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 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65</w:t>
      </w:r>
      <w:r>
        <w:t xml:space="preserve">.</w:t>
      </w:r>
    </w:p>
    <w:tbl>
      <w:tblPr>
        <w:tblStyle w:val="Table"/>
        <w:tblW w:type="pct" w:w="5000"/>
        <w:tblLayout w:type="fixed"/>
        <w:tblLook w:firstRow="0" w:lastRow="0" w:firstColumn="0" w:lastColumn="0" w:noHBand="0" w:noVBand="0" w:val="0000"/>
      </w:tblPr>
      <w:tblGrid>
        <w:gridCol w:w="7920"/>
      </w:tblGrid>
      <w:tr>
        <w:tc>
          <w:tcPr/>
          <w:bookmarkStart w:id="72" w:name="fig-sketch"/>
          <w:p>
            <w:pPr>
              <w:pStyle w:val="Compact"/>
              <w:jc w:val="center"/>
            </w:pPr>
            <w:r>
              <w:drawing>
                <wp:inline>
                  <wp:extent cx="4602480" cy="2314640"/>
                  <wp:effectExtent b="0" l="0" r="0" t="0"/>
                  <wp:docPr descr="" title="" id="70" name="Picture"/>
                  <a:graphic>
                    <a:graphicData uri="http://schemas.openxmlformats.org/drawingml/2006/picture">
                      <pic:pic>
                        <pic:nvPicPr>
                          <pic:cNvPr descr="../figures/sketch.png" id="71" name="Picture"/>
                          <pic:cNvPicPr>
                            <a:picLocks noChangeArrowheads="1" noChangeAspect="1"/>
                          </pic:cNvPicPr>
                        </pic:nvPicPr>
                        <pic:blipFill>
                          <a:blip r:embed="rId69"/>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72"/>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25,27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p>
    <w:bookmarkEnd w:id="73"/>
    <w:bookmarkStart w:id="74"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66,67</w:t>
      </w:r>
      <w:r>
        <w:t xml:space="preserve">. Temperature and light availability emerge as the principal environmental regulators of this pattern. Summer conditions typically optimize growth for</w:t>
      </w:r>
      <w:r>
        <w:t xml:space="preserve"> </w:t>
      </w:r>
      <w:r>
        <w:rPr>
          <w:i/>
          <w:iCs/>
        </w:rPr>
        <w:t xml:space="preserve">Pseudanabaena</w:t>
      </w:r>
      <w:r>
        <w:t xml:space="preserve">, a key filamentous MIB producer</w:t>
      </w:r>
      <w:r>
        <w:rPr>
          <w:vertAlign w:val="superscript"/>
        </w:rPr>
        <w:t xml:space="preserve">67–70</w:t>
      </w:r>
      <w:r>
        <w:t xml:space="preserve">. When surface water temperatures exceed 20°C in April-May, MIB-producing cyanobacteria achieve substantial growth rates</w:t>
      </w:r>
      <w:r>
        <w:rPr>
          <w:vertAlign w:val="superscript"/>
        </w:rPr>
        <w:t xml:space="preserve">71–73</w:t>
      </w:r>
      <w:r>
        <w:t xml:space="preserve">, benefiting from minimal competition and resulting in spring MIB peaks.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70,74</w:t>
      </w:r>
      <w:r>
        <w:t xml:space="preserve">. This ecological succession aligns with observed microcystin concentration trends</w:t>
      </w:r>
      <w:r>
        <w:rPr>
          <w:vertAlign w:val="superscript"/>
        </w:rPr>
        <w:t xml:space="preserve">66</w:t>
      </w:r>
      <w:r>
        <w:t xml:space="preserve"> </w:t>
      </w:r>
      <w:r>
        <w:t xml:space="preserve">and documented phytoplankton community shifts</w:t>
      </w:r>
      <w:r>
        <w:rPr>
          <w:vertAlign w:val="superscript"/>
        </w:rPr>
        <w:t xml:space="preserve">75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 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18</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33</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4"/>
    <w:bookmarkStart w:id="75" w:name="environmental-significance"/>
    <w:p>
      <w:pPr>
        <w:pStyle w:val="Heading2"/>
      </w:pPr>
      <w:r>
        <w:t xml:space="preserve">Environmental significance</w:t>
      </w:r>
    </w:p>
    <w:p>
      <w:pPr>
        <w:pStyle w:val="FirstParagraph"/>
      </w:pPr>
      <w:r>
        <w:t xml:space="preserve">The development of a model connecting cyanobacterial growth stages with MIB release dynamics and intracellular-extracellular distribution provides valuable contributions to understanding and managing freshwater odor events. This research advances ecological knowledge of odor-producing cyanobacteria in natural systems while simultaneously creating a practical tool for predicting MIB concentration trends, significantly enhancing early warning capabilities. The model’s ability to quantify intracellular versus extracellular MIB ratios offers direct applications for water treatment optimization, enabling operators to select targeted strategies - focusing either on intact cell removal through coagulation and sedimentation when intracellular MIB dominates, or implementing cell-disruption approaches when extracellular MIB prevails</w:t>
      </w:r>
      <w:r>
        <w:rPr>
          <w:vertAlign w:val="superscript"/>
        </w:rPr>
        <w:t xml:space="preserve">9,76–78</w:t>
      </w:r>
      <w:r>
        <w:t xml:space="preserve">.</w:t>
      </w:r>
    </w:p>
    <w:p>
      <w:pPr>
        <w:pStyle w:val="BodyText"/>
      </w:pPr>
      <w:r>
        <w:t xml:space="preserve">Application of this modeling framework to Lake Taihu demonstrates its utility for estimating annual cyanobacterial growth phase distributions from MIB patterns and predicting high-risk odor zones, providing actionable guidance for lake management. While the current model effectively addresses the predominant MIB release pathways through cell damage and apoptosis, future research should investigate potential active MIB release mechanisms to complete our understanding of odor compound dynamics in aquatic systems.</w:t>
      </w:r>
    </w:p>
    <w:bookmarkEnd w:id="75"/>
    <w:bookmarkEnd w:id="76"/>
    <w:bookmarkStart w:id="77"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p>
      <w:r>
        <w:br w:type="page"/>
      </w:r>
    </w:p>
    <w:bookmarkEnd w:id="77"/>
    <w:bookmarkStart w:id="78" w:name="figures"/>
    <w:p>
      <w:pPr>
        <w:pStyle w:val="Heading1"/>
      </w:pPr>
      <w:r>
        <w:t xml:space="preserve">FIGURES</w:t>
      </w:r>
    </w:p>
    <w:p>
      <w:pPr>
        <w:pStyle w:val="Compact"/>
        <w:numPr>
          <w:ilvl w:val="0"/>
          <w:numId w:val="1001"/>
        </w:numPr>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p>
      <w:pPr>
        <w:pStyle w:val="Compact"/>
        <w:numPr>
          <w:ilvl w:val="0"/>
          <w:numId w:val="1001"/>
        </w:numPr>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18</w:t>
      </w:r>
      <w:r>
        <w:t xml:space="preserve"> </w:t>
      </w:r>
      <w:r>
        <w:t xml:space="preserve">and</w:t>
      </w:r>
      <w:r>
        <w:rPr>
          <w:vertAlign w:val="superscript"/>
        </w:rPr>
        <w:t xml:space="preserve">33</w:t>
      </w:r>
      <w:r>
        <w:t xml:space="preserve"> </w:t>
      </w:r>
      <w:r>
        <w:t xml:space="preserve">respectively.</w:t>
      </w:r>
    </w:p>
    <w:p>
      <w:pPr>
        <w:pStyle w:val="Compact"/>
        <w:numPr>
          <w:ilvl w:val="0"/>
          <w:numId w:val="1001"/>
        </w:numPr>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p>
      <w:pPr>
        <w:pStyle w:val="Compact"/>
        <w:numPr>
          <w:ilvl w:val="0"/>
          <w:numId w:val="1001"/>
        </w:numPr>
      </w:pPr>
      <w:r>
        <w:t xml:space="preserve">Fig. 4: Growth stage of odor-producing cyanobacteria determined by the</w:t>
      </w:r>
      <w:r>
        <w:t xml:space="preserve"> </w:t>
      </w:r>
      <m:oMath>
        <m:r>
          <m:t>f</m:t>
        </m:r>
      </m:oMath>
      <w:r>
        <w:t xml:space="preserve"> </w:t>
      </w:r>
      <w:r>
        <w:t xml:space="preserve">model in the Lake Taihu (A) and different subregions (B)</w:t>
      </w:r>
    </w:p>
    <w:p>
      <w:pPr>
        <w:pStyle w:val="Compact"/>
        <w:numPr>
          <w:ilvl w:val="0"/>
          <w:numId w:val="1001"/>
        </w:numPr>
      </w:pPr>
      <w:r>
        <w:t xml:space="preserve">Fig. 5: Spatiotemporal distribution of (A) modeled growth stages of odor-producing cyanobacteria and (B) the risk of MIB occurrence (probability of</w:t>
      </w:r>
      <w:r>
        <w:t xml:space="preserve"> </w:t>
      </w:r>
      <m:oMath>
        <m:sSub>
          <m:e>
            <m:r>
              <m:t>t</m:t>
            </m:r>
          </m:e>
          <m:sub>
            <m:r>
              <m:rPr>
                <m:nor/>
                <m:sty m:val="p"/>
              </m:rPr>
              <m:t>MIB</m:t>
            </m:r>
          </m:sub>
        </m:sSub>
      </m:oMath>
      <w:r>
        <w:t xml:space="preserve"> </w:t>
      </w:r>
      <w:r>
        <w:t xml:space="preserve">&gt; 10 ng L</w:t>
      </w:r>
      <m:oMath>
        <m:sSup>
          <m:e>
            <m:r>
              <m:t>​</m:t>
            </m:r>
          </m:e>
          <m:sup>
            <m:r>
              <m:rPr>
                <m:sty m:val="p"/>
              </m:rPr>
              <m:t>−</m:t>
            </m:r>
            <m:r>
              <m:t>1</m:t>
            </m:r>
          </m:sup>
        </m:sSup>
      </m:oMath>
      <w:r>
        <w:t xml:space="preserve">) in Lake Taihu.</w:t>
      </w:r>
    </w:p>
    <w:p>
      <w:pPr>
        <w:pStyle w:val="Compact"/>
        <w:numPr>
          <w:ilvl w:val="0"/>
          <w:numId w:val="1001"/>
        </w:numPr>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p>
      <w:pPr>
        <w:pStyle w:val="Compact"/>
        <w:numPr>
          <w:ilvl w:val="0"/>
          <w:numId w:val="1001"/>
        </w:numPr>
      </w:pPr>
      <w:r>
        <w:t xml:space="preserve">Fig. 7: Schematic representation of MIB allocation dynamics influenced by cell crowding, both intracellularly and extracellularly</w:t>
      </w:r>
    </w:p>
    <w:p>
      <w:r>
        <w:br w:type="page"/>
      </w:r>
    </w:p>
    <w:bookmarkEnd w:id="78"/>
    <w:bookmarkStart w:id="80" w:name="associated-content"/>
    <w:p>
      <w:pPr>
        <w:pStyle w:val="Heading1"/>
      </w:pPr>
      <w:r>
        <w:t xml:space="preserve">ASSOCIATED CONTENT</w:t>
      </w:r>
    </w:p>
    <w:bookmarkStart w:id="79" w:name="supporting-information"/>
    <w:p>
      <w:pPr>
        <w:pStyle w:val="Heading2"/>
      </w:pPr>
      <w:r>
        <w:t xml:space="preserve">Supporting Information</w:t>
      </w:r>
    </w:p>
    <w:p>
      <w:pPr>
        <w:pStyle w:val="FirstParagraph"/>
      </w:pPr>
      <w:r>
        <w:t xml:space="preserve">The Supporting Information is available free of charge at https://.</w:t>
      </w:r>
    </w:p>
    <w:p>
      <w:pPr>
        <w:pStyle w:val="BodyText"/>
      </w:pPr>
      <w:r>
        <w:t xml:space="preserve">Spatial clustering map of sampling sites in Lake Taihu used in this study (Fig. S1);</w:t>
      </w:r>
      <w:r>
        <w:t xml:space="preserve"> </w:t>
      </w:r>
      <w:r>
        <w:t xml:space="preserve">Temporal and spatial distribution of</w:t>
      </w:r>
      <w:r>
        <w:t xml:space="preserve"> </w:t>
      </w:r>
      <w:r>
        <w:rPr>
          <w:i/>
          <w:iCs/>
        </w:rPr>
        <w:t xml:space="preserve">Pseudanbaena</w:t>
      </w:r>
      <w:r>
        <w:t xml:space="preserve"> </w:t>
      </w:r>
      <w:r>
        <w:t xml:space="preserve">in Lake Taihu (Fig. S2);</w:t>
      </w:r>
      <w:r>
        <w:t xml:space="preserve"> </w:t>
      </w:r>
      <w:r>
        <w:t xml:space="preserve">Seasonal distribution of total MIB concentration in Lake Taihu (Fig. S3);</w:t>
      </w:r>
      <w:r>
        <w:t xml:space="preserve"> </w:t>
      </w:r>
      <w:r>
        <w:t xml:space="preserve">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(Fig. S4);</w:t>
      </w:r>
      <w:r>
        <w:t xml:space="preserve"> </w:t>
      </w:r>
      <w:r>
        <w:t xml:space="preserve">Logistic fit of</w:t>
      </w:r>
      <w:r>
        <w:t xml:space="preserve"> </w:t>
      </w:r>
      <w:r>
        <w:rPr>
          <w:i/>
          <w:iCs/>
        </w:rPr>
        <w:t xml:space="preserve">Pseudanabaena</w:t>
      </w:r>
      <w:r>
        <w:t xml:space="preserve"> </w:t>
      </w:r>
      <w:r>
        <w:t xml:space="preserve">growth under various light conditions (A: 5 mol m</w:t>
      </w:r>
      <w:r>
        <w:rPr>
          <w:vertAlign w:val="superscript"/>
        </w:rPr>
        <w:t xml:space="preserve">-2</w:t>
      </w:r>
      <w:r>
        <w:t xml:space="preserve"> </w:t>
      </w:r>
      <w:r>
        <w:t xml:space="preserve">s</w:t>
      </w:r>
      <w:r>
        <w:rPr>
          <w:vertAlign w:val="superscript"/>
        </w:rPr>
        <w:t xml:space="preserve">-1</w:t>
      </w:r>
      <w:r>
        <w:t xml:space="preserve">; B: 17 mol m</w:t>
      </w:r>
      <w:r>
        <w:rPr>
          <w:vertAlign w:val="superscript"/>
        </w:rPr>
        <w:t xml:space="preserve">-2</w:t>
      </w:r>
      <w:r>
        <w:t xml:space="preserve"> </w:t>
      </w:r>
      <w:r>
        <w:t xml:space="preserve">s</w:t>
      </w:r>
      <w:r>
        <w:rPr>
          <w:vertAlign w:val="superscript"/>
        </w:rPr>
        <w:t xml:space="preserve">-1</w:t>
      </w:r>
      <w:r>
        <w:t xml:space="preserve">; C: 36 mol m</w:t>
      </w:r>
      <w:r>
        <w:rPr>
          <w:vertAlign w:val="superscript"/>
        </w:rPr>
        <w:t xml:space="preserve">-2</w:t>
      </w:r>
      <w:r>
        <w:t xml:space="preserve"> </w:t>
      </w:r>
      <w:r>
        <w:t xml:space="preserve">s</w:t>
      </w:r>
      <w:r>
        <w:rPr>
          <w:vertAlign w:val="superscript"/>
        </w:rPr>
        <w:t xml:space="preserve">-1</w:t>
      </w:r>
      <w:r>
        <w:t xml:space="preserve">; D: 85 mol m</w:t>
      </w:r>
      <w:r>
        <w:rPr>
          <w:vertAlign w:val="superscript"/>
        </w:rPr>
        <w:t xml:space="preserve">-2</w:t>
      </w:r>
      <w:r>
        <w:t xml:space="preserve"> </w:t>
      </w:r>
      <w:r>
        <w:t xml:space="preserve">s</w:t>
      </w:r>
      <w:r>
        <w:rPr>
          <w:vertAlign w:val="superscript"/>
        </w:rPr>
        <w:t xml:space="preserve">-1</w:t>
      </w:r>
      <w:r>
        <w:t xml:space="preserve">; E: 250 mol m</w:t>
      </w:r>
      <w:r>
        <w:rPr>
          <w:vertAlign w:val="superscript"/>
        </w:rPr>
        <w:t xml:space="preserve">-2</w:t>
      </w:r>
      <w:r>
        <w:t xml:space="preserve"> </w:t>
      </w:r>
      <w:r>
        <w:t xml:space="preserve">s</w:t>
      </w:r>
      <w:r>
        <w:rPr>
          <w:vertAlign w:val="superscript"/>
        </w:rPr>
        <w:t xml:space="preserve">-1</w:t>
      </w:r>
      <w:r>
        <w:t xml:space="preserve">) (Fig. S5);</w:t>
      </w:r>
      <w:r>
        <w:t xml:space="preserve"> </w:t>
      </w:r>
      <w:r>
        <w:t xml:space="preserve">Logistic fit of</w:t>
      </w:r>
      <w:r>
        <w:t xml:space="preserve"> </w:t>
      </w:r>
      <w:r>
        <w:rPr>
          <w:i/>
          <w:iCs/>
        </w:rPr>
        <w:t xml:space="preserve">Planktothricoides</w:t>
      </w:r>
      <w:r>
        <w:t xml:space="preserve"> </w:t>
      </w:r>
      <w:r>
        <w:t xml:space="preserve">growth under various light conditions (A: 13.5 mol m</w:t>
      </w:r>
      <w:r>
        <w:rPr>
          <w:vertAlign w:val="superscript"/>
        </w:rPr>
        <w:t xml:space="preserve">-2</w:t>
      </w:r>
      <w:r>
        <w:t xml:space="preserve"> </w:t>
      </w:r>
      <w:r>
        <w:t xml:space="preserve">s</w:t>
      </w:r>
      <w:r>
        <w:rPr>
          <w:vertAlign w:val="superscript"/>
        </w:rPr>
        <w:t xml:space="preserve">-1</w:t>
      </w:r>
      <w:r>
        <w:t xml:space="preserve">; B: 27 mol m</w:t>
      </w:r>
      <w:r>
        <w:rPr>
          <w:vertAlign w:val="superscript"/>
        </w:rPr>
        <w:t xml:space="preserve">-2</w:t>
      </w:r>
      <w:r>
        <w:t xml:space="preserve"> </w:t>
      </w:r>
      <w:r>
        <w:t xml:space="preserve">s</w:t>
      </w:r>
      <w:r>
        <w:rPr>
          <w:vertAlign w:val="superscript"/>
        </w:rPr>
        <w:t xml:space="preserve">-1</w:t>
      </w:r>
      <w:r>
        <w:t xml:space="preserve">; C: 54 mol m</w:t>
      </w:r>
      <w:r>
        <w:rPr>
          <w:vertAlign w:val="superscript"/>
        </w:rPr>
        <w:t xml:space="preserve">-2</w:t>
      </w:r>
      <w:r>
        <w:t xml:space="preserve"> </w:t>
      </w:r>
      <w:r>
        <w:t xml:space="preserve">s</w:t>
      </w:r>
      <w:r>
        <w:rPr>
          <w:vertAlign w:val="superscript"/>
        </w:rPr>
        <w:t xml:space="preserve">-1</w:t>
      </w:r>
      <w:r>
        <w:t xml:space="preserve">; D: 81 mol m</w:t>
      </w:r>
      <w:r>
        <w:rPr>
          <w:vertAlign w:val="superscript"/>
        </w:rPr>
        <w:t xml:space="preserve">-2</w:t>
      </w:r>
      <w:r>
        <w:t xml:space="preserve"> </w:t>
      </w:r>
      <w:r>
        <w:t xml:space="preserve">s</w:t>
      </w:r>
      <w:r>
        <w:rPr>
          <w:vertAlign w:val="superscript"/>
        </w:rPr>
        <w:t xml:space="preserve">-1</w:t>
      </w:r>
      <w:r>
        <w:t xml:space="preserve">) (Fig. S6);</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S7);</w:t>
      </w:r>
      <w:r>
        <w:t xml:space="preserve"> </w:t>
      </w:r>
      <w:r>
        <w:t xml:space="preserve">Surface Shortwave Downward Irradiance in the Lake Taihu region from March 2022 to February 2023 (Data source: NASA POWER, https://power.larc.nasa.gov/) (Fig. S8);</w:t>
      </w:r>
      <w:r>
        <w:t xml:space="preserve"> </w:t>
      </w:r>
      <w:r>
        <w:t xml:space="preserve">Fitted curves of extracellular MIB to total MIB ratio (</w:t>
      </w:r>
      <m:oMath>
        <m:r>
          <m:t>f</m:t>
        </m:r>
      </m:oMath>
      <w:r>
        <w:t xml:space="preserve">) under low, medium, and high cyanobacterial growth rates (Fig. S9);</w:t>
      </w:r>
      <w:r>
        <w:t xml:space="preserve"> </w:t>
      </w:r>
      <w:r>
        <w:t xml:space="preserve">Odor risk assessment across the entire Lake Taihu (probability of</w:t>
      </w:r>
      <w:r>
        <w:t xml:space="preserve"> </w:t>
      </w:r>
      <m:oMath>
        <m:sSub>
          <m:e>
            <m:r>
              <m:t>t</m:t>
            </m:r>
          </m:e>
          <m:sub>
            <m:r>
              <m:rPr>
                <m:nor/>
                <m:sty m:val="p"/>
              </m:rPr>
              <m:t>MIB</m:t>
            </m:r>
          </m:sub>
        </m:sSub>
      </m:oMath>
      <w:r>
        <w:t xml:space="preserve"> </w:t>
      </w:r>
      <w:r>
        <w:t xml:space="preserve">&gt; 50 ng L</w:t>
      </w:r>
      <w:r>
        <w:rPr>
          <w:vertAlign w:val="superscript"/>
        </w:rPr>
        <w:t xml:space="preserve">-1</w:t>
      </w:r>
      <w:r>
        <w:t xml:space="preserve">) (Fig. S10);</w:t>
      </w:r>
      <w:r>
        <w:t xml:space="preserve"> </w:t>
      </w:r>
      <w:r>
        <w:t xml:space="preserve">Frequency distribution of modeled</w:t>
      </w:r>
      <w:r>
        <w:t xml:space="preserve"> </w:t>
      </w:r>
      <m:oMath>
        <m:r>
          <m:t>S</m:t>
        </m:r>
        <m:r>
          <m:t>t</m:t>
        </m:r>
      </m:oMath>
      <w:r>
        <w:t xml:space="preserve"> </w:t>
      </w:r>
      <w:r>
        <w:t xml:space="preserve">and</w:t>
      </w:r>
      <w:r>
        <w:t xml:space="preserve"> </w:t>
      </w:r>
      <m:oMath>
        <m:sSub>
          <m:e>
            <m:r>
              <m:t>t</m:t>
            </m:r>
          </m:e>
          <m:sub>
            <m:r>
              <m:rPr>
                <m:nor/>
                <m:sty m:val="p"/>
              </m:rPr>
              <m:t>MIB</m:t>
            </m:r>
          </m:sub>
        </m:sSub>
      </m:oMath>
      <w:r>
        <w:t xml:space="preserve"> </w:t>
      </w:r>
      <w:r>
        <w:t xml:space="preserve">values for odor-producing cyanobacteria in Lake Taihu (Fig. S11);</w:t>
      </w:r>
      <w:r>
        <w:t xml:space="preserve"> </w:t>
      </w:r>
      <w:r>
        <w:t xml:space="preserve">Boxplot comparison of inflection point times (</w:t>
      </w:r>
      <m:oMath>
        <m:sSub>
          <m:e>
            <m:r>
              <m:t>T</m:t>
            </m:r>
          </m:e>
          <m:sub>
            <m:r>
              <m:t>I</m:t>
            </m:r>
            <m:r>
              <m:t>P</m:t>
            </m:r>
          </m:sub>
        </m:sSub>
      </m:oMath>
      <w:r>
        <w:t xml:space="preserve">) for</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(Fig. S12);</w:t>
      </w:r>
      <w:r>
        <w:t xml:space="preserve"> </w:t>
      </w:r>
      <w:r>
        <w:t xml:space="preserve">Statistical comparisons between seasons for various metrics.</w:t>
      </w:r>
      <w:r>
        <w:t xml:space="preserve"> </w:t>
      </w:r>
      <m:oMath>
        <m:sSub>
          <m:e>
            <m:r>
              <m:t>t</m:t>
            </m:r>
          </m:e>
          <m:sub>
            <m:r>
              <m:rPr>
                <m:nor/>
                <m:sty m:val="p"/>
              </m:rPr>
              <m:t>MIB</m:t>
            </m:r>
          </m:sub>
        </m:sSub>
      </m:oMath>
      <w:r>
        <w:t xml:space="preserve">: total MIB;</w:t>
      </w:r>
      <w:r>
        <w:t xml:space="preserve"> </w:t>
      </w:r>
      <m:oMath>
        <m:sSub>
          <m:e>
            <m:r>
              <m:t>e</m:t>
            </m:r>
          </m:e>
          <m:sub>
            <m:r>
              <m:rPr>
                <m:nor/>
                <m:sty m:val="p"/>
              </m:rPr>
              <m:t>MIB</m:t>
            </m:r>
          </m:sub>
        </m:sSub>
      </m:oMath>
      <w:r>
        <w:t xml:space="preserve">: extracellular MIB;</w:t>
      </w:r>
      <w:r>
        <w:t xml:space="preserve"> </w:t>
      </w:r>
      <m:oMath>
        <m:sSub>
          <m:e>
            <m:r>
              <m:t>i</m:t>
            </m:r>
          </m:e>
          <m:sub>
            <m:r>
              <m:rPr>
                <m:nor/>
                <m:sty m:val="p"/>
              </m:rPr>
              <m:t>MIB</m:t>
            </m:r>
          </m:sub>
        </m:sSub>
      </m:oMath>
      <w:r>
        <w:t xml:space="preserve">: intracellular MIB;</w:t>
      </w:r>
      <w:r>
        <w:t xml:space="preserve"> </w:t>
      </w:r>
      <m:oMath>
        <m:r>
          <m:t>f</m:t>
        </m:r>
      </m:oMath>
      <w:r>
        <w:t xml:space="preserve">: ratio of</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w:t>
      </w:r>
      <m:oMath>
        <m:r>
          <m:t>f</m:t>
        </m:r>
        <m:r>
          <m:rPr>
            <m:sty m:val="p"/>
          </m:rPr>
          <m:t>=</m:t>
        </m:r>
        <m:sSub>
          <m:e>
            <m:r>
              <m:t>e</m:t>
            </m:r>
          </m:e>
          <m:sub>
            <m:r>
              <m:rPr>
                <m:nor/>
                <m:sty m:val="p"/>
              </m:rPr>
              <m:t>MIB</m:t>
            </m:r>
          </m:sub>
        </m:sSub>
        <m:r>
          <m:rPr>
            <m:sty m:val="p"/>
          </m:rPr>
          <m:t>/</m:t>
        </m:r>
        <m:sSub>
          <m:e>
            <m:r>
              <m:t>t</m:t>
            </m:r>
          </m:e>
          <m:sub>
            <m:r>
              <m:rPr>
                <m:nor/>
                <m:sty m:val="p"/>
              </m:rPr>
              <m:t>MIB</m:t>
            </m:r>
          </m:sub>
        </m:sSub>
      </m:oMath>
      <w:r>
        <w:t xml:space="preserve">) (Table S1);</w:t>
      </w:r>
      <w:r>
        <w:t xml:space="preserve"> </w:t>
      </w:r>
      <w:r>
        <w:t xml:space="preserve">Studies in other literature involving the cultivation of</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(Table S2);</w:t>
      </w:r>
      <w:r>
        <w:t xml:space="preserve"> </w:t>
      </w:r>
      <w:r>
        <w:t xml:space="preserve">(PDF)</w:t>
      </w:r>
    </w:p>
    <w:p>
      <w:r>
        <w:br w:type="page"/>
      </w:r>
    </w:p>
    <w:bookmarkEnd w:id="79"/>
    <w:bookmarkEnd w:id="80"/>
    <w:bookmarkStart w:id="85" w:name="author-information"/>
    <w:p>
      <w:pPr>
        <w:pStyle w:val="Heading1"/>
      </w:pPr>
      <w:r>
        <w:t xml:space="preserve">AUTHOR INFORMATION</w:t>
      </w:r>
    </w:p>
    <w:bookmarkStart w:id="81" w:name="corresponding-authors"/>
    <w:p>
      <w:pPr>
        <w:pStyle w:val="Heading2"/>
      </w:pPr>
      <w:r>
        <w:t xml:space="preserve">Corresponding Authors</w:t>
      </w:r>
    </w:p>
    <w:p>
      <w:pPr>
        <w:pStyle w:val="Compact"/>
        <w:numPr>
          <w:ilvl w:val="0"/>
          <w:numId w:val="1002"/>
        </w:numPr>
      </w:pPr>
      <w:r>
        <w:rPr>
          <w:b/>
          <w:bCs/>
        </w:rPr>
        <w:t xml:space="preserve">Ming Su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https://orcid.org/0000-0001-9821-1268; Email:</w:t>
      </w:r>
      <w:r>
        <w:t xml:space="preserve"> </w:t>
      </w:r>
      <w:hyperlink r:id="rId20">
        <w:r>
          <w:rPr>
            <w:rStyle w:val="Hyperlink"/>
          </w:rPr>
          <w:t xml:space="preserve">mingsu@rcees.ac.cn</w:t>
        </w:r>
      </w:hyperlink>
    </w:p>
    <w:p>
      <w:pPr>
        <w:pStyle w:val="Compact"/>
        <w:numPr>
          <w:ilvl w:val="0"/>
          <w:numId w:val="1002"/>
        </w:numPr>
      </w:pPr>
      <w:r>
        <w:rPr>
          <w:b/>
          <w:bCs/>
        </w:rPr>
        <w:t xml:space="preserve">Min Yang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r>
        <w:t xml:space="preserve"> </w:t>
      </w:r>
      <w:r>
        <w:t xml:space="preserve">ORCID: https://orcid.org/0009-0005-4902-7620; Email:</w:t>
      </w:r>
      <w:r>
        <w:t xml:space="preserve"> </w:t>
      </w:r>
      <w:hyperlink r:id="rId21">
        <w:r>
          <w:rPr>
            <w:rStyle w:val="Hyperlink"/>
          </w:rPr>
          <w:t xml:space="preserve">yangmin@rcees.ac.cn</w:t>
        </w:r>
      </w:hyperlink>
    </w:p>
    <w:bookmarkEnd w:id="81"/>
    <w:bookmarkStart w:id="82" w:name="authors"/>
    <w:p>
      <w:pPr>
        <w:pStyle w:val="Heading2"/>
      </w:pPr>
      <w:r>
        <w:t xml:space="preserve">Authors</w:t>
      </w:r>
    </w:p>
    <w:p>
      <w:pPr>
        <w:pStyle w:val="Compact"/>
        <w:numPr>
          <w:ilvl w:val="0"/>
          <w:numId w:val="1003"/>
        </w:numPr>
      </w:pPr>
      <w:r>
        <w:rPr>
          <w:b/>
          <w:bCs/>
        </w:rPr>
        <w:t xml:space="preserve">Yufan Ai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p>
      <w:pPr>
        <w:pStyle w:val="Compact"/>
        <w:numPr>
          <w:ilvl w:val="0"/>
          <w:numId w:val="1003"/>
        </w:numPr>
      </w:pPr>
      <w:r>
        <w:rPr>
          <w:b/>
          <w:bCs/>
        </w:rPr>
        <w:t xml:space="preserve">Yongnian Wu</w:t>
      </w:r>
      <w:r>
        <w:t xml:space="preserve">:</w:t>
      </w:r>
      <w:r>
        <w:t xml:space="preserve"> </w:t>
      </w:r>
      <w:r>
        <w:rPr>
          <w:i/>
          <w:iCs/>
        </w:rPr>
        <w:t xml:space="preserve">Bureau of Hydrology Information Center of Taihu Basin Authority, Shanghai 200434, China</w:t>
      </w:r>
    </w:p>
    <w:p>
      <w:pPr>
        <w:pStyle w:val="Compact"/>
        <w:numPr>
          <w:ilvl w:val="0"/>
          <w:numId w:val="1003"/>
        </w:numPr>
      </w:pPr>
      <w:r>
        <w:rPr>
          <w:b/>
          <w:bCs/>
        </w:rPr>
        <w:t xml:space="preserve">Yuying Gui</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College of Environmental Science and Engineering, Ocean University of China, Qingdao 266100, China</w:t>
      </w:r>
    </w:p>
    <w:p>
      <w:pPr>
        <w:pStyle w:val="Compact"/>
        <w:numPr>
          <w:ilvl w:val="0"/>
          <w:numId w:val="1003"/>
        </w:numPr>
      </w:pPr>
      <w:r>
        <w:rPr>
          <w:b/>
          <w:bCs/>
        </w:rPr>
        <w:t xml:space="preserve">Yifan Du</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Jiao Fang</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w:t>
      </w:r>
    </w:p>
    <w:p>
      <w:pPr>
        <w:pStyle w:val="Compact"/>
        <w:numPr>
          <w:ilvl w:val="0"/>
          <w:numId w:val="1003"/>
        </w:numPr>
      </w:pPr>
      <w:r>
        <w:rPr>
          <w:b/>
          <w:bCs/>
        </w:rPr>
        <w:t xml:space="preserve">Tengxin Cao</w:t>
      </w:r>
      <w:r>
        <w:t xml:space="preserve">:</w:t>
      </w:r>
      <w:r>
        <w:t xml:space="preserve"> </w:t>
      </w:r>
      <w:r>
        <w:rPr>
          <w:i/>
          <w:iCs/>
        </w:rPr>
        <w:t xml:space="preserve">Key Laboratory of Environmental Aquatic Chemistry, State Key Laboratory of Regional Environment and Sustainability, Research Center for Eco-Environmental Sciences, Chinese Academy of Sciences, No. 18 Shuangqing Road, Haidian, Beijing 100085, China; University of Chinese Academy of Sciences, No. 19A Yuquan Road, Shijingshan, Beijing 100049, China</w:t>
      </w:r>
    </w:p>
    <w:bookmarkEnd w:id="82"/>
    <w:bookmarkStart w:id="83" w:name="author-contributions"/>
    <w:p>
      <w:pPr>
        <w:pStyle w:val="Heading2"/>
      </w:pPr>
      <w:r>
        <w:t xml:space="preserve">Author contributions</w:t>
      </w:r>
    </w:p>
    <w:p>
      <w:pPr>
        <w:pStyle w:val="FirstParagraph"/>
      </w:pPr>
      <w:r>
        <w:t xml:space="preserve">Y.A. and Y.W. contributed equally to this work. Y.A. led data curation and methodology, performed formal analysis, and contributed equally to original drafting, writing, and editing. Y.W. took the lead in data curation and methodology. M.S. conceived the study, led formal analysis, project administration, supervision, and visualization, and contributed equally to original drafting, writing, and editing. Y.G., Y.D., J.F., and T.C. provided supporting contributions to methodology and formal analysis. M.Y. led conceptualization, supervision, validation, project administration, and resource provision. All authors reviewed and approved the final manuscript.</w:t>
      </w:r>
    </w:p>
    <w:bookmarkEnd w:id="83"/>
    <w:bookmarkStart w:id="84" w:name="notes"/>
    <w:p>
      <w:pPr>
        <w:pStyle w:val="Heading2"/>
      </w:pPr>
      <w:r>
        <w:t xml:space="preserve">Notes</w:t>
      </w:r>
    </w:p>
    <w:p>
      <w:pPr>
        <w:pStyle w:val="FirstParagraph"/>
      </w:pPr>
      <w:r>
        <w:t xml:space="preserve">The authors declare no competing financial interest.</w:t>
      </w:r>
    </w:p>
    <w:p>
      <w:r>
        <w:br w:type="page"/>
      </w:r>
    </w:p>
    <w:bookmarkEnd w:id="84"/>
    <w:bookmarkEnd w:id="85"/>
    <w:bookmarkStart w:id="234" w:name="references"/>
    <w:p>
      <w:pPr>
        <w:pStyle w:val="Heading1"/>
      </w:pPr>
      <w:r>
        <w:t xml:space="preserve">References</w:t>
      </w:r>
    </w:p>
    <w:bookmarkStart w:id="233" w:name="refs"/>
    <w:bookmarkStart w:id="86"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w:t>
      </w:r>
      <w:r>
        <w:t xml:space="preserve"> </w:t>
      </w:r>
      <w:r>
        <w:t xml:space="preserve">World Health Organization</w:t>
      </w:r>
      <w:r>
        <w:t xml:space="preserve">: Geneva, Switzerland, 2011.</w:t>
      </w:r>
    </w:p>
    <w:bookmarkEnd w:id="86"/>
    <w:bookmarkStart w:id="88" w:name="ref-devi2021quantitative"/>
    <w:p>
      <w:pPr>
        <w:pStyle w:val="Bibliography"/>
      </w:pPr>
      <w:r>
        <w:t xml:space="preserve">(2)</w:t>
      </w:r>
      <w:r>
        <w:t xml:space="preserve"> </w:t>
      </w:r>
      <w:r>
        <w:t xml:space="preserve">	</w:t>
      </w:r>
      <w:r>
        <w:t xml:space="preserve">Devi, A.; Chiu, Y.-T.; Hsueh, H.-T.; Lin, T.-F. 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rPr>
          <w:b/>
          <w:bCs/>
        </w:rPr>
        <w:t xml:space="preserve">2021</w:t>
      </w:r>
      <w:r>
        <w:t xml:space="preserve">,</w:t>
      </w:r>
      <w:r>
        <w:t xml:space="preserve"> </w:t>
      </w:r>
      <w:r>
        <w:rPr>
          <w:i/>
          <w:iCs/>
        </w:rPr>
        <w:t xml:space="preserve">188</w:t>
      </w:r>
      <w:r>
        <w:t xml:space="preserve">, 116478. https://doi.org/</w:t>
      </w:r>
      <w:hyperlink r:id="rId87">
        <w:r>
          <w:rPr>
            <w:rStyle w:val="Hyperlink"/>
          </w:rPr>
          <w:t xml:space="preserve">10.1016/j.watres.2020.116478</w:t>
        </w:r>
      </w:hyperlink>
      <w:r>
        <w:t xml:space="preserve">.</w:t>
      </w:r>
    </w:p>
    <w:bookmarkEnd w:id="88"/>
    <w:bookmarkStart w:id="90" w:name="ref-suurnakki2015identification"/>
    <w:p>
      <w:pPr>
        <w:pStyle w:val="Bibliography"/>
      </w:pPr>
      <w:r>
        <w:t xml:space="preserve">(3)</w:t>
      </w:r>
      <w:r>
        <w:t xml:space="preserve"> </w:t>
      </w:r>
      <w:r>
        <w:t xml:space="preserve">	</w:t>
      </w:r>
      <w:r>
        <w:t xml:space="preserve">Suurnäkki, S.; Gomez-saez, G. V.; Rantala-ylinen, A.; Jokela, J.; Fewer, D. P.; Sivonen, K. Identification of Geosmin and 2-Methylisoborneol in Cyanobacteria and Molecular Detection Methods for the Producers of These Compounds.</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w:t>
      </w:r>
      <w:r>
        <w:t xml:space="preserve">(0), 56–66. https://doi.org/</w:t>
      </w:r>
      <w:hyperlink r:id="rId89">
        <w:r>
          <w:rPr>
            <w:rStyle w:val="Hyperlink"/>
          </w:rPr>
          <w:t xml:space="preserve">10.1016/j.watres.2014.09.037</w:t>
        </w:r>
      </w:hyperlink>
      <w:r>
        <w:t xml:space="preserve">.</w:t>
      </w:r>
    </w:p>
    <w:bookmarkEnd w:id="90"/>
    <w:bookmarkStart w:id="92" w:name="ref-izaguirre2004a"/>
    <w:p>
      <w:pPr>
        <w:pStyle w:val="Bibliography"/>
      </w:pPr>
      <w:r>
        <w:t xml:space="preserve">(4)</w:t>
      </w:r>
      <w:r>
        <w:t xml:space="preserve"> </w:t>
      </w:r>
      <w:r>
        <w:t xml:space="preserve">	</w:t>
      </w:r>
      <w:r>
        <w:t xml:space="preserve">Izaguirre, G.; Taylor, W. D. A Guide to Geosmin- and MIB-Producing Cyanobacteria in the United States.</w:t>
      </w:r>
      <w:r>
        <w:t xml:space="preserve"> </w:t>
      </w:r>
      <w:r>
        <w:rPr>
          <w:i/>
          <w:iCs/>
        </w:rPr>
        <w:t xml:space="preserve">Water Science and Technology</w:t>
      </w:r>
      <w:r>
        <w:t xml:space="preserve"> </w:t>
      </w:r>
      <w:r>
        <w:rPr>
          <w:b/>
          <w:bCs/>
        </w:rPr>
        <w:t xml:space="preserve">2004</w:t>
      </w:r>
      <w:r>
        <w:t xml:space="preserve">,</w:t>
      </w:r>
      <w:r>
        <w:t xml:space="preserve"> </w:t>
      </w:r>
      <w:r>
        <w:rPr>
          <w:i/>
          <w:iCs/>
        </w:rPr>
        <w:t xml:space="preserve">49</w:t>
      </w:r>
      <w:r>
        <w:t xml:space="preserve"> </w:t>
      </w:r>
      <w:r>
        <w:t xml:space="preserve">(9), 19–24. https://doi.org/</w:t>
      </w:r>
      <w:hyperlink r:id="rId91">
        <w:r>
          <w:rPr>
            <w:rStyle w:val="Hyperlink"/>
          </w:rPr>
          <w:t xml:space="preserve">10.2166/wst.2004.0524</w:t>
        </w:r>
      </w:hyperlink>
      <w:r>
        <w:t xml:space="preserve">.</w:t>
      </w:r>
    </w:p>
    <w:bookmarkEnd w:id="92"/>
    <w:bookmarkStart w:id="94" w:name="ref-wang2023risk"/>
    <w:p>
      <w:pPr>
        <w:pStyle w:val="Bibliography"/>
      </w:pPr>
      <w:r>
        <w:t xml:space="preserve">(5)</w:t>
      </w:r>
      <w:r>
        <w:t xml:space="preserve"> </w:t>
      </w:r>
      <w:r>
        <w:t xml:space="preserve">	</w:t>
      </w:r>
      <w:r>
        <w:t xml:space="preserve">Wang, C.; An, W.; Zhao, Y.; Dietrich, A. M.; Gallagher, D. L.; Zhang, Y.; Qian, Y.; Yu, J.; Yang, M. Risk Assessment for 2-MIB Odor Complaint in Drinking Water Based on Zero-Inflated Log-Normal Model.</w:t>
      </w:r>
      <w:r>
        <w:t xml:space="preserve"> </w:t>
      </w:r>
      <w:r>
        <w:rPr>
          <w:i/>
          <w:iCs/>
        </w:rPr>
        <w:t xml:space="preserve">ACS ES&amp;T Water</w:t>
      </w:r>
      <w:r>
        <w:t xml:space="preserve"> </w:t>
      </w:r>
      <w:r>
        <w:rPr>
          <w:b/>
          <w:bCs/>
        </w:rPr>
        <w:t xml:space="preserve">2023</w:t>
      </w:r>
      <w:r>
        <w:t xml:space="preserve">,</w:t>
      </w:r>
      <w:r>
        <w:t xml:space="preserve"> </w:t>
      </w:r>
      <w:r>
        <w:rPr>
          <w:i/>
          <w:iCs/>
        </w:rPr>
        <w:t xml:space="preserve">4</w:t>
      </w:r>
      <w:r>
        <w:t xml:space="preserve"> </w:t>
      </w:r>
      <w:r>
        <w:t xml:space="preserve">(1), 146–154. https://doi.org/</w:t>
      </w:r>
      <w:hyperlink r:id="rId93">
        <w:r>
          <w:rPr>
            <w:rStyle w:val="Hyperlink"/>
          </w:rPr>
          <w:t xml:space="preserve">10.1021/acsestwater.3c00477</w:t>
        </w:r>
      </w:hyperlink>
      <w:r>
        <w:t xml:space="preserve">.</w:t>
      </w:r>
    </w:p>
    <w:bookmarkEnd w:id="94"/>
    <w:bookmarkStart w:id="96" w:name="ref-suffet1999drinking"/>
    <w:p>
      <w:pPr>
        <w:pStyle w:val="Bibliography"/>
      </w:pPr>
      <w:r>
        <w:t xml:space="preserve">(6)</w:t>
      </w:r>
      <w:r>
        <w:t xml:space="preserve"> </w:t>
      </w:r>
      <w:r>
        <w:t xml:space="preserve">	</w:t>
      </w:r>
      <w:r>
        <w:t xml:space="preserve">Suffet, I. h. (mel); Khiari, D.; Bruchet, A. The Drinking Water Taste and Odor Wheel for the Millennium: Beyond Geosmin and 2-Methylisoborneol.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1–13. https://doi.org/</w:t>
      </w:r>
      <w:hyperlink r:id="rId95">
        <w:r>
          <w:rPr>
            <w:rStyle w:val="Hyperlink"/>
          </w:rPr>
          <w:t xml:space="preserve">10.1016/s0273-1223(99)00531-4</w:t>
        </w:r>
      </w:hyperlink>
      <w:r>
        <w:t xml:space="preserve">.</w:t>
      </w:r>
    </w:p>
    <w:bookmarkEnd w:id="96"/>
    <w:bookmarkStart w:id="98" w:name="ref-gillogly1999a"/>
    <w:p>
      <w:pPr>
        <w:pStyle w:val="Bibliography"/>
      </w:pPr>
      <w:r>
        <w:t xml:space="preserve">(7)</w:t>
      </w:r>
      <w:r>
        <w:t xml:space="preserve"> </w:t>
      </w:r>
      <w:r>
        <w:t xml:space="preserve">	</w:t>
      </w:r>
      <w:r>
        <w:t xml:space="preserve">Gillogly, T. E. T.; Snoeyink, V. L.; Newcombe, G.; Elarde, J. R. A Simplified Method to Determine the Powdered Activated Carbon Dose Required to Remove Methylisoborneol.</w:t>
      </w:r>
      <w:r>
        <w:t xml:space="preserve"> </w:t>
      </w:r>
      <w:r>
        <w:rPr>
          <w:i/>
          <w:iCs/>
        </w:rPr>
        <w:t xml:space="preserve">Water Science and Technology</w:t>
      </w:r>
      <w:r>
        <w:t xml:space="preserve"> </w:t>
      </w:r>
      <w:r>
        <w:rPr>
          <w:b/>
          <w:bCs/>
        </w:rPr>
        <w:t xml:space="preserve">1999</w:t>
      </w:r>
      <w:r>
        <w:t xml:space="preserve">,</w:t>
      </w:r>
      <w:r>
        <w:t xml:space="preserve"> </w:t>
      </w:r>
      <w:r>
        <w:rPr>
          <w:i/>
          <w:iCs/>
        </w:rPr>
        <w:t xml:space="preserve">40</w:t>
      </w:r>
      <w:r>
        <w:t xml:space="preserve"> </w:t>
      </w:r>
      <w:r>
        <w:t xml:space="preserve">(6), 59–64. https://doi.org/</w:t>
      </w:r>
      <w:hyperlink r:id="rId97">
        <w:r>
          <w:rPr>
            <w:rStyle w:val="Hyperlink"/>
          </w:rPr>
          <w:t xml:space="preserve">10.1016/S0273-1223(99)00538-7</w:t>
        </w:r>
      </w:hyperlink>
      <w:r>
        <w:t xml:space="preserve">.</w:t>
      </w:r>
    </w:p>
    <w:bookmarkEnd w:id="98"/>
    <w:bookmarkStart w:id="100" w:name="ref-wang2020projecting"/>
    <w:p>
      <w:pPr>
        <w:pStyle w:val="Bibliography"/>
      </w:pPr>
      <w:r>
        <w:t xml:space="preserve">(8)</w:t>
      </w:r>
      <w:r>
        <w:t xml:space="preserve"> </w:t>
      </w:r>
      <w:r>
        <w:t xml:space="preserve">	</w:t>
      </w:r>
      <w:r>
        <w:t xml:space="preserve">Wang, Q.; Zietzschmann, F.; Yu, J.; Hofman, R.; An, W.; Yang, M.; Rietveld, L. C. Projecting Competition Between 2-Methylisoborneol and Natural Organic Matter in Adsorption onto Activated Carbon from Ozonated Source Waters.</w:t>
      </w:r>
      <w:r>
        <w:t xml:space="preserve"> </w:t>
      </w:r>
      <w:r>
        <w:rPr>
          <w:i/>
          <w:iCs/>
        </w:rPr>
        <w:t xml:space="preserve">Water Research</w:t>
      </w:r>
      <w:r>
        <w:t xml:space="preserve"> </w:t>
      </w:r>
      <w:r>
        <w:rPr>
          <w:b/>
          <w:bCs/>
        </w:rPr>
        <w:t xml:space="preserve">2020</w:t>
      </w:r>
      <w:r>
        <w:t xml:space="preserve">,</w:t>
      </w:r>
      <w:r>
        <w:t xml:space="preserve"> </w:t>
      </w:r>
      <w:r>
        <w:rPr>
          <w:i/>
          <w:iCs/>
        </w:rPr>
        <w:t xml:space="preserve">173</w:t>
      </w:r>
      <w:r>
        <w:t xml:space="preserve">, 115574. https://doi.org/</w:t>
      </w:r>
      <w:hyperlink r:id="rId99">
        <w:r>
          <w:rPr>
            <w:rStyle w:val="Hyperlink"/>
          </w:rPr>
          <w:t xml:space="preserve">10.1016/j.watres.2020.115574</w:t>
        </w:r>
      </w:hyperlink>
      <w:r>
        <w:t xml:space="preserve">.</w:t>
      </w:r>
    </w:p>
    <w:bookmarkEnd w:id="100"/>
    <w:bookmarkStart w:id="102" w:name="ref-li2019variation"/>
    <w:p>
      <w:pPr>
        <w:pStyle w:val="Bibliography"/>
      </w:pPr>
      <w:r>
        <w:t xml:space="preserve">(9)</w:t>
      </w:r>
      <w:r>
        <w:t xml:space="preserve"> </w:t>
      </w:r>
      <w:r>
        <w:t xml:space="preserve">	</w:t>
      </w:r>
      <w:r>
        <w:t xml:space="preserve">Li, L.; Yang, S.; Yu, S.; Zhang, Y.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rPr>
          <w:b/>
          <w:bCs/>
        </w:rPr>
        <w:t xml:space="preserve">2019</w:t>
      </w:r>
      <w:r>
        <w:t xml:space="preserve">,</w:t>
      </w:r>
      <w:r>
        <w:t xml:space="preserve"> </w:t>
      </w:r>
      <w:r>
        <w:rPr>
          <w:i/>
          <w:iCs/>
        </w:rPr>
        <w:t xml:space="preserve">162</w:t>
      </w:r>
      <w:r>
        <w:t xml:space="preserve">, 180–189. https://doi.org/</w:t>
      </w:r>
      <w:hyperlink r:id="rId101">
        <w:r>
          <w:rPr>
            <w:rStyle w:val="Hyperlink"/>
          </w:rPr>
          <w:t xml:space="preserve">10.1016/j.watres.2019.06.066</w:t>
        </w:r>
      </w:hyperlink>
      <w:r>
        <w:t xml:space="preserve">.</w:t>
      </w:r>
    </w:p>
    <w:bookmarkEnd w:id="102"/>
    <w:bookmarkStart w:id="103" w:name="ref-american2010algae"/>
    <w:p>
      <w:pPr>
        <w:pStyle w:val="Bibliography"/>
      </w:pPr>
      <w:r>
        <w:t xml:space="preserve">(10)</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3"/>
    <w:bookmarkStart w:id="104" w:name="ref-gerber1969a"/>
    <w:p>
      <w:pPr>
        <w:pStyle w:val="Bibliography"/>
      </w:pPr>
      <w:r>
        <w:t xml:space="preserve">(11)</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1969</w:t>
      </w:r>
      <w:r>
        <w:t xml:space="preserve">,</w:t>
      </w:r>
      <w:r>
        <w:t xml:space="preserve"> </w:t>
      </w:r>
      <w:r>
        <w:rPr>
          <w:i/>
          <w:iCs/>
        </w:rPr>
        <w:t xml:space="preserve">22</w:t>
      </w:r>
      <w:r>
        <w:t xml:space="preserve"> </w:t>
      </w:r>
      <w:r>
        <w:t xml:space="preserve">(10), 508–509.</w:t>
      </w:r>
    </w:p>
    <w:bookmarkEnd w:id="104"/>
    <w:bookmarkStart w:id="106" w:name="ref-tabachek1976isolation"/>
    <w:p>
      <w:pPr>
        <w:pStyle w:val="Bibliography"/>
      </w:pPr>
      <w:r>
        <w:t xml:space="preserve">(12)</w:t>
      </w:r>
      <w:r>
        <w:t xml:space="preserve"> </w:t>
      </w:r>
      <w:r>
        <w:t xml:space="preserve">	</w:t>
      </w:r>
      <w:r>
        <w:t xml:space="preserve">Tabachek, J. L.; Yurkowski, M. 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rPr>
          <w:b/>
          <w:bCs/>
        </w:rPr>
        <w:t xml:space="preserve">1976</w:t>
      </w:r>
      <w:r>
        <w:t xml:space="preserve">,</w:t>
      </w:r>
      <w:r>
        <w:t xml:space="preserve"> </w:t>
      </w:r>
      <w:r>
        <w:rPr>
          <w:i/>
          <w:iCs/>
        </w:rPr>
        <w:t xml:space="preserve">33</w:t>
      </w:r>
      <w:r>
        <w:t xml:space="preserve"> </w:t>
      </w:r>
      <w:r>
        <w:t xml:space="preserve">(1), 25–35. https://doi.org/</w:t>
      </w:r>
      <w:hyperlink r:id="rId105">
        <w:r>
          <w:rPr>
            <w:rStyle w:val="Hyperlink"/>
          </w:rPr>
          <w:t xml:space="preserve">10.1139/f76-004</w:t>
        </w:r>
      </w:hyperlink>
      <w:r>
        <w:t xml:space="preserve">.</w:t>
      </w:r>
    </w:p>
    <w:bookmarkEnd w:id="106"/>
    <w:bookmarkStart w:id="108" w:name="ref-yamada2014terpene"/>
    <w:p>
      <w:pPr>
        <w:pStyle w:val="Bibliography"/>
      </w:pPr>
      <w:r>
        <w:t xml:space="preserve">(13)</w:t>
      </w:r>
      <w:r>
        <w:t xml:space="preserve"> </w:t>
      </w:r>
      <w:r>
        <w:t xml:space="preserve">	</w:t>
      </w:r>
      <w:r>
        <w:t xml:space="preserve">Yamada, Y.; Kuzuyama, T.; Komatsu, M.; Shin-ya, K.; Omura, S.; Cane, D. E.; Ikeda, H. Terpene Synthases Are Widely Distributed in Bacteria.</w:t>
      </w:r>
      <w:r>
        <w:t xml:space="preserve"> </w:t>
      </w:r>
      <w:r>
        <w:rPr>
          <w:i/>
          <w:iCs/>
        </w:rPr>
        <w:t xml:space="preserve">Proceedings of the National Academy of Sciences</w:t>
      </w:r>
      <w:r>
        <w:t xml:space="preserve"> </w:t>
      </w:r>
      <w:r>
        <w:rPr>
          <w:b/>
          <w:bCs/>
        </w:rPr>
        <w:t xml:space="preserve">2014</w:t>
      </w:r>
      <w:r>
        <w:t xml:space="preserve">,</w:t>
      </w:r>
      <w:r>
        <w:t xml:space="preserve"> </w:t>
      </w:r>
      <w:r>
        <w:rPr>
          <w:i/>
          <w:iCs/>
        </w:rPr>
        <w:t xml:space="preserve">112</w:t>
      </w:r>
      <w:r>
        <w:t xml:space="preserve"> </w:t>
      </w:r>
      <w:r>
        <w:t xml:space="preserve">(3), 857–862. https://doi.org/</w:t>
      </w:r>
      <w:hyperlink r:id="rId107">
        <w:r>
          <w:rPr>
            <w:rStyle w:val="Hyperlink"/>
          </w:rPr>
          <w:t xml:space="preserve">10.1073/pnas.1422108112</w:t>
        </w:r>
      </w:hyperlink>
      <w:r>
        <w:t xml:space="preserve">.</w:t>
      </w:r>
    </w:p>
    <w:bookmarkEnd w:id="108"/>
    <w:bookmarkStart w:id="110" w:name="ref-dickschat2007biosynthesis"/>
    <w:p>
      <w:pPr>
        <w:pStyle w:val="Bibliography"/>
      </w:pPr>
      <w:r>
        <w:t xml:space="preserve">(14)</w:t>
      </w:r>
      <w:r>
        <w:t xml:space="preserve"> </w:t>
      </w:r>
      <w:r>
        <w:t xml:space="preserve">	</w:t>
      </w:r>
      <w:r>
        <w:t xml:space="preserve">Dickschat, Jeroen s.; Nawrath, T.; Thiel, V.; Kunze, B.; Müller, R.; Schulz, S. Biosynthesis of the Off-Flavor 2-Methylisoborneol by the Myxobacterium Nannocystis Exedens.</w:t>
      </w:r>
      <w:r>
        <w:t xml:space="preserve"> </w:t>
      </w:r>
      <w:r>
        <w:rPr>
          <w:i/>
          <w:iCs/>
        </w:rPr>
        <w:t xml:space="preserve">Angewandte Chemie International Edition</w:t>
      </w:r>
      <w:r>
        <w:t xml:space="preserve"> </w:t>
      </w:r>
      <w:r>
        <w:rPr>
          <w:b/>
          <w:bCs/>
        </w:rPr>
        <w:t xml:space="preserve">2007</w:t>
      </w:r>
      <w:r>
        <w:t xml:space="preserve">,</w:t>
      </w:r>
      <w:r>
        <w:t xml:space="preserve"> </w:t>
      </w:r>
      <w:r>
        <w:rPr>
          <w:i/>
          <w:iCs/>
        </w:rPr>
        <w:t xml:space="preserve">46</w:t>
      </w:r>
      <w:r>
        <w:t xml:space="preserve"> </w:t>
      </w:r>
      <w:r>
        <w:t xml:space="preserve">(43), 8287–8290. https://doi.org/</w:t>
      </w:r>
      <w:hyperlink r:id="rId109">
        <w:r>
          <w:rPr>
            <w:rStyle w:val="Hyperlink"/>
          </w:rPr>
          <w:t xml:space="preserve">10.1002/anie.200702496</w:t>
        </w:r>
      </w:hyperlink>
      <w:r>
        <w:t xml:space="preserve">.</w:t>
      </w:r>
    </w:p>
    <w:bookmarkEnd w:id="110"/>
    <w:bookmarkStart w:id="112" w:name="ref-su2021ecological"/>
    <w:p>
      <w:pPr>
        <w:pStyle w:val="Bibliography"/>
      </w:pPr>
      <w:r>
        <w:t xml:space="preserve">(15)</w:t>
      </w:r>
      <w:r>
        <w:t xml:space="preserve"> </w:t>
      </w:r>
      <w:r>
        <w:t xml:space="preserve">	</w:t>
      </w:r>
      <w:r>
        <w:t xml:space="preserve">Su, M.; Suruzzaman, MD.; Zhu, Y.; Lu, J.; Yu, J.; Zhang, Y.; Yang, M. 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rPr>
          <w:b/>
          <w:bCs/>
        </w:rPr>
        <w:t xml:space="preserve">2021</w:t>
      </w:r>
      <w:r>
        <w:t xml:space="preserve">,</w:t>
      </w:r>
      <w:r>
        <w:t xml:space="preserve"> </w:t>
      </w:r>
      <w:r>
        <w:rPr>
          <w:i/>
          <w:iCs/>
        </w:rPr>
        <w:t xml:space="preserve">110</w:t>
      </w:r>
      <w:r>
        <w:t xml:space="preserve">, 119–128. https://doi.org/</w:t>
      </w:r>
      <w:hyperlink r:id="rId111">
        <w:r>
          <w:rPr>
            <w:rStyle w:val="Hyperlink"/>
          </w:rPr>
          <w:t xml:space="preserve">10.1016/j.jes.2021.03.026</w:t>
        </w:r>
      </w:hyperlink>
      <w:r>
        <w:t xml:space="preserve">.</w:t>
      </w:r>
    </w:p>
    <w:bookmarkEnd w:id="112"/>
    <w:bookmarkStart w:id="114" w:name="ref-su2015mib"/>
    <w:p>
      <w:pPr>
        <w:pStyle w:val="Bibliography"/>
      </w:pPr>
      <w:r>
        <w:t xml:space="preserve">(16)</w:t>
      </w:r>
      <w:r>
        <w:t xml:space="preserve"> </w:t>
      </w:r>
      <w:r>
        <w:t xml:space="preserve">	</w:t>
      </w:r>
      <w:r>
        <w:t xml:space="preserve">Su, M.; Yu, J.; Zhang, J.; Chen, H.; An, W.; Vogt, R. D.; Andersen, T.; Jia, D.; Wang, J.; Yang, M.</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rPr>
          <w:b/>
          <w:bCs/>
        </w:rPr>
        <w:t xml:space="preserve">2015</w:t>
      </w:r>
      <w:r>
        <w:t xml:space="preserve">,</w:t>
      </w:r>
      <w:r>
        <w:t xml:space="preserve"> </w:t>
      </w:r>
      <w:r>
        <w:rPr>
          <w:i/>
          <w:iCs/>
        </w:rPr>
        <w:t xml:space="preserve">68</w:t>
      </w:r>
      <w:r>
        <w:t xml:space="preserve">, 444–453. https://doi.org/</w:t>
      </w:r>
      <w:hyperlink r:id="rId113">
        <w:r>
          <w:rPr>
            <w:rStyle w:val="Hyperlink"/>
          </w:rPr>
          <w:t xml:space="preserve">10.1016/j.watres.2014.09.038</w:t>
        </w:r>
      </w:hyperlink>
      <w:r>
        <w:t xml:space="preserve">.</w:t>
      </w:r>
    </w:p>
    <w:bookmarkEnd w:id="114"/>
    <w:bookmarkStart w:id="116" w:name="ref-lu2023mibderived"/>
    <w:p>
      <w:pPr>
        <w:pStyle w:val="Bibliography"/>
      </w:pPr>
      <w:r>
        <w:t xml:space="preserve">(17)</w:t>
      </w:r>
      <w:r>
        <w:t xml:space="preserve"> </w:t>
      </w:r>
      <w:r>
        <w:t xml:space="preserve">	</w:t>
      </w:r>
      <w:r>
        <w:t xml:space="preserve">Lu, J.; Su, M.; Su, Y.; Fang, J.; Burch, M.; Cao, T.; Wu, B.; Yu, J.; Yang, M.</w:t>
      </w:r>
      <w:r>
        <w:t xml:space="preserve"> </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rPr>
          <w:b/>
          <w:bCs/>
        </w:rPr>
        <w:t xml:space="preserve">2023</w:t>
      </w:r>
      <w:r>
        <w:t xml:space="preserve">,</w:t>
      </w:r>
      <w:r>
        <w:t xml:space="preserve"> </w:t>
      </w:r>
      <w:r>
        <w:rPr>
          <w:i/>
          <w:iCs/>
        </w:rPr>
        <w:t xml:space="preserve">244</w:t>
      </w:r>
      <w:r>
        <w:t xml:space="preserve">, 120485. https://doi.org/</w:t>
      </w:r>
      <w:hyperlink r:id="rId115">
        <w:r>
          <w:rPr>
            <w:rStyle w:val="Hyperlink"/>
          </w:rPr>
          <w:t xml:space="preserve">10.1016/j.watres.2023.120485</w:t>
        </w:r>
      </w:hyperlink>
      <w:r>
        <w:t xml:space="preserve">.</w:t>
      </w:r>
    </w:p>
    <w:bookmarkEnd w:id="116"/>
    <w:bookmarkStart w:id="118" w:name="ref-cao2023early"/>
    <w:p>
      <w:pPr>
        <w:pStyle w:val="Bibliography"/>
      </w:pPr>
      <w:r>
        <w:t xml:space="preserve">(18)</w:t>
      </w:r>
      <w:r>
        <w:t xml:space="preserve"> </w:t>
      </w:r>
      <w:r>
        <w:t xml:space="preserve">	</w:t>
      </w:r>
      <w:r>
        <w:t xml:space="preserve">Cao, T.; Fang, J.; Jia, Z.; Zhu, Y.; Su, M.; Zhang, Q.; Song, Y.; Yu, J.; Yang, M. Early Warning of MIB Episode Based on Gene Abundance and Expression in Drinking Water Reservoirs.</w:t>
      </w:r>
      <w:r>
        <w:t xml:space="preserve"> </w:t>
      </w:r>
      <w:r>
        <w:rPr>
          <w:i/>
          <w:iCs/>
        </w:rPr>
        <w:t xml:space="preserve">Water Research</w:t>
      </w:r>
      <w:r>
        <w:t xml:space="preserve"> </w:t>
      </w:r>
      <w:r>
        <w:rPr>
          <w:b/>
          <w:bCs/>
        </w:rPr>
        <w:t xml:space="preserve">2023</w:t>
      </w:r>
      <w:r>
        <w:t xml:space="preserve">,</w:t>
      </w:r>
      <w:r>
        <w:t xml:space="preserve"> </w:t>
      </w:r>
      <w:r>
        <w:rPr>
          <w:i/>
          <w:iCs/>
        </w:rPr>
        <w:t xml:space="preserve">231</w:t>
      </w:r>
      <w:r>
        <w:t xml:space="preserve">, 119667. https://doi.org/</w:t>
      </w:r>
      <w:hyperlink r:id="rId117">
        <w:r>
          <w:rPr>
            <w:rStyle w:val="Hyperlink"/>
          </w:rPr>
          <w:t xml:space="preserve">https://doi.org/10.1016/j.watres.2023.119667</w:t>
        </w:r>
      </w:hyperlink>
      <w:r>
        <w:t xml:space="preserve">.</w:t>
      </w:r>
    </w:p>
    <w:bookmarkEnd w:id="118"/>
    <w:bookmarkStart w:id="120" w:name="ref-izaguirre2007benthic"/>
    <w:p>
      <w:pPr>
        <w:pStyle w:val="Bibliography"/>
      </w:pPr>
      <w:r>
        <w:t xml:space="preserve">(19)</w:t>
      </w:r>
      <w:r>
        <w:t xml:space="preserve"> </w:t>
      </w:r>
      <w:r>
        <w:t xml:space="preserve">	</w:t>
      </w:r>
      <w:r>
        <w:t xml:space="preserve">Izaguirre, G.; Jungblut, A.; Neilan, B. A. 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rPr>
          <w:b/>
          <w:bCs/>
        </w:rPr>
        <w:t xml:space="preserve">2007</w:t>
      </w:r>
      <w:r>
        <w:t xml:space="preserve">,</w:t>
      </w:r>
      <w:r>
        <w:t xml:space="preserve"> </w:t>
      </w:r>
      <w:r>
        <w:rPr>
          <w:i/>
          <w:iCs/>
        </w:rPr>
        <w:t xml:space="preserve">41</w:t>
      </w:r>
      <w:r>
        <w:t xml:space="preserve"> </w:t>
      </w:r>
      <w:r>
        <w:t xml:space="preserve">(2), 492–498. https://doi.org/</w:t>
      </w:r>
      <w:hyperlink r:id="rId119">
        <w:r>
          <w:rPr>
            <w:rStyle w:val="Hyperlink"/>
          </w:rPr>
          <w:t xml:space="preserve">10.1016/j.watres.2006.10.012</w:t>
        </w:r>
      </w:hyperlink>
      <w:r>
        <w:t xml:space="preserve">.</w:t>
      </w:r>
    </w:p>
    <w:bookmarkEnd w:id="120"/>
    <w:bookmarkStart w:id="122" w:name="ref-vanderploeg1995biology"/>
    <w:p>
      <w:pPr>
        <w:pStyle w:val="Bibliography"/>
      </w:pPr>
      <w:r>
        <w:t xml:space="preserve">(20)</w:t>
      </w:r>
      <w:r>
        <w:t xml:space="preserve"> </w:t>
      </w:r>
      <w:r>
        <w:t xml:space="preserve">	</w:t>
      </w:r>
      <w:r>
        <w:t xml:space="preserve">Van Der Ploeg, M.; Dennis, M.; De Regt, M.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173–180. https://doi.org/</w:t>
      </w:r>
      <w:hyperlink r:id="rId121">
        <w:r>
          <w:rPr>
            <w:rStyle w:val="Hyperlink"/>
          </w:rPr>
          <w:t xml:space="preserve">10.1016/0273-1223(95)00473-Z</w:t>
        </w:r>
      </w:hyperlink>
      <w:r>
        <w:t xml:space="preserve">.</w:t>
      </w:r>
    </w:p>
    <w:bookmarkEnd w:id="122"/>
    <w:bookmarkStart w:id="124" w:name="ref-zhang2009effects"/>
    <w:p>
      <w:pPr>
        <w:pStyle w:val="Bibliography"/>
      </w:pPr>
      <w:r>
        <w:t xml:space="preserve">(21)</w:t>
      </w:r>
      <w:r>
        <w:t xml:space="preserve"> </w:t>
      </w:r>
      <w:r>
        <w:t xml:space="preserve">	</w:t>
      </w:r>
      <w:r>
        <w:t xml:space="preserve">Zhang, T.; Li, L.; Song, L.; Chen, W. 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rPr>
          <w:b/>
          <w:bCs/>
        </w:rPr>
        <w:t xml:space="preserve">2009</w:t>
      </w:r>
      <w:r>
        <w:t xml:space="preserve">,</w:t>
      </w:r>
      <w:r>
        <w:t xml:space="preserve"> </w:t>
      </w:r>
      <w:r>
        <w:rPr>
          <w:i/>
          <w:iCs/>
        </w:rPr>
        <w:t xml:space="preserve">21</w:t>
      </w:r>
      <w:r>
        <w:t xml:space="preserve">, 279–285. https://doi.org/</w:t>
      </w:r>
      <w:hyperlink r:id="rId123">
        <w:r>
          <w:rPr>
            <w:rStyle w:val="Hyperlink"/>
          </w:rPr>
          <w:t xml:space="preserve">10.1007/s10811-008-9363-z</w:t>
        </w:r>
      </w:hyperlink>
      <w:r>
        <w:t xml:space="preserve">.</w:t>
      </w:r>
    </w:p>
    <w:bookmarkEnd w:id="124"/>
    <w:bookmarkStart w:id="125" w:name="ref-bentley1981geosmin"/>
    <w:p>
      <w:pPr>
        <w:pStyle w:val="Bibliography"/>
      </w:pPr>
      <w:r>
        <w:t xml:space="preserve">(22)</w:t>
      </w:r>
      <w:r>
        <w:t xml:space="preserve"> </w:t>
      </w:r>
      <w:r>
        <w:t xml:space="preserve">	</w:t>
      </w:r>
      <w:r>
        <w:t xml:space="preserve">Bentley, R.;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1981</w:t>
      </w:r>
      <w:r>
        <w:t xml:space="preserve">,</w:t>
      </w:r>
      <w:r>
        <w:t xml:space="preserve"> </w:t>
      </w:r>
      <w:r>
        <w:rPr>
          <w:i/>
          <w:iCs/>
        </w:rPr>
        <w:t xml:space="preserve">125</w:t>
      </w:r>
      <w:r>
        <w:t xml:space="preserve"> </w:t>
      </w:r>
      <w:r>
        <w:t xml:space="preserve">(2), 220.</w:t>
      </w:r>
    </w:p>
    <w:bookmarkEnd w:id="125"/>
    <w:bookmarkStart w:id="127" w:name="ref-wu1988differential"/>
    <w:p>
      <w:pPr>
        <w:pStyle w:val="Bibliography"/>
      </w:pPr>
      <w:r>
        <w:t xml:space="preserve">(23)</w:t>
      </w:r>
      <w:r>
        <w:t xml:space="preserve"> </w:t>
      </w:r>
      <w:r>
        <w:t xml:space="preserve">	</w:t>
      </w:r>
      <w:r>
        <w:t xml:space="preserve">Wu, J.; Jüttner, F. 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rPr>
          <w:b/>
          <w:bCs/>
        </w:rPr>
        <w:t xml:space="preserve">1988</w:t>
      </w:r>
      <w:r>
        <w:t xml:space="preserve">,</w:t>
      </w:r>
      <w:r>
        <w:t xml:space="preserve"> </w:t>
      </w:r>
      <w:r>
        <w:rPr>
          <w:i/>
          <w:iCs/>
        </w:rPr>
        <w:t xml:space="preserve">150</w:t>
      </w:r>
      <w:r>
        <w:t xml:space="preserve">, 580–583. https://doi.org/</w:t>
      </w:r>
      <w:hyperlink r:id="rId126">
        <w:r>
          <w:rPr>
            <w:rStyle w:val="Hyperlink"/>
          </w:rPr>
          <w:t xml:space="preserve">10.1007/bf00408253</w:t>
        </w:r>
      </w:hyperlink>
      <w:r>
        <w:t xml:space="preserve">.</w:t>
      </w:r>
    </w:p>
    <w:bookmarkEnd w:id="127"/>
    <w:bookmarkStart w:id="129" w:name="ref-rashash1995influence"/>
    <w:p>
      <w:pPr>
        <w:pStyle w:val="Bibliography"/>
      </w:pPr>
      <w:r>
        <w:t xml:space="preserve">(24)</w:t>
      </w:r>
      <w:r>
        <w:t xml:space="preserve"> </w:t>
      </w:r>
      <w:r>
        <w:t xml:space="preserve">	</w:t>
      </w:r>
      <w:r>
        <w:t xml:space="preserve">Rashash, D. m. C.; Dietrich, A. m.; Hoehn, R. c.; Parker, B. c. The Influence of Growth Conditions on Odor-Compound Production by Two Chrysophytes and Two Cyanobacteria.</w:t>
      </w:r>
      <w:r>
        <w:t xml:space="preserve"> </w:t>
      </w:r>
      <w:r>
        <w:rPr>
          <w:i/>
          <w:iCs/>
        </w:rPr>
        <w:t xml:space="preserve">Water Science and Technology</w:t>
      </w:r>
      <w:r>
        <w:t xml:space="preserve"> </w:t>
      </w:r>
      <w:r>
        <w:rPr>
          <w:b/>
          <w:bCs/>
        </w:rPr>
        <w:t xml:space="preserve">1995</w:t>
      </w:r>
      <w:r>
        <w:t xml:space="preserve">,</w:t>
      </w:r>
      <w:r>
        <w:t xml:space="preserve"> </w:t>
      </w:r>
      <w:r>
        <w:rPr>
          <w:i/>
          <w:iCs/>
        </w:rPr>
        <w:t xml:space="preserve">31</w:t>
      </w:r>
      <w:r>
        <w:t xml:space="preserve"> </w:t>
      </w:r>
      <w:r>
        <w:t xml:space="preserve">(11), 165–172. https://doi.org/</w:t>
      </w:r>
      <w:hyperlink r:id="rId128">
        <w:r>
          <w:rPr>
            <w:rStyle w:val="Hyperlink"/>
          </w:rPr>
          <w:t xml:space="preserve">10.1016/0273-1223(95)00472-y</w:t>
        </w:r>
      </w:hyperlink>
      <w:r>
        <w:t xml:space="preserve">.</w:t>
      </w:r>
    </w:p>
    <w:bookmarkEnd w:id="129"/>
    <w:bookmarkStart w:id="131" w:name="ref-zhang2016methylisoborneol"/>
    <w:p>
      <w:pPr>
        <w:pStyle w:val="Bibliography"/>
      </w:pPr>
      <w:r>
        <w:t xml:space="preserve">(25)</w:t>
      </w:r>
      <w:r>
        <w:t xml:space="preserve"> </w:t>
      </w:r>
      <w:r>
        <w:t xml:space="preserve">	</w:t>
      </w:r>
      <w:r>
        <w:t xml:space="preserve">Zhang, T.; Zheng, L.; Li, L.;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rPr>
          <w:b/>
          <w:bCs/>
        </w:rPr>
        <w:t xml:space="preserve">2016</w:t>
      </w:r>
      <w:r>
        <w:t xml:space="preserve">, 1–10. https://doi.org/</w:t>
      </w:r>
      <w:hyperlink r:id="rId130">
        <w:r>
          <w:rPr>
            <w:rStyle w:val="Hyperlink"/>
          </w:rPr>
          <w:t xml:space="preserve">10.1007/s10811-016-0864-x</w:t>
        </w:r>
      </w:hyperlink>
      <w:r>
        <w:t xml:space="preserve">.</w:t>
      </w:r>
    </w:p>
    <w:bookmarkEnd w:id="131"/>
    <w:bookmarkStart w:id="133" w:name="ref-oh2017effects"/>
    <w:p>
      <w:pPr>
        <w:pStyle w:val="Bibliography"/>
      </w:pPr>
      <w:r>
        <w:t xml:space="preserve">(26)</w:t>
      </w:r>
      <w:r>
        <w:t xml:space="preserve"> </w:t>
      </w:r>
      <w:r>
        <w:t xml:space="preserve">	</w:t>
      </w:r>
      <w:r>
        <w:t xml:space="preserve">Oh, H.-S.; Lee, C. S.; Srivastava, A.; Oh, H.-M.; Ahn, C.-Y. Effects of Environmental Factors on Cyanobacterial Production of Odorous Compounds: Geosmin and 2-Methylisoborneol.</w:t>
      </w:r>
      <w:r>
        <w:t xml:space="preserve"> </w:t>
      </w:r>
      <w:r>
        <w:rPr>
          <w:i/>
          <w:iCs/>
        </w:rPr>
        <w:t xml:space="preserve">Journal of Microbiology and Biotechnology</w:t>
      </w:r>
      <w:r>
        <w:t xml:space="preserve"> </w:t>
      </w:r>
      <w:r>
        <w:rPr>
          <w:b/>
          <w:bCs/>
        </w:rPr>
        <w:t xml:space="preserve">2017</w:t>
      </w:r>
      <w:r>
        <w:t xml:space="preserve">,</w:t>
      </w:r>
      <w:r>
        <w:t xml:space="preserve"> </w:t>
      </w:r>
      <w:r>
        <w:rPr>
          <w:i/>
          <w:iCs/>
        </w:rPr>
        <w:t xml:space="preserve">27</w:t>
      </w:r>
      <w:r>
        <w:t xml:space="preserve"> </w:t>
      </w:r>
      <w:r>
        <w:t xml:space="preserve">(7), 1316–1323. https://doi.org/</w:t>
      </w:r>
      <w:hyperlink r:id="rId132">
        <w:r>
          <w:rPr>
            <w:rStyle w:val="Hyperlink"/>
          </w:rPr>
          <w:t xml:space="preserve">10.4014/jmb.1702.02069</w:t>
        </w:r>
      </w:hyperlink>
      <w:r>
        <w:t xml:space="preserve">.</w:t>
      </w:r>
    </w:p>
    <w:bookmarkEnd w:id="133"/>
    <w:bookmarkStart w:id="135" w:name="ref-wang2024production"/>
    <w:p>
      <w:pPr>
        <w:pStyle w:val="Bibliography"/>
      </w:pPr>
      <w:r>
        <w:t xml:space="preserve">(27)</w:t>
      </w:r>
      <w:r>
        <w:t xml:space="preserve"> </w:t>
      </w:r>
      <w:r>
        <w:t xml:space="preserve">	</w:t>
      </w:r>
      <w:r>
        <w:t xml:space="preserve">Wang, H.; Li, L.; Cheng, S.; Chen, L.; Zhang, H.; Zhang, X. Production and Release of 2-MIB in Pseudanabaena: Effects of Growth Phases on Cell Characteristics and 2-MIB Yield.</w:t>
      </w:r>
      <w:r>
        <w:t xml:space="preserve"> </w:t>
      </w:r>
      <w:r>
        <w:rPr>
          <w:i/>
          <w:iCs/>
        </w:rPr>
        <w:t xml:space="preserve">Ecotoxicology and Environmental Safety</w:t>
      </w:r>
      <w:r>
        <w:t xml:space="preserve"> </w:t>
      </w:r>
      <w:r>
        <w:rPr>
          <w:b/>
          <w:bCs/>
        </w:rPr>
        <w:t xml:space="preserve">2024</w:t>
      </w:r>
      <w:r>
        <w:t xml:space="preserve">,</w:t>
      </w:r>
      <w:r>
        <w:t xml:space="preserve"> </w:t>
      </w:r>
      <w:r>
        <w:rPr>
          <w:i/>
          <w:iCs/>
        </w:rPr>
        <w:t xml:space="preserve">274</w:t>
      </w:r>
      <w:r>
        <w:t xml:space="preserve">, 116198. https://doi.org/</w:t>
      </w:r>
      <w:hyperlink r:id="rId134">
        <w:r>
          <w:rPr>
            <w:rStyle w:val="Hyperlink"/>
          </w:rPr>
          <w:t xml:space="preserve">10.1016/j.ecoenv.2024.116198</w:t>
        </w:r>
      </w:hyperlink>
      <w:r>
        <w:t xml:space="preserve">.</w:t>
      </w:r>
    </w:p>
    <w:bookmarkEnd w:id="135"/>
    <w:bookmarkStart w:id="137" w:name="ref-alghanmi2018effect"/>
    <w:p>
      <w:pPr>
        <w:pStyle w:val="Bibliography"/>
      </w:pPr>
      <w:r>
        <w:t xml:space="preserve">(28)</w:t>
      </w:r>
      <w:r>
        <w:t xml:space="preserve"> </w:t>
      </w:r>
      <w:r>
        <w:t xml:space="preserve">	</w:t>
      </w:r>
      <w:r>
        <w:t xml:space="preserve">Alghanmi, H. A.; Alkam, F. M.; AL-Taee, M. M. Effect of Light and Temperature on New Cyanobacteria Producers for Geosmin and 2-Methylisoborneol.</w:t>
      </w:r>
      <w:r>
        <w:t xml:space="preserve"> </w:t>
      </w:r>
      <w:r>
        <w:rPr>
          <w:i/>
          <w:iCs/>
        </w:rPr>
        <w:t xml:space="preserve">Journal of Applied Phycology</w:t>
      </w:r>
      <w:r>
        <w:t xml:space="preserve"> </w:t>
      </w:r>
      <w:r>
        <w:rPr>
          <w:b/>
          <w:bCs/>
        </w:rPr>
        <w:t xml:space="preserve">2018</w:t>
      </w:r>
      <w:r>
        <w:t xml:space="preserve">,</w:t>
      </w:r>
      <w:r>
        <w:t xml:space="preserve"> </w:t>
      </w:r>
      <w:r>
        <w:rPr>
          <w:i/>
          <w:iCs/>
        </w:rPr>
        <w:t xml:space="preserve">30</w:t>
      </w:r>
      <w:r>
        <w:t xml:space="preserve"> </w:t>
      </w:r>
      <w:r>
        <w:t xml:space="preserve">(1), 319–328. https://doi.org/</w:t>
      </w:r>
      <w:hyperlink r:id="rId136">
        <w:r>
          <w:rPr>
            <w:rStyle w:val="Hyperlink"/>
          </w:rPr>
          <w:t xml:space="preserve">10.1007/s10811-017-1233-0</w:t>
        </w:r>
      </w:hyperlink>
      <w:r>
        <w:t xml:space="preserve">.</w:t>
      </w:r>
    </w:p>
    <w:bookmarkEnd w:id="137"/>
    <w:bookmarkStart w:id="139" w:name="ref-giglio2011biosynthesis"/>
    <w:p>
      <w:pPr>
        <w:pStyle w:val="Bibliography"/>
      </w:pPr>
      <w:r>
        <w:t xml:space="preserve">(29)</w:t>
      </w:r>
      <w:r>
        <w:t xml:space="preserve"> </w:t>
      </w:r>
      <w:r>
        <w:t xml:space="preserve">	</w:t>
      </w:r>
      <w:r>
        <w:t xml:space="preserve">Giglio, S.; Chou, W. K. W.; Ikeda, H.; Cane, D. E.; Monis, P. T. Biosynthesis of 2-Methylisoborneol in Cyanobacteria.</w:t>
      </w:r>
      <w:r>
        <w:t xml:space="preserve"> </w:t>
      </w:r>
      <w:r>
        <w:rPr>
          <w:i/>
          <w:iCs/>
        </w:rPr>
        <w:t xml:space="preserve">Environmental Science &amp; Technology</w:t>
      </w:r>
      <w:r>
        <w:t xml:space="preserve"> </w:t>
      </w:r>
      <w:r>
        <w:rPr>
          <w:b/>
          <w:bCs/>
        </w:rPr>
        <w:t xml:space="preserve">2011</w:t>
      </w:r>
      <w:r>
        <w:t xml:space="preserve">,</w:t>
      </w:r>
      <w:r>
        <w:t xml:space="preserve"> </w:t>
      </w:r>
      <w:r>
        <w:rPr>
          <w:i/>
          <w:iCs/>
        </w:rPr>
        <w:t xml:space="preserve">45</w:t>
      </w:r>
      <w:r>
        <w:t xml:space="preserve"> </w:t>
      </w:r>
      <w:r>
        <w:t xml:space="preserve">(3), 992–998. https://doi.org/</w:t>
      </w:r>
      <w:hyperlink r:id="rId138">
        <w:r>
          <w:rPr>
            <w:rStyle w:val="Hyperlink"/>
          </w:rPr>
          <w:t xml:space="preserve">10.1021/es102992p</w:t>
        </w:r>
      </w:hyperlink>
      <w:r>
        <w:t xml:space="preserve">.</w:t>
      </w:r>
    </w:p>
    <w:bookmarkEnd w:id="139"/>
    <w:bookmarkStart w:id="141" w:name="ref-wang2011genes"/>
    <w:p>
      <w:pPr>
        <w:pStyle w:val="Bibliography"/>
      </w:pPr>
      <w:r>
        <w:t xml:space="preserve">(30)</w:t>
      </w:r>
      <w:r>
        <w:t xml:space="preserve"> </w:t>
      </w:r>
      <w:r>
        <w:t xml:space="preserve">	</w:t>
      </w:r>
      <w:r>
        <w:t xml:space="preserve">Wang, Z.; Xu, Y.; Shao, J.; Wang, J.; Li, R. Genes Associated with 2-Methylisoborneol Biosynthesis in Cyanobacteria: Isolation, Characterization, and Expression in Response to Light.</w:t>
      </w:r>
      <w:r>
        <w:t xml:space="preserve"> </w:t>
      </w:r>
      <w:r>
        <w:rPr>
          <w:i/>
          <w:iCs/>
        </w:rPr>
        <w:t xml:space="preserve">Plos One</w:t>
      </w:r>
      <w:r>
        <w:t xml:space="preserve"> </w:t>
      </w:r>
      <w:r>
        <w:rPr>
          <w:b/>
          <w:bCs/>
        </w:rPr>
        <w:t xml:space="preserve">2011</w:t>
      </w:r>
      <w:r>
        <w:t xml:space="preserve">,</w:t>
      </w:r>
      <w:r>
        <w:t xml:space="preserve"> </w:t>
      </w:r>
      <w:r>
        <w:rPr>
          <w:i/>
          <w:iCs/>
        </w:rPr>
        <w:t xml:space="preserve">6</w:t>
      </w:r>
      <w:r>
        <w:t xml:space="preserve"> </w:t>
      </w:r>
      <w:r>
        <w:t xml:space="preserve">(4), E18665. https://doi.org/</w:t>
      </w:r>
      <w:hyperlink r:id="rId140">
        <w:r>
          <w:rPr>
            <w:rStyle w:val="Hyperlink"/>
          </w:rPr>
          <w:t xml:space="preserve">10.1371/journal.pone.0018665</w:t>
        </w:r>
      </w:hyperlink>
      <w:r>
        <w:t xml:space="preserve">.</w:t>
      </w:r>
    </w:p>
    <w:bookmarkEnd w:id="141"/>
    <w:bookmarkStart w:id="143" w:name="ref-komatsu2008identification"/>
    <w:p>
      <w:pPr>
        <w:pStyle w:val="Bibliography"/>
      </w:pPr>
      <w:r>
        <w:t xml:space="preserve">(31)</w:t>
      </w:r>
      <w:r>
        <w:t xml:space="preserve"> </w:t>
      </w:r>
      <w:r>
        <w:t xml:space="preserve">	</w:t>
      </w:r>
      <w:r>
        <w:t xml:space="preserve">Komatsu, M.; Tsuda, M.; omura, S.; Oikawa, H.; Ikeda, H. Identification and Functional Analysis of Genes Controlling Biosynthesis of 2-Methylisoborneol.</w:t>
      </w:r>
      <w:r>
        <w:t xml:space="preserve"> </w:t>
      </w:r>
      <w:r>
        <w:rPr>
          <w:i/>
          <w:iCs/>
        </w:rPr>
        <w:t xml:space="preserve">Proceedings of the National Academy of Sciences</w:t>
      </w:r>
      <w:r>
        <w:t xml:space="preserve"> </w:t>
      </w:r>
      <w:r>
        <w:rPr>
          <w:b/>
          <w:bCs/>
        </w:rPr>
        <w:t xml:space="preserve">2008</w:t>
      </w:r>
      <w:r>
        <w:t xml:space="preserve">,</w:t>
      </w:r>
      <w:r>
        <w:t xml:space="preserve"> </w:t>
      </w:r>
      <w:r>
        <w:rPr>
          <w:i/>
          <w:iCs/>
        </w:rPr>
        <w:t xml:space="preserve">105</w:t>
      </w:r>
      <w:r>
        <w:t xml:space="preserve"> </w:t>
      </w:r>
      <w:r>
        <w:t xml:space="preserve">(21), 7422–7427. https://doi.org/</w:t>
      </w:r>
      <w:hyperlink r:id="rId142">
        <w:r>
          <w:rPr>
            <w:rStyle w:val="Hyperlink"/>
          </w:rPr>
          <w:t xml:space="preserve">10.1073/pnas.0802312105</w:t>
        </w:r>
      </w:hyperlink>
      <w:r>
        <w:t xml:space="preserve">.</w:t>
      </w:r>
    </w:p>
    <w:bookmarkEnd w:id="143"/>
    <w:bookmarkStart w:id="145" w:name="ref-andreas2024the"/>
    <w:p>
      <w:pPr>
        <w:pStyle w:val="Bibliography"/>
      </w:pPr>
      <w:r>
        <w:t xml:space="preserve">(32)</w:t>
      </w:r>
      <w:r>
        <w:t xml:space="preserve"> </w:t>
      </w:r>
      <w:r>
        <w:t xml:space="preserve">	</w:t>
      </w:r>
      <w:r>
        <w:t xml:space="preserve">Andreas, M. P.; Giessen, T. W. The Biosynthesis of the Odorant 2-Methylisoborneol Is Compartmentalized Inside a Protein Shell.</w:t>
      </w:r>
      <w:r>
        <w:t xml:space="preserve"> </w:t>
      </w:r>
      <w:r>
        <w:rPr>
          <w:i/>
          <w:iCs/>
        </w:rPr>
        <w:t xml:space="preserve">Nature Communications</w:t>
      </w:r>
      <w:r>
        <w:t xml:space="preserve"> </w:t>
      </w:r>
      <w:r>
        <w:rPr>
          <w:b/>
          <w:bCs/>
        </w:rPr>
        <w:t xml:space="preserve">2024</w:t>
      </w:r>
      <w:r>
        <w:t xml:space="preserve">,</w:t>
      </w:r>
      <w:r>
        <w:t xml:space="preserve"> </w:t>
      </w:r>
      <w:r>
        <w:rPr>
          <w:i/>
          <w:iCs/>
        </w:rPr>
        <w:t xml:space="preserve">15</w:t>
      </w:r>
      <w:r>
        <w:t xml:space="preserve"> </w:t>
      </w:r>
      <w:r>
        <w:t xml:space="preserve">(1). https://doi.org/</w:t>
      </w:r>
      <w:hyperlink r:id="rId144">
        <w:r>
          <w:rPr>
            <w:rStyle w:val="Hyperlink"/>
          </w:rPr>
          <w:t xml:space="preserve">10.1038/s41467-024-54175-4</w:t>
        </w:r>
      </w:hyperlink>
      <w:r>
        <w:t xml:space="preserve">.</w:t>
      </w:r>
    </w:p>
    <w:bookmarkEnd w:id="145"/>
    <w:bookmarkStart w:id="147" w:name="ref-lu2022driving"/>
    <w:p>
      <w:pPr>
        <w:pStyle w:val="Bibliography"/>
      </w:pPr>
      <w:r>
        <w:t xml:space="preserve">(33)</w:t>
      </w:r>
      <w:r>
        <w:t xml:space="preserve"> </w:t>
      </w:r>
      <w:r>
        <w:t xml:space="preserve">	</w:t>
      </w:r>
      <w:r>
        <w:t xml:space="preserve">Lu, J.; Su, M.; Su, Y.; Wu, B.; Cao, T.; Fang, J.; Yu, J.; Zhang, H.; Yang, M.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rPr>
          <w:b/>
          <w:bCs/>
        </w:rPr>
        <w:t xml:space="preserve">2022</w:t>
      </w:r>
      <w:r>
        <w:t xml:space="preserve">, 118670. https://doi.org/</w:t>
      </w:r>
      <w:hyperlink r:id="rId146">
        <w:r>
          <w:rPr>
            <w:rStyle w:val="Hyperlink"/>
          </w:rPr>
          <w:t xml:space="preserve">10.1016/j.watres.2022.118670</w:t>
        </w:r>
      </w:hyperlink>
      <w:r>
        <w:t xml:space="preserve">.</w:t>
      </w:r>
    </w:p>
    <w:bookmarkEnd w:id="147"/>
    <w:bookmarkStart w:id="149" w:name="ref-jia2019light"/>
    <w:p>
      <w:pPr>
        <w:pStyle w:val="Bibliography"/>
      </w:pPr>
      <w:r>
        <w:t xml:space="preserve">(34)</w:t>
      </w:r>
      <w:r>
        <w:t xml:space="preserve"> </w:t>
      </w:r>
      <w:r>
        <w:t xml:space="preserve">	</w:t>
      </w:r>
      <w:r>
        <w:t xml:space="preserve">Jia, Z.; Su, M.; Liu, T.; Guo, Q.; Wang, Q.; Burch, M.; Yu, J.; Yang, M.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rPr>
          <w:b/>
          <w:bCs/>
        </w:rPr>
        <w:t xml:space="preserve">2019</w:t>
      </w:r>
      <w:r>
        <w:t xml:space="preserve">,</w:t>
      </w:r>
      <w:r>
        <w:t xml:space="preserve"> </w:t>
      </w:r>
      <w:r>
        <w:rPr>
          <w:i/>
          <w:iCs/>
        </w:rPr>
        <w:t xml:space="preserve">88</w:t>
      </w:r>
      <w:r>
        <w:t xml:space="preserve">, 101658. https://doi.org/</w:t>
      </w:r>
      <w:hyperlink r:id="rId148">
        <w:r>
          <w:rPr>
            <w:rStyle w:val="Hyperlink"/>
          </w:rPr>
          <w:t xml:space="preserve">10.1016/j.hal.2019.101658</w:t>
        </w:r>
      </w:hyperlink>
      <w:r>
        <w:t xml:space="preserve">.</w:t>
      </w:r>
    </w:p>
    <w:bookmarkEnd w:id="149"/>
    <w:bookmarkStart w:id="151" w:name="ref-wang2015effects"/>
    <w:p>
      <w:pPr>
        <w:pStyle w:val="Bibliography"/>
      </w:pPr>
      <w:r>
        <w:t xml:space="preserve">(35)</w:t>
      </w:r>
      <w:r>
        <w:t xml:space="preserve"> </w:t>
      </w:r>
      <w:r>
        <w:t xml:space="preserve">	</w:t>
      </w:r>
      <w:r>
        <w:t xml:space="preserve">Wang, Z.; Li, R.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rPr>
          <w:b/>
          <w:bCs/>
        </w:rPr>
        <w:t xml:space="preserve">2015</w:t>
      </w:r>
      <w:r>
        <w:t xml:space="preserve">,</w:t>
      </w:r>
      <w:r>
        <w:t xml:space="preserve"> </w:t>
      </w:r>
      <w:r>
        <w:rPr>
          <w:i/>
          <w:iCs/>
        </w:rPr>
        <w:t xml:space="preserve">58</w:t>
      </w:r>
      <w:r>
        <w:t xml:space="preserve">, 219–226. https://doi.org/</w:t>
      </w:r>
      <w:hyperlink r:id="rId150">
        <w:r>
          <w:rPr>
            <w:rStyle w:val="Hyperlink"/>
          </w:rPr>
          <w:t xml:space="preserve">10.1016/j.bse.2014.12.013</w:t>
        </w:r>
      </w:hyperlink>
      <w:r>
        <w:t xml:space="preserve">.</w:t>
      </w:r>
    </w:p>
    <w:bookmarkEnd w:id="151"/>
    <w:bookmarkStart w:id="153" w:name="ref-zimba1999evaluating"/>
    <w:p>
      <w:pPr>
        <w:pStyle w:val="Bibliography"/>
      </w:pPr>
      <w:r>
        <w:t xml:space="preserve">(36)</w:t>
      </w:r>
      <w:r>
        <w:t xml:space="preserve"> </w:t>
      </w:r>
      <w:r>
        <w:t xml:space="preserve">	</w:t>
      </w:r>
      <w:r>
        <w:t xml:space="preserve">Zimba, P. V.; Dionigi, C. P.; Millie, D. F. Evaluating the Relationship Between Photopigment Synthesis and 2-Methylisoborneol Accumulation in Cyanobacteria.</w:t>
      </w:r>
      <w:r>
        <w:t xml:space="preserve"> </w:t>
      </w:r>
      <w:r>
        <w:rPr>
          <w:i/>
          <w:iCs/>
        </w:rPr>
        <w:t xml:space="preserve">Journal of Phycology</w:t>
      </w:r>
      <w:r>
        <w:t xml:space="preserve"> </w:t>
      </w:r>
      <w:r>
        <w:rPr>
          <w:b/>
          <w:bCs/>
        </w:rPr>
        <w:t xml:space="preserve">1999</w:t>
      </w:r>
      <w:r>
        <w:t xml:space="preserve">,</w:t>
      </w:r>
      <w:r>
        <w:t xml:space="preserve"> </w:t>
      </w:r>
      <w:r>
        <w:rPr>
          <w:i/>
          <w:iCs/>
        </w:rPr>
        <w:t xml:space="preserve">35</w:t>
      </w:r>
      <w:r>
        <w:t xml:space="preserve"> </w:t>
      </w:r>
      <w:r>
        <w:t xml:space="preserve">(6), 1422–1429. https://doi.org/</w:t>
      </w:r>
      <w:hyperlink r:id="rId152">
        <w:r>
          <w:rPr>
            <w:rStyle w:val="Hyperlink"/>
          </w:rPr>
          <w:t xml:space="preserve">10.1046/j.1529-8817.1999.3561422.x</w:t>
        </w:r>
      </w:hyperlink>
      <w:r>
        <w:t xml:space="preserve">.</w:t>
      </w:r>
    </w:p>
    <w:bookmarkEnd w:id="153"/>
    <w:bookmarkStart w:id="155" w:name="ref-eisenhoffer2013bringing"/>
    <w:p>
      <w:pPr>
        <w:pStyle w:val="Bibliography"/>
      </w:pPr>
      <w:r>
        <w:t xml:space="preserve">(37)</w:t>
      </w:r>
      <w:r>
        <w:t xml:space="preserve"> </w:t>
      </w:r>
      <w:r>
        <w:t xml:space="preserve">	</w:t>
      </w:r>
      <w:r>
        <w:t xml:space="preserve">Eisenhoffer, G. T.; Rosenblatt, J. Bringing Balance by Force: Live Cell Extrusion Controls Epithelial Cell Numbers.</w:t>
      </w:r>
      <w:r>
        <w:t xml:space="preserve"> </w:t>
      </w:r>
      <w:r>
        <w:rPr>
          <w:i/>
          <w:iCs/>
        </w:rPr>
        <w:t xml:space="preserve">Trends in Cell Biology</w:t>
      </w:r>
      <w:r>
        <w:t xml:space="preserve"> </w:t>
      </w:r>
      <w:r>
        <w:rPr>
          <w:b/>
          <w:bCs/>
        </w:rPr>
        <w:t xml:space="preserve">2013</w:t>
      </w:r>
      <w:r>
        <w:t xml:space="preserve">,</w:t>
      </w:r>
      <w:r>
        <w:t xml:space="preserve"> </w:t>
      </w:r>
      <w:r>
        <w:rPr>
          <w:i/>
          <w:iCs/>
        </w:rPr>
        <w:t xml:space="preserve">23</w:t>
      </w:r>
      <w:r>
        <w:t xml:space="preserve"> </w:t>
      </w:r>
      <w:r>
        <w:t xml:space="preserve">(4), 185–192. https://doi.org/</w:t>
      </w:r>
      <w:hyperlink r:id="rId154">
        <w:r>
          <w:rPr>
            <w:rStyle w:val="Hyperlink"/>
          </w:rPr>
          <w:t xml:space="preserve">10.1016/j.tcb.2012.11.006</w:t>
        </w:r>
      </w:hyperlink>
      <w:r>
        <w:t xml:space="preserve">.</w:t>
      </w:r>
    </w:p>
    <w:bookmarkEnd w:id="155"/>
    <w:bookmarkStart w:id="157" w:name="ref-bermudez2024cell"/>
    <w:p>
      <w:pPr>
        <w:pStyle w:val="Bibliography"/>
      </w:pPr>
      <w:r>
        <w:t xml:space="preserve">(38)</w:t>
      </w:r>
      <w:r>
        <w:t xml:space="preserve"> </w:t>
      </w:r>
      <w:r>
        <w:t xml:space="preserve">	</w:t>
      </w:r>
      <w:r>
        <w:t xml:space="preserve">Bermudez, A. G.; Latham, Z.; Hu, J.; Lin, N. Cell Crowding-Induced Geometric Constraint Regulates Chromatin Organizations.</w:t>
      </w:r>
      <w:r>
        <w:t xml:space="preserve"> </w:t>
      </w:r>
      <w:r>
        <w:rPr>
          <w:i/>
          <w:iCs/>
        </w:rPr>
        <w:t xml:space="preserve">Biophysical Journal</w:t>
      </w:r>
      <w:r>
        <w:t xml:space="preserve"> </w:t>
      </w:r>
      <w:r>
        <w:rPr>
          <w:b/>
          <w:bCs/>
        </w:rPr>
        <w:t xml:space="preserve">2024</w:t>
      </w:r>
      <w:r>
        <w:t xml:space="preserve">,</w:t>
      </w:r>
      <w:r>
        <w:t xml:space="preserve"> </w:t>
      </w:r>
      <w:r>
        <w:rPr>
          <w:i/>
          <w:iCs/>
        </w:rPr>
        <w:t xml:space="preserve">123</w:t>
      </w:r>
      <w:r>
        <w:t xml:space="preserve"> </w:t>
      </w:r>
      <w:r>
        <w:t xml:space="preserve">(3), 407a. https://doi.org/</w:t>
      </w:r>
      <w:hyperlink r:id="rId156">
        <w:r>
          <w:rPr>
            <w:rStyle w:val="Hyperlink"/>
          </w:rPr>
          <w:t xml:space="preserve">10.1016/j.bpj.2023.11.2493</w:t>
        </w:r>
      </w:hyperlink>
      <w:r>
        <w:t xml:space="preserve">.</w:t>
      </w:r>
    </w:p>
    <w:bookmarkEnd w:id="157"/>
    <w:bookmarkStart w:id="159" w:name="ref-yang2024etv4"/>
    <w:p>
      <w:pPr>
        <w:pStyle w:val="Bibliography"/>
      </w:pPr>
      <w:r>
        <w:t xml:space="preserve">(39)</w:t>
      </w:r>
      <w:r>
        <w:t xml:space="preserve"> </w:t>
      </w:r>
      <w:r>
        <w:t xml:space="preserve">	</w:t>
      </w:r>
      <w:r>
        <w:t xml:space="preserve">Yang, S.; Golkaram, M.; Oh, S.; Oh, Y.; Cho, Y.; Yoe, J.; Ju, S.; Lalli, M. A.; Park, S.-Y.; Lee, Y.; Jang, J. ETV4 Is a Mechanical Transducer Linking Cell Crowding Dynamics to Lineage Specification.</w:t>
      </w:r>
      <w:r>
        <w:t xml:space="preserve"> </w:t>
      </w:r>
      <w:r>
        <w:rPr>
          <w:i/>
          <w:iCs/>
        </w:rPr>
        <w:t xml:space="preserve">Nature Cell Biology</w:t>
      </w:r>
      <w:r>
        <w:t xml:space="preserve"> </w:t>
      </w:r>
      <w:r>
        <w:rPr>
          <w:b/>
          <w:bCs/>
        </w:rPr>
        <w:t xml:space="preserve">2024</w:t>
      </w:r>
      <w:r>
        <w:t xml:space="preserve">,</w:t>
      </w:r>
      <w:r>
        <w:t xml:space="preserve"> </w:t>
      </w:r>
      <w:r>
        <w:rPr>
          <w:i/>
          <w:iCs/>
        </w:rPr>
        <w:t xml:space="preserve">26</w:t>
      </w:r>
      <w:r>
        <w:t xml:space="preserve"> </w:t>
      </w:r>
      <w:r>
        <w:t xml:space="preserve">(6), 903–916. https://doi.org/</w:t>
      </w:r>
      <w:hyperlink r:id="rId158">
        <w:r>
          <w:rPr>
            <w:rStyle w:val="Hyperlink"/>
          </w:rPr>
          <w:t xml:space="preserve">10.1038/s41556-024-01415-w</w:t>
        </w:r>
      </w:hyperlink>
      <w:r>
        <w:t xml:space="preserve">.</w:t>
      </w:r>
    </w:p>
    <w:bookmarkEnd w:id="159"/>
    <w:bookmarkStart w:id="161" w:name="ref-lawsonkeister2021jamming"/>
    <w:p>
      <w:pPr>
        <w:pStyle w:val="Bibliography"/>
      </w:pPr>
      <w:r>
        <w:t xml:space="preserve">(40)</w:t>
      </w:r>
      <w:r>
        <w:t xml:space="preserve"> </w:t>
      </w:r>
      <w:r>
        <w:t xml:space="preserve">	</w:t>
      </w:r>
      <w:r>
        <w:t xml:space="preserve">Lawson-Keister, E.; Manning, M. L. Jamming and Arrest of Cell Motion in Biological Tissues.</w:t>
      </w:r>
      <w:r>
        <w:t xml:space="preserve"> </w:t>
      </w:r>
      <w:r>
        <w:rPr>
          <w:i/>
          <w:iCs/>
        </w:rPr>
        <w:t xml:space="preserve">Current Opinion in Cell Biology</w:t>
      </w:r>
      <w:r>
        <w:t xml:space="preserve"> </w:t>
      </w:r>
      <w:r>
        <w:rPr>
          <w:b/>
          <w:bCs/>
        </w:rPr>
        <w:t xml:space="preserve">2021</w:t>
      </w:r>
      <w:r>
        <w:t xml:space="preserve">,</w:t>
      </w:r>
      <w:r>
        <w:t xml:space="preserve"> </w:t>
      </w:r>
      <w:r>
        <w:rPr>
          <w:i/>
          <w:iCs/>
        </w:rPr>
        <w:t xml:space="preserve">72</w:t>
      </w:r>
      <w:r>
        <w:t xml:space="preserve">, 146–155. https://doi.org/</w:t>
      </w:r>
      <w:hyperlink r:id="rId160">
        <w:r>
          <w:rPr>
            <w:rStyle w:val="Hyperlink"/>
          </w:rPr>
          <w:t xml:space="preserve">10.1016/j.ceb.2021.07.011</w:t>
        </w:r>
      </w:hyperlink>
      <w:r>
        <w:t xml:space="preserve">.</w:t>
      </w:r>
    </w:p>
    <w:bookmarkEnd w:id="161"/>
    <w:bookmarkStart w:id="163" w:name="ref-drewinko1984cultured"/>
    <w:p>
      <w:pPr>
        <w:pStyle w:val="Bibliography"/>
      </w:pPr>
      <w:r>
        <w:t xml:space="preserve">(41)</w:t>
      </w:r>
      <w:r>
        <w:t xml:space="preserve"> </w:t>
      </w:r>
      <w:r>
        <w:t xml:space="preserve">	</w:t>
      </w:r>
      <w:r>
        <w:t xml:space="preserve">Drewinko, B.; Yang, L. Y.; Barlogie, B.; Trujillo, J. M. 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rPr>
          <w:b/>
          <w:bCs/>
        </w:rPr>
        <w:t xml:space="preserve">1984</w:t>
      </w:r>
      <w:r>
        <w:t xml:space="preserve">,</w:t>
      </w:r>
      <w:r>
        <w:t xml:space="preserve"> </w:t>
      </w:r>
      <w:r>
        <w:rPr>
          <w:i/>
          <w:iCs/>
        </w:rPr>
        <w:t xml:space="preserve">17</w:t>
      </w:r>
      <w:r>
        <w:t xml:space="preserve"> </w:t>
      </w:r>
      <w:r>
        <w:t xml:space="preserve">(5), 453–463. https://doi.org/</w:t>
      </w:r>
      <w:hyperlink r:id="rId162">
        <w:r>
          <w:rPr>
            <w:rStyle w:val="Hyperlink"/>
          </w:rPr>
          <w:t xml:space="preserve">10.1111/j.1365-2184.1984.tb00604.x</w:t>
        </w:r>
      </w:hyperlink>
      <w:r>
        <w:t xml:space="preserve">.</w:t>
      </w:r>
    </w:p>
    <w:bookmarkEnd w:id="163"/>
    <w:bookmarkStart w:id="165" w:name="ref-eisenhoffer2012crowding"/>
    <w:p>
      <w:pPr>
        <w:pStyle w:val="Bibliography"/>
      </w:pPr>
      <w:r>
        <w:t xml:space="preserve">(42)</w:t>
      </w:r>
      <w:r>
        <w:t xml:space="preserve"> </w:t>
      </w:r>
      <w:r>
        <w:t xml:space="preserve">	</w:t>
      </w:r>
      <w:r>
        <w:t xml:space="preserve">Eisenhoffer, G. T.; Loftus, P. D.; Yoshigi, M.; Otsuna, H.; Chien, C.-B.; Morcos, P. A.; Rosenblatt, J. Crowding Induces Live Cell Extrusion to Maintain Homeostatic Cell Numbers in Epithelia.</w:t>
      </w:r>
      <w:r>
        <w:t xml:space="preserve"> </w:t>
      </w:r>
      <w:r>
        <w:rPr>
          <w:i/>
          <w:iCs/>
        </w:rPr>
        <w:t xml:space="preserve">Nature</w:t>
      </w:r>
      <w:r>
        <w:t xml:space="preserve"> </w:t>
      </w:r>
      <w:r>
        <w:rPr>
          <w:b/>
          <w:bCs/>
        </w:rPr>
        <w:t xml:space="preserve">2012</w:t>
      </w:r>
      <w:r>
        <w:t xml:space="preserve">,</w:t>
      </w:r>
      <w:r>
        <w:t xml:space="preserve"> </w:t>
      </w:r>
      <w:r>
        <w:rPr>
          <w:i/>
          <w:iCs/>
        </w:rPr>
        <w:t xml:space="preserve">484</w:t>
      </w:r>
      <w:r>
        <w:t xml:space="preserve"> </w:t>
      </w:r>
      <w:r>
        <w:t xml:space="preserve">(7395), 546–549. https://doi.org/</w:t>
      </w:r>
      <w:hyperlink r:id="rId164">
        <w:r>
          <w:rPr>
            <w:rStyle w:val="Hyperlink"/>
          </w:rPr>
          <w:t xml:space="preserve">10.1038/nature10999</w:t>
        </w:r>
      </w:hyperlink>
      <w:r>
        <w:t xml:space="preserve">.</w:t>
      </w:r>
    </w:p>
    <w:bookmarkEnd w:id="165"/>
    <w:bookmarkStart w:id="167" w:name="ref-bar2004attenuation"/>
    <w:p>
      <w:pPr>
        <w:pStyle w:val="Bibliography"/>
      </w:pPr>
      <w:r>
        <w:t xml:space="preserve">(43)</w:t>
      </w:r>
      <w:r>
        <w:t xml:space="preserve"> </w:t>
      </w:r>
      <w:r>
        <w:t xml:space="preserve">	</w:t>
      </w:r>
      <w:r>
        <w:t xml:space="preserve">Bar, J.; Cohen-Noyman, E.; Geiger, B.; Oren, M. Attenuation of the P53 Response to DNA Damage by High Cell Density.</w:t>
      </w:r>
      <w:r>
        <w:t xml:space="preserve"> </w:t>
      </w:r>
      <w:r>
        <w:rPr>
          <w:i/>
          <w:iCs/>
        </w:rPr>
        <w:t xml:space="preserve">Oncogene</w:t>
      </w:r>
      <w:r>
        <w:t xml:space="preserve"> </w:t>
      </w:r>
      <w:r>
        <w:rPr>
          <w:b/>
          <w:bCs/>
        </w:rPr>
        <w:t xml:space="preserve">2004</w:t>
      </w:r>
      <w:r>
        <w:t xml:space="preserve">,</w:t>
      </w:r>
      <w:r>
        <w:t xml:space="preserve"> </w:t>
      </w:r>
      <w:r>
        <w:rPr>
          <w:i/>
          <w:iCs/>
        </w:rPr>
        <w:t xml:space="preserve">23</w:t>
      </w:r>
      <w:r>
        <w:t xml:space="preserve"> </w:t>
      </w:r>
      <w:r>
        <w:t xml:space="preserve">(12), 2128–2137. https://doi.org/</w:t>
      </w:r>
      <w:hyperlink r:id="rId166">
        <w:r>
          <w:rPr>
            <w:rStyle w:val="Hyperlink"/>
          </w:rPr>
          <w:t xml:space="preserve">10.1038/sj.onc.1207325</w:t>
        </w:r>
      </w:hyperlink>
      <w:r>
        <w:t xml:space="preserve">.</w:t>
      </w:r>
    </w:p>
    <w:bookmarkEnd w:id="167"/>
    <w:bookmarkStart w:id="169" w:name="ref-nishio2017hippo"/>
    <w:p>
      <w:pPr>
        <w:pStyle w:val="Bibliography"/>
      </w:pPr>
      <w:r>
        <w:t xml:space="preserve">(44)</w:t>
      </w:r>
      <w:r>
        <w:t xml:space="preserve"> </w:t>
      </w:r>
      <w:r>
        <w:t xml:space="preserve">	</w:t>
      </w:r>
      <w:r>
        <w:t xml:space="preserve">Nishio, M.; Maehama, T.; Goto, H.; Nakatani, K.; Kato, W.; Omori, H.; Miyachi, Y.; Togashi, H.; Shimono, Y.; Suzuki, A. Hippo Vs. Crab: Tissue‐specific Functions of the Mammalian Hippo Pathway.</w:t>
      </w:r>
      <w:r>
        <w:t xml:space="preserve"> </w:t>
      </w:r>
      <w:r>
        <w:rPr>
          <w:i/>
          <w:iCs/>
        </w:rPr>
        <w:t xml:space="preserve">Genes to Cells</w:t>
      </w:r>
      <w:r>
        <w:t xml:space="preserve"> </w:t>
      </w:r>
      <w:r>
        <w:rPr>
          <w:b/>
          <w:bCs/>
        </w:rPr>
        <w:t xml:space="preserve">2017</w:t>
      </w:r>
      <w:r>
        <w:t xml:space="preserve">,</w:t>
      </w:r>
      <w:r>
        <w:t xml:space="preserve"> </w:t>
      </w:r>
      <w:r>
        <w:rPr>
          <w:i/>
          <w:iCs/>
        </w:rPr>
        <w:t xml:space="preserve">22</w:t>
      </w:r>
      <w:r>
        <w:t xml:space="preserve"> </w:t>
      </w:r>
      <w:r>
        <w:t xml:space="preserve">(1), 6–31. https://doi.org/</w:t>
      </w:r>
      <w:hyperlink r:id="rId168">
        <w:r>
          <w:rPr>
            <w:rStyle w:val="Hyperlink"/>
          </w:rPr>
          <w:t xml:space="preserve">10.1111/gtc.12461</w:t>
        </w:r>
      </w:hyperlink>
      <w:r>
        <w:t xml:space="preserve">.</w:t>
      </w:r>
    </w:p>
    <w:bookmarkEnd w:id="169"/>
    <w:bookmarkStart w:id="171" w:name="ref-sheridan1981studies"/>
    <w:p>
      <w:pPr>
        <w:pStyle w:val="Bibliography"/>
      </w:pPr>
      <w:r>
        <w:t xml:space="preserve">(45)</w:t>
      </w:r>
      <w:r>
        <w:t xml:space="preserve"> </w:t>
      </w:r>
      <w:r>
        <w:t xml:space="preserve">	</w:t>
      </w:r>
      <w:r>
        <w:t xml:space="preserve">Sheridan, J. W.; Simmons, R. J. 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rPr>
          <w:b/>
          <w:bCs/>
        </w:rPr>
        <w:t xml:space="preserve">1981</w:t>
      </w:r>
      <w:r>
        <w:t xml:space="preserve">,</w:t>
      </w:r>
      <w:r>
        <w:t xml:space="preserve"> </w:t>
      </w:r>
      <w:r>
        <w:rPr>
          <w:i/>
          <w:iCs/>
        </w:rPr>
        <w:t xml:space="preserve">107</w:t>
      </w:r>
      <w:r>
        <w:t xml:space="preserve"> </w:t>
      </w:r>
      <w:r>
        <w:t xml:space="preserve">(1), 85–100. https://doi.org/</w:t>
      </w:r>
      <w:hyperlink r:id="rId170">
        <w:r>
          <w:rPr>
            <w:rStyle w:val="Hyperlink"/>
          </w:rPr>
          <w:t xml:space="preserve">10.1002/jcp.1041070111</w:t>
        </w:r>
      </w:hyperlink>
      <w:r>
        <w:t xml:space="preserve">.</w:t>
      </w:r>
    </w:p>
    <w:bookmarkEnd w:id="171"/>
    <w:bookmarkStart w:id="173" w:name="ref-tjørve2017the"/>
    <w:p>
      <w:pPr>
        <w:pStyle w:val="Bibliography"/>
      </w:pPr>
      <w:r>
        <w:t xml:space="preserve">(46)</w:t>
      </w:r>
      <w:r>
        <w:t xml:space="preserve"> </w:t>
      </w:r>
      <w:r>
        <w:t xml:space="preserve">	</w:t>
      </w:r>
      <w:r>
        <w:t xml:space="preserve">Tjørve, K. M. C.; Tjørve, E. The Use of Gompertz Models in Growth Analyses, and New Gompertz-Model Approach: An Addition to the Unified-Richards Family.</w:t>
      </w:r>
      <w:r>
        <w:t xml:space="preserve"> </w:t>
      </w:r>
      <w:r>
        <w:rPr>
          <w:i/>
          <w:iCs/>
        </w:rPr>
        <w:t xml:space="preserve">PLOS ONE</w:t>
      </w:r>
      <w:r>
        <w:t xml:space="preserve"> </w:t>
      </w:r>
      <w:r>
        <w:rPr>
          <w:b/>
          <w:bCs/>
        </w:rPr>
        <w:t xml:space="preserve">2017</w:t>
      </w:r>
      <w:r>
        <w:t xml:space="preserve">,</w:t>
      </w:r>
      <w:r>
        <w:t xml:space="preserve"> </w:t>
      </w:r>
      <w:r>
        <w:rPr>
          <w:i/>
          <w:iCs/>
        </w:rPr>
        <w:t xml:space="preserve">12</w:t>
      </w:r>
      <w:r>
        <w:t xml:space="preserve"> </w:t>
      </w:r>
      <w:r>
        <w:t xml:space="preserve">(6), e0178691. https://doi.org/</w:t>
      </w:r>
      <w:hyperlink r:id="rId172">
        <w:r>
          <w:rPr>
            <w:rStyle w:val="Hyperlink"/>
          </w:rPr>
          <w:t xml:space="preserve">10.1371/journal.pone.0178691</w:t>
        </w:r>
      </w:hyperlink>
      <w:r>
        <w:t xml:space="preserve">.</w:t>
      </w:r>
    </w:p>
    <w:bookmarkEnd w:id="173"/>
    <w:bookmarkStart w:id="175" w:name="ref-lv2015stability"/>
    <w:p>
      <w:pPr>
        <w:pStyle w:val="Bibliography"/>
      </w:pPr>
      <w:r>
        <w:t xml:space="preserve">(47)</w:t>
      </w:r>
      <w:r>
        <w:t xml:space="preserve"> </w:t>
      </w:r>
      <w:r>
        <w:t xml:space="preserve">	</w:t>
      </w:r>
      <w:r>
        <w:t xml:space="preserve">Lv, J.; Wang, K.; Jiao, J. Stability of Stochastic Richards Growth Model.</w:t>
      </w:r>
      <w:r>
        <w:t xml:space="preserve"> </w:t>
      </w:r>
      <w:r>
        <w:rPr>
          <w:i/>
          <w:iCs/>
        </w:rPr>
        <w:t xml:space="preserve">Applied Mathematical Modelling</w:t>
      </w:r>
      <w:r>
        <w:t xml:space="preserve"> </w:t>
      </w:r>
      <w:r>
        <w:rPr>
          <w:b/>
          <w:bCs/>
        </w:rPr>
        <w:t xml:space="preserve">2015</w:t>
      </w:r>
      <w:r>
        <w:t xml:space="preserve">,</w:t>
      </w:r>
      <w:r>
        <w:t xml:space="preserve"> </w:t>
      </w:r>
      <w:r>
        <w:rPr>
          <w:i/>
          <w:iCs/>
        </w:rPr>
        <w:t xml:space="preserve">39</w:t>
      </w:r>
      <w:r>
        <w:t xml:space="preserve"> </w:t>
      </w:r>
      <w:r>
        <w:t xml:space="preserve">(16), 4821–4827. https://doi.org/</w:t>
      </w:r>
      <w:hyperlink r:id="rId174">
        <w:r>
          <w:rPr>
            <w:rStyle w:val="Hyperlink"/>
          </w:rPr>
          <w:t xml:space="preserve">10.1016/j.apm.2015.04.016</w:t>
        </w:r>
      </w:hyperlink>
      <w:r>
        <w:t xml:space="preserve">.</w:t>
      </w:r>
    </w:p>
    <w:bookmarkEnd w:id="175"/>
    <w:bookmarkStart w:id="177" w:name="ref-peleg1998reinterpretation"/>
    <w:p>
      <w:pPr>
        <w:pStyle w:val="Bibliography"/>
      </w:pPr>
      <w:r>
        <w:t xml:space="preserve">(48)</w:t>
      </w:r>
      <w:r>
        <w:t xml:space="preserve"> </w:t>
      </w:r>
      <w:r>
        <w:t xml:space="preserve">	</w:t>
      </w:r>
      <w:r>
        <w:t xml:space="preserve">Peleg, M.; Cole, M. B. Reinterpretation of Microbial Survival Curves.</w:t>
      </w:r>
      <w:r>
        <w:t xml:space="preserve"> </w:t>
      </w:r>
      <w:r>
        <w:rPr>
          <w:i/>
          <w:iCs/>
        </w:rPr>
        <w:t xml:space="preserve">Critical Reviews in Food Science and Nutrition</w:t>
      </w:r>
      <w:r>
        <w:t xml:space="preserve"> </w:t>
      </w:r>
      <w:r>
        <w:rPr>
          <w:b/>
          <w:bCs/>
        </w:rPr>
        <w:t xml:space="preserve">1998</w:t>
      </w:r>
      <w:r>
        <w:t xml:space="preserve">,</w:t>
      </w:r>
      <w:r>
        <w:t xml:space="preserve"> </w:t>
      </w:r>
      <w:r>
        <w:rPr>
          <w:i/>
          <w:iCs/>
        </w:rPr>
        <w:t xml:space="preserve">38</w:t>
      </w:r>
      <w:r>
        <w:t xml:space="preserve"> </w:t>
      </w:r>
      <w:r>
        <w:t xml:space="preserve">(5), 353–380. https://doi.org/</w:t>
      </w:r>
      <w:hyperlink r:id="rId176">
        <w:r>
          <w:rPr>
            <w:rStyle w:val="Hyperlink"/>
          </w:rPr>
          <w:t xml:space="preserve">10.1080/10408699891274246</w:t>
        </w:r>
      </w:hyperlink>
      <w:r>
        <w:t xml:space="preserve">.</w:t>
      </w:r>
    </w:p>
    <w:bookmarkEnd w:id="177"/>
    <w:bookmarkStart w:id="179" w:name="ref-wang2023cell"/>
    <w:p>
      <w:pPr>
        <w:pStyle w:val="Bibliography"/>
      </w:pPr>
      <w:r>
        <w:t xml:space="preserve">(49)</w:t>
      </w:r>
      <w:r>
        <w:t xml:space="preserve"> </w:t>
      </w:r>
      <w:r>
        <w:t xml:space="preserve">	</w:t>
      </w:r>
      <w:r>
        <w:t xml:space="preserve">Wang, Y.; Zhou, J. X.; Pedrini, E.; Rubin, I.; Khalil, M.; Taramelli, R.; Qian, H.; Huang, S. Cell Population Growth Kinetics in the Presence of Stochastic Heterogeneity of Cell Phenotype.</w:t>
      </w:r>
      <w:r>
        <w:t xml:space="preserve"> </w:t>
      </w:r>
      <w:r>
        <w:rPr>
          <w:i/>
          <w:iCs/>
        </w:rPr>
        <w:t xml:space="preserve">Journal of Theoretical Biology</w:t>
      </w:r>
      <w:r>
        <w:t xml:space="preserve"> </w:t>
      </w:r>
      <w:r>
        <w:rPr>
          <w:b/>
          <w:bCs/>
        </w:rPr>
        <w:t xml:space="preserve">2023</w:t>
      </w:r>
      <w:r>
        <w:t xml:space="preserve">,</w:t>
      </w:r>
      <w:r>
        <w:t xml:space="preserve"> </w:t>
      </w:r>
      <w:r>
        <w:rPr>
          <w:i/>
          <w:iCs/>
        </w:rPr>
        <w:t xml:space="preserve">575</w:t>
      </w:r>
      <w:r>
        <w:t xml:space="preserve">, 111645. https://doi.org/</w:t>
      </w:r>
      <w:hyperlink r:id="rId178">
        <w:r>
          <w:rPr>
            <w:rStyle w:val="Hyperlink"/>
          </w:rPr>
          <w:t xml:space="preserve">10.1016/j.jtbi.2023.111645</w:t>
        </w:r>
      </w:hyperlink>
      <w:r>
        <w:t xml:space="preserve">.</w:t>
      </w:r>
    </w:p>
    <w:bookmarkEnd w:id="179"/>
    <w:bookmarkStart w:id="181" w:name="ref-karim2023random"/>
    <w:p>
      <w:pPr>
        <w:pStyle w:val="Bibliography"/>
      </w:pPr>
      <w:r>
        <w:t xml:space="preserve">(50)</w:t>
      </w:r>
      <w:r>
        <w:t xml:space="preserve"> </w:t>
      </w:r>
      <w:r>
        <w:t xml:space="preserve">	</w:t>
      </w:r>
      <w:r>
        <w:t xml:space="preserve">Karim, M. A. U.; Aithal, V.; Bhowmick, A. R. Random Variation in Model Parameters: A Comprehensive Review of Stochastic Logistic Growth Equation.</w:t>
      </w:r>
      <w:r>
        <w:t xml:space="preserve"> </w:t>
      </w:r>
      <w:r>
        <w:rPr>
          <w:i/>
          <w:iCs/>
        </w:rPr>
        <w:t xml:space="preserve">Ecological Modelling</w:t>
      </w:r>
      <w:r>
        <w:t xml:space="preserve"> </w:t>
      </w:r>
      <w:r>
        <w:rPr>
          <w:b/>
          <w:bCs/>
        </w:rPr>
        <w:t xml:space="preserve">2023</w:t>
      </w:r>
      <w:r>
        <w:t xml:space="preserve">,</w:t>
      </w:r>
      <w:r>
        <w:t xml:space="preserve"> </w:t>
      </w:r>
      <w:r>
        <w:rPr>
          <w:i/>
          <w:iCs/>
        </w:rPr>
        <w:t xml:space="preserve">484</w:t>
      </w:r>
      <w:r>
        <w:t xml:space="preserve">, 110475. https://doi.org/</w:t>
      </w:r>
      <w:hyperlink r:id="rId180">
        <w:r>
          <w:rPr>
            <w:rStyle w:val="Hyperlink"/>
          </w:rPr>
          <w:t xml:space="preserve">10.1016/j.ecolmodel.2023.110475</w:t>
        </w:r>
      </w:hyperlink>
      <w:r>
        <w:t xml:space="preserve">.</w:t>
      </w:r>
    </w:p>
    <w:bookmarkEnd w:id="181"/>
    <w:bookmarkStart w:id="183" w:name="ref-li2010cyanobacterial"/>
    <w:p>
      <w:pPr>
        <w:pStyle w:val="Bibliography"/>
      </w:pPr>
      <w:r>
        <w:t xml:space="preserve">(51)</w:t>
      </w:r>
      <w:r>
        <w:t xml:space="preserve"> </w:t>
      </w:r>
      <w:r>
        <w:t xml:space="preserve">	</w:t>
      </w:r>
      <w:r>
        <w:t xml:space="preserve">Li, Z.; Yu, J.; Yang, M.; Zhang, J.; Burch, M. D.; Han, W. 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rPr>
          <w:b/>
          <w:bCs/>
        </w:rPr>
        <w:t xml:space="preserve">2010</w:t>
      </w:r>
      <w:r>
        <w:t xml:space="preserve">,</w:t>
      </w:r>
      <w:r>
        <w:t xml:space="preserve"> </w:t>
      </w:r>
      <w:r>
        <w:rPr>
          <w:i/>
          <w:iCs/>
        </w:rPr>
        <w:t xml:space="preserve">9</w:t>
      </w:r>
      <w:r>
        <w:t xml:space="preserve"> </w:t>
      </w:r>
      <w:r>
        <w:t xml:space="preserve">(5), 481–488. https://doi.org/</w:t>
      </w:r>
      <w:hyperlink r:id="rId182">
        <w:r>
          <w:rPr>
            <w:rStyle w:val="Hyperlink"/>
          </w:rPr>
          <w:t xml:space="preserve">10.1016/j.hal.2010.03.003</w:t>
        </w:r>
      </w:hyperlink>
      <w:r>
        <w:t xml:space="preserve">.</w:t>
      </w:r>
    </w:p>
    <w:bookmarkEnd w:id="183"/>
    <w:bookmarkStart w:id="185" w:name="ref-liang2005removal"/>
    <w:p>
      <w:pPr>
        <w:pStyle w:val="Bibliography"/>
      </w:pPr>
      <w:r>
        <w:t xml:space="preserve">(52)</w:t>
      </w:r>
      <w:r>
        <w:t xml:space="preserve"> </w:t>
      </w:r>
      <w:r>
        <w:t xml:space="preserve">	</w:t>
      </w:r>
      <w:r>
        <w:t xml:space="preserve">Liang, C.; Wang, D.; Yang, M.; Sun, W.; Zhang, S. Removal of Eathy-Must Odorants in Drinking Water by Powdered Activated Carbon.</w:t>
      </w:r>
      <w:r>
        <w:t xml:space="preserve"> </w:t>
      </w:r>
      <w:r>
        <w:rPr>
          <w:i/>
          <w:iCs/>
        </w:rPr>
        <w:t xml:space="preserve">Journal of Environmental Science and Health</w:t>
      </w:r>
      <w:r>
        <w:t xml:space="preserve"> </w:t>
      </w:r>
      <w:r>
        <w:rPr>
          <w:b/>
          <w:bCs/>
        </w:rPr>
        <w:t xml:space="preserve">2005</w:t>
      </w:r>
      <w:r>
        <w:t xml:space="preserve">,</w:t>
      </w:r>
      <w:r>
        <w:t xml:space="preserve"> </w:t>
      </w:r>
      <w:r>
        <w:rPr>
          <w:i/>
          <w:iCs/>
        </w:rPr>
        <w:t xml:space="preserve">40</w:t>
      </w:r>
      <w:r>
        <w:t xml:space="preserve"> </w:t>
      </w:r>
      <w:r>
        <w:t xml:space="preserve">(4), 767–778. https://doi.org/</w:t>
      </w:r>
      <w:hyperlink r:id="rId184">
        <w:r>
          <w:rPr>
            <w:rStyle w:val="Hyperlink"/>
          </w:rPr>
          <w:t xml:space="preserve">10.1081/ese-200048262</w:t>
        </w:r>
      </w:hyperlink>
      <w:r>
        <w:t xml:space="preserve">.</w:t>
      </w:r>
    </w:p>
    <w:bookmarkEnd w:id="185"/>
    <w:bookmarkStart w:id="186" w:name="ref-sherr1993preservation"/>
    <w:p>
      <w:pPr>
        <w:pStyle w:val="Bibliography"/>
      </w:pPr>
      <w:r>
        <w:t xml:space="preserve">(53)</w:t>
      </w:r>
      <w:r>
        <w:t xml:space="preserve"> </w:t>
      </w:r>
      <w:r>
        <w:t xml:space="preserve">	</w:t>
      </w:r>
      <w:r>
        <w:t xml:space="preserve">Sherr, E. B.; Sherr, B. F. Preservation and Storage of Samples for Enumeration of Heterotrophic Protists.</w:t>
      </w:r>
      <w:r>
        <w:t xml:space="preserve"> </w:t>
      </w:r>
      <w:r>
        <w:rPr>
          <w:i/>
          <w:iCs/>
        </w:rPr>
        <w:t xml:space="preserve">Handbook of Methods in Aquatic Microbial Ecology. Lewis Publishers, Boca Raton</w:t>
      </w:r>
      <w:r>
        <w:t xml:space="preserve"> </w:t>
      </w:r>
      <w:r>
        <w:rPr>
          <w:b/>
          <w:bCs/>
        </w:rPr>
        <w:t xml:space="preserve">1993</w:t>
      </w:r>
      <w:r>
        <w:t xml:space="preserve">, 207–212.</w:t>
      </w:r>
    </w:p>
    <w:bookmarkEnd w:id="186"/>
    <w:bookmarkStart w:id="187" w:name="ref-komarek1998cyanoprokaryota"/>
    <w:p>
      <w:pPr>
        <w:pStyle w:val="Bibliography"/>
      </w:pPr>
      <w:r>
        <w:t xml:space="preserve">(54)</w:t>
      </w:r>
      <w:r>
        <w:t xml:space="preserve"> </w:t>
      </w:r>
      <w:r>
        <w:t xml:space="preserve">	</w:t>
      </w:r>
      <w:r>
        <w:t xml:space="preserve">Komárek, J.; Anagnostidis, K.</w:t>
      </w:r>
      <w:r>
        <w:t xml:space="preserve"> </w:t>
      </w:r>
      <w:r>
        <w:rPr>
          <w:i/>
          <w:iCs/>
        </w:rPr>
        <w:t xml:space="preserve">Cyanoprokaryota 1</w:t>
      </w:r>
      <w:r>
        <w:t xml:space="preserve">; Deu, 1998; Vol. 19(1).</w:t>
      </w:r>
    </w:p>
    <w:bookmarkEnd w:id="187"/>
    <w:bookmarkStart w:id="188" w:name="ref-komarek2014taxonomic"/>
    <w:p>
      <w:pPr>
        <w:pStyle w:val="Bibliography"/>
      </w:pPr>
      <w:r>
        <w:t xml:space="preserve">(55)</w:t>
      </w:r>
      <w:r>
        <w:t xml:space="preserve"> </w:t>
      </w:r>
      <w:r>
        <w:t xml:space="preserve">	</w:t>
      </w:r>
      <w:r>
        <w:t xml:space="preserve">Komarek, J.; Kastovsky, J.; Mares, J.; Johansen, J. R. Taxonomic Classification of Cyanoprokaryotes (Cyanobacterial Genera) 2014, Using a Polyphasic Approach.</w:t>
      </w:r>
      <w:r>
        <w:t xml:space="preserve"> </w:t>
      </w:r>
      <w:r>
        <w:rPr>
          <w:i/>
          <w:iCs/>
        </w:rPr>
        <w:t xml:space="preserve">Preslia</w:t>
      </w:r>
      <w:r>
        <w:t xml:space="preserve"> </w:t>
      </w:r>
      <w:r>
        <w:rPr>
          <w:b/>
          <w:bCs/>
        </w:rPr>
        <w:t xml:space="preserve">2014</w:t>
      </w:r>
      <w:r>
        <w:t xml:space="preserve">,</w:t>
      </w:r>
      <w:r>
        <w:t xml:space="preserve"> </w:t>
      </w:r>
      <w:r>
        <w:rPr>
          <w:i/>
          <w:iCs/>
        </w:rPr>
        <w:t xml:space="preserve">86</w:t>
      </w:r>
      <w:r>
        <w:t xml:space="preserve">, 295–335.</w:t>
      </w:r>
    </w:p>
    <w:bookmarkEnd w:id="188"/>
    <w:bookmarkStart w:id="189" w:name="ref-utermohl1958vervollkommnung"/>
    <w:p>
      <w:pPr>
        <w:pStyle w:val="Bibliography"/>
      </w:pPr>
      <w:r>
        <w:t xml:space="preserve">(56)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1958</w:t>
      </w:r>
      <w:r>
        <w:t xml:space="preserve">,</w:t>
      </w:r>
      <w:r>
        <w:t xml:space="preserve"> </w:t>
      </w:r>
      <w:r>
        <w:rPr>
          <w:i/>
          <w:iCs/>
        </w:rPr>
        <w:t xml:space="preserve">9</w:t>
      </w:r>
      <w:r>
        <w:t xml:space="preserve">, 1–38.</w:t>
      </w:r>
    </w:p>
    <w:bookmarkEnd w:id="189"/>
    <w:bookmarkStart w:id="191" w:name="ref-r2021r"/>
    <w:p>
      <w:pPr>
        <w:pStyle w:val="Bibliography"/>
      </w:pPr>
      <w:r>
        <w:t xml:space="preserve">(57)</w:t>
      </w:r>
      <w:r>
        <w:t xml:space="preserve"> </w:t>
      </w:r>
      <w:r>
        <w:t xml:space="preserve">	</w:t>
      </w:r>
      <w:r>
        <w:t xml:space="preserve">R Core Team.</w:t>
      </w:r>
      <w:r>
        <w:t xml:space="preserve"> </w:t>
      </w:r>
      <w:hyperlink r:id="rId190">
        <w:r>
          <w:rPr>
            <w:rStyle w:val="Hyperlink"/>
            <w:i/>
            <w:iCs/>
          </w:rPr>
          <w:t xml:space="preserve">R</w:t>
        </w:r>
        <w:r>
          <w:rPr>
            <w:rStyle w:val="Hyperlink"/>
            <w:i/>
            <w:iCs/>
          </w:rPr>
          <w:t xml:space="preserve">: A Language and Environment for Statistical Computing</w:t>
        </w:r>
      </w:hyperlink>
      <w:r>
        <w:t xml:space="preserve">; R Foundation for Statistical Computing: Vienna, Austria, 2021.</w:t>
      </w:r>
    </w:p>
    <w:bookmarkEnd w:id="191"/>
    <w:bookmarkStart w:id="193" w:name="ref-timbers2022r"/>
    <w:p>
      <w:pPr>
        <w:pStyle w:val="Bibliography"/>
      </w:pPr>
      <w:r>
        <w:t xml:space="preserve">(58)</w:t>
      </w:r>
      <w:r>
        <w:t xml:space="preserve"> </w:t>
      </w:r>
      <w:r>
        <w:t xml:space="preserve">	</w:t>
      </w:r>
      <w:r>
        <w:t xml:space="preserve">Timbers, T.; Campbell, T.; Lee, M. R and the Tidyverse. In</w:t>
      </w:r>
      <w:r>
        <w:t xml:space="preserve"> </w:t>
      </w:r>
      <w:r>
        <w:rPr>
          <w:i/>
          <w:iCs/>
        </w:rPr>
        <w:t xml:space="preserve">Data science</w:t>
      </w:r>
      <w:r>
        <w:t xml:space="preserve">; Chapman; Hall/CRC, 2022; pp 1–26. https://doi.org/</w:t>
      </w:r>
      <w:hyperlink r:id="rId192">
        <w:r>
          <w:rPr>
            <w:rStyle w:val="Hyperlink"/>
          </w:rPr>
          <w:t xml:space="preserve">10.1201/9781003080978-1</w:t>
        </w:r>
      </w:hyperlink>
      <w:r>
        <w:t xml:space="preserve">.</w:t>
      </w:r>
    </w:p>
    <w:bookmarkEnd w:id="193"/>
    <w:bookmarkStart w:id="194" w:name="ref-wood2017generalized"/>
    <w:p>
      <w:pPr>
        <w:pStyle w:val="Bibliography"/>
      </w:pPr>
      <w:r>
        <w:t xml:space="preserve">(59)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 2017.</w:t>
      </w:r>
    </w:p>
    <w:bookmarkEnd w:id="194"/>
    <w:bookmarkStart w:id="196" w:name="ref-koenker2017handbook"/>
    <w:p>
      <w:pPr>
        <w:pStyle w:val="Bibliography"/>
      </w:pPr>
      <w:r>
        <w:t xml:space="preserve">(60)</w:t>
      </w:r>
      <w:r>
        <w:t xml:space="preserve"> </w:t>
      </w:r>
      <w:r>
        <w:t xml:space="preserve">	</w:t>
      </w:r>
      <w:r>
        <w:rPr>
          <w:i/>
          <w:iCs/>
        </w:rPr>
        <w:t xml:space="preserve">Handbook of Quantile Regression</w:t>
      </w:r>
      <w:r>
        <w:t xml:space="preserve">, 1st ed.; Koenker, R., Chernozhukov, V., He, X., Peng, L., Eds.; Chapman; Hall/CRC, 2017. https://doi.org/</w:t>
      </w:r>
      <w:hyperlink r:id="rId195">
        <w:r>
          <w:rPr>
            <w:rStyle w:val="Hyperlink"/>
          </w:rPr>
          <w:t xml:space="preserve">10.1201/9781315120256</w:t>
        </w:r>
      </w:hyperlink>
      <w:r>
        <w:t xml:space="preserve">.</w:t>
      </w:r>
    </w:p>
    <w:bookmarkEnd w:id="196"/>
    <w:bookmarkStart w:id="198" w:name="ref-wickham2009ggplot"/>
    <w:p>
      <w:pPr>
        <w:pStyle w:val="Bibliography"/>
      </w:pPr>
      <w:r>
        <w:t xml:space="preserve">(61)</w:t>
      </w:r>
      <w:r>
        <w:t xml:space="preserve"> </w:t>
      </w:r>
      <w:r>
        <w:t xml:space="preserve">	</w:t>
      </w:r>
      <w:r>
        <w:t xml:space="preserve">Wickham, H. Introduction. In</w:t>
      </w:r>
      <w:r>
        <w:t xml:space="preserve"> </w:t>
      </w:r>
      <w:r>
        <w:rPr>
          <w:i/>
          <w:iCs/>
        </w:rPr>
        <w:t xml:space="preserve">ggplot2</w:t>
      </w:r>
      <w:r>
        <w:t xml:space="preserve">; Springer New York, 2009; pp 1–7. https://doi.org/</w:t>
      </w:r>
      <w:hyperlink r:id="rId197">
        <w:r>
          <w:rPr>
            <w:rStyle w:val="Hyperlink"/>
          </w:rPr>
          <w:t xml:space="preserve">10.1007/978-0-387-98141-3_1</w:t>
        </w:r>
      </w:hyperlink>
      <w:r>
        <w:t xml:space="preserve">.</w:t>
      </w:r>
    </w:p>
    <w:bookmarkEnd w:id="198"/>
    <w:bookmarkStart w:id="200" w:name="ref-liu2019production"/>
    <w:p>
      <w:pPr>
        <w:pStyle w:val="Bibliography"/>
      </w:pPr>
      <w:r>
        <w:t xml:space="preserve">(62)</w:t>
      </w:r>
      <w:r>
        <w:t xml:space="preserve"> </w:t>
      </w:r>
      <w:r>
        <w:t xml:space="preserve">	</w:t>
      </w:r>
      <w:r>
        <w:t xml:space="preserve">Liu, T.; Yu, J.; Su, M.; Jia, Z.; Wang, C.; Zhang, Y.; Dou, C.; Burch, M.; Yang, M. Production and Fate of Fishy Odorants Produced by Two Freshwater Chrysophyte Species Under Different Temperature and Light Conditions.</w:t>
      </w:r>
      <w:r>
        <w:t xml:space="preserve"> </w:t>
      </w:r>
      <w:r>
        <w:rPr>
          <w:i/>
          <w:iCs/>
        </w:rPr>
        <w:t xml:space="preserve">Water Research</w:t>
      </w:r>
      <w:r>
        <w:t xml:space="preserve"> </w:t>
      </w:r>
      <w:r>
        <w:rPr>
          <w:b/>
          <w:bCs/>
        </w:rPr>
        <w:t xml:space="preserve">2019</w:t>
      </w:r>
      <w:r>
        <w:t xml:space="preserve">,</w:t>
      </w:r>
      <w:r>
        <w:t xml:space="preserve"> </w:t>
      </w:r>
      <w:r>
        <w:rPr>
          <w:i/>
          <w:iCs/>
        </w:rPr>
        <w:t xml:space="preserve">157</w:t>
      </w:r>
      <w:r>
        <w:t xml:space="preserve">, 529–534. https://doi.org/</w:t>
      </w:r>
      <w:hyperlink r:id="rId199">
        <w:r>
          <w:rPr>
            <w:rStyle w:val="Hyperlink"/>
          </w:rPr>
          <w:t xml:space="preserve">10.1016/j.watres.2019.04.004</w:t>
        </w:r>
      </w:hyperlink>
      <w:r>
        <w:t xml:space="preserve">.</w:t>
      </w:r>
    </w:p>
    <w:bookmarkEnd w:id="200"/>
    <w:bookmarkStart w:id="202" w:name="ref-perkins2019managing"/>
    <w:p>
      <w:pPr>
        <w:pStyle w:val="Bibliography"/>
      </w:pPr>
      <w:r>
        <w:t xml:space="preserve">(63)</w:t>
      </w:r>
      <w:r>
        <w:t xml:space="preserve"> </w:t>
      </w:r>
      <w:r>
        <w:t xml:space="preserve">	</w:t>
      </w:r>
      <w:r>
        <w:t xml:space="preserve">Perkins, R. G.; Slavin, E. I.; Andrade, T. M. C.; Blenkinsopp, C.; Pearson, P.; Froggatt, T.; Godwin, G.; Parslow, J.; Hurley, S.; Luckwell, R.; Wain, D. J. Managing Taste and Odour Metabolite Production in Drinking Water Reservoirs: The Importance of Ammonium as a Key Nutrient Trigger.</w:t>
      </w:r>
      <w:r>
        <w:t xml:space="preserve"> </w:t>
      </w:r>
      <w:r>
        <w:rPr>
          <w:i/>
          <w:iCs/>
        </w:rPr>
        <w:t xml:space="preserve">Journal of Environmental Management</w:t>
      </w:r>
      <w:r>
        <w:t xml:space="preserve"> </w:t>
      </w:r>
      <w:r>
        <w:rPr>
          <w:b/>
          <w:bCs/>
        </w:rPr>
        <w:t xml:space="preserve">2019</w:t>
      </w:r>
      <w:r>
        <w:t xml:space="preserve">,</w:t>
      </w:r>
      <w:r>
        <w:t xml:space="preserve"> </w:t>
      </w:r>
      <w:r>
        <w:rPr>
          <w:i/>
          <w:iCs/>
        </w:rPr>
        <w:t xml:space="preserve">244</w:t>
      </w:r>
      <w:r>
        <w:t xml:space="preserve">, 276–284. https://doi.org/</w:t>
      </w:r>
      <w:hyperlink r:id="rId201">
        <w:r>
          <w:rPr>
            <w:rStyle w:val="Hyperlink"/>
          </w:rPr>
          <w:t xml:space="preserve">10.1016/j.jenvman.2019.04.123</w:t>
        </w:r>
      </w:hyperlink>
      <w:r>
        <w:t xml:space="preserve">.</w:t>
      </w:r>
    </w:p>
    <w:bookmarkEnd w:id="202"/>
    <w:bookmarkStart w:id="204" w:name="ref-bafford1993intracellular"/>
    <w:p>
      <w:pPr>
        <w:pStyle w:val="Bibliography"/>
      </w:pPr>
      <w:r>
        <w:t xml:space="preserve">(64)</w:t>
      </w:r>
      <w:r>
        <w:t xml:space="preserve"> </w:t>
      </w:r>
      <w:r>
        <w:t xml:space="preserve">	</w:t>
      </w:r>
      <w:r>
        <w:t xml:space="preserve">Bafford, R. A.; Seagull, R. W.; Chung, S.; Millie, D. F. INTRACELLULAR LOCALIZATION OF THE TASTE/ODOR METABOLITE 2‐METHYLISOBORNEOL IN OSCILLATORIA LIMOSA (CYANOPHYTA)1.</w:t>
      </w:r>
      <w:r>
        <w:t xml:space="preserve"> </w:t>
      </w:r>
      <w:r>
        <w:rPr>
          <w:i/>
          <w:iCs/>
        </w:rPr>
        <w:t xml:space="preserve">Journal of Phycology</w:t>
      </w:r>
      <w:r>
        <w:t xml:space="preserve"> </w:t>
      </w:r>
      <w:r>
        <w:rPr>
          <w:b/>
          <w:bCs/>
        </w:rPr>
        <w:t xml:space="preserve">1993</w:t>
      </w:r>
      <w:r>
        <w:t xml:space="preserve">,</w:t>
      </w:r>
      <w:r>
        <w:t xml:space="preserve"> </w:t>
      </w:r>
      <w:r>
        <w:rPr>
          <w:i/>
          <w:iCs/>
        </w:rPr>
        <w:t xml:space="preserve">29</w:t>
      </w:r>
      <w:r>
        <w:t xml:space="preserve"> </w:t>
      </w:r>
      <w:r>
        <w:t xml:space="preserve">(1), 91–95. https://doi.org/</w:t>
      </w:r>
      <w:hyperlink r:id="rId203">
        <w:r>
          <w:rPr>
            <w:rStyle w:val="Hyperlink"/>
          </w:rPr>
          <w:t xml:space="preserve">10.1111/j.1529-8817.1993.tb00285.x</w:t>
        </w:r>
      </w:hyperlink>
      <w:r>
        <w:t xml:space="preserve">.</w:t>
      </w:r>
    </w:p>
    <w:bookmarkEnd w:id="204"/>
    <w:bookmarkStart w:id="206" w:name="ref-pavel2018contact"/>
    <w:p>
      <w:pPr>
        <w:pStyle w:val="Bibliography"/>
      </w:pPr>
      <w:r>
        <w:t xml:space="preserve">(65)</w:t>
      </w:r>
      <w:r>
        <w:t xml:space="preserve"> </w:t>
      </w:r>
      <w:r>
        <w:t xml:space="preserve">	</w:t>
      </w:r>
      <w:r>
        <w:t xml:space="preserve">Pavel, M.; Renna, M.; Park, S. J.; Menzies, F. M.; Ricketts, T.; Füllgrabe, J.; Ashkenazi, A.; Frake, R. A.; Lombarte, A. C.; Bento, C. F.; Franze, K.; Rubinsztein, D. C. Contact Inhibition Controls Cell Survival and Proliferation via YAP/TAZ-Autophagy Axis.</w:t>
      </w:r>
      <w:r>
        <w:t xml:space="preserve"> </w:t>
      </w:r>
      <w:r>
        <w:rPr>
          <w:i/>
          <w:iCs/>
        </w:rPr>
        <w:t xml:space="preserve">Nature Communications</w:t>
      </w:r>
      <w:r>
        <w:t xml:space="preserve"> </w:t>
      </w:r>
      <w:r>
        <w:rPr>
          <w:b/>
          <w:bCs/>
        </w:rPr>
        <w:t xml:space="preserve">2018</w:t>
      </w:r>
      <w:r>
        <w:t xml:space="preserve">,</w:t>
      </w:r>
      <w:r>
        <w:t xml:space="preserve"> </w:t>
      </w:r>
      <w:r>
        <w:rPr>
          <w:i/>
          <w:iCs/>
        </w:rPr>
        <w:t xml:space="preserve">9</w:t>
      </w:r>
      <w:r>
        <w:t xml:space="preserve"> </w:t>
      </w:r>
      <w:r>
        <w:t xml:space="preserve">(1). https://doi.org/</w:t>
      </w:r>
      <w:hyperlink r:id="rId205">
        <w:r>
          <w:rPr>
            <w:rStyle w:val="Hyperlink"/>
          </w:rPr>
          <w:t xml:space="preserve">10.1038/s41467-018-05388-x</w:t>
        </w:r>
      </w:hyperlink>
      <w:r>
        <w:t xml:space="preserve">.</w:t>
      </w:r>
    </w:p>
    <w:bookmarkEnd w:id="206"/>
    <w:bookmarkStart w:id="208" w:name="ref-li2022cooccurrence"/>
    <w:p>
      <w:pPr>
        <w:pStyle w:val="Bibliography"/>
      </w:pPr>
      <w:r>
        <w:t xml:space="preserve">(66)</w:t>
      </w:r>
      <w:r>
        <w:t xml:space="preserve"> </w:t>
      </w:r>
      <w:r>
        <w:t xml:space="preserve">	</w:t>
      </w:r>
      <w:r>
        <w:t xml:space="preserve">Li, H.; Gu, X.; Chen, H.; Mao, Z.; Shen, R.; Zeng, Q.; Ge, Y. 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rPr>
          <w:b/>
          <w:bCs/>
        </w:rPr>
        <w:t xml:space="preserve">2022</w:t>
      </w:r>
      <w:r>
        <w:t xml:space="preserve">,</w:t>
      </w:r>
      <w:r>
        <w:t xml:space="preserve"> </w:t>
      </w:r>
      <w:r>
        <w:rPr>
          <w:i/>
          <w:iCs/>
        </w:rPr>
        <w:t xml:space="preserve">294</w:t>
      </w:r>
      <w:r>
        <w:t xml:space="preserve">, 118594. https://doi.org/</w:t>
      </w:r>
      <w:hyperlink r:id="rId207">
        <w:r>
          <w:rPr>
            <w:rStyle w:val="Hyperlink"/>
          </w:rPr>
          <w:t xml:space="preserve">10.1016/j.envpol.2021.118594</w:t>
        </w:r>
      </w:hyperlink>
      <w:r>
        <w:t xml:space="preserve">.</w:t>
      </w:r>
    </w:p>
    <w:bookmarkEnd w:id="208"/>
    <w:bookmarkStart w:id="210" w:name="ref-shi2023distribution"/>
    <w:p>
      <w:pPr>
        <w:pStyle w:val="Bibliography"/>
      </w:pPr>
      <w:r>
        <w:t xml:space="preserve">(67)</w:t>
      </w:r>
      <w:r>
        <w:t xml:space="preserve"> </w:t>
      </w:r>
      <w:r>
        <w:t xml:space="preserve">	</w:t>
      </w:r>
      <w:r>
        <w:t xml:space="preserve">Shi, X.; Huang, Q.; Shen, X.; Wu, J.; Nan, J.; Li, J.; Lu, H.; Yang, C. Distribution, Driving Forces, and Risk Assessment of 2-MIB and Its Producer in a Drinking Water Source-Oriented Shallow Lake.</w:t>
      </w:r>
      <w:r>
        <w:t xml:space="preserve"> </w:t>
      </w:r>
      <w:r>
        <w:rPr>
          <w:i/>
          <w:iCs/>
        </w:rPr>
        <w:t xml:space="preserve">Environmental Science and Pollution Research</w:t>
      </w:r>
      <w:r>
        <w:t xml:space="preserve"> </w:t>
      </w:r>
      <w:r>
        <w:rPr>
          <w:b/>
          <w:bCs/>
        </w:rPr>
        <w:t xml:space="preserve">2023</w:t>
      </w:r>
      <w:r>
        <w:t xml:space="preserve">,</w:t>
      </w:r>
      <w:r>
        <w:t xml:space="preserve"> </w:t>
      </w:r>
      <w:r>
        <w:rPr>
          <w:i/>
          <w:iCs/>
        </w:rPr>
        <w:t xml:space="preserve">30</w:t>
      </w:r>
      <w:r>
        <w:t xml:space="preserve"> </w:t>
      </w:r>
      <w:r>
        <w:t xml:space="preserve">(27), 71194–71208. https://doi.org/</w:t>
      </w:r>
      <w:hyperlink r:id="rId209">
        <w:r>
          <w:rPr>
            <w:rStyle w:val="Hyperlink"/>
          </w:rPr>
          <w:t xml:space="preserve">10.1007/s11356-023-27506-z</w:t>
        </w:r>
      </w:hyperlink>
      <w:r>
        <w:t xml:space="preserve">.</w:t>
      </w:r>
    </w:p>
    <w:bookmarkEnd w:id="210"/>
    <w:bookmarkStart w:id="212" w:name="ref-qi2020characterization"/>
    <w:p>
      <w:pPr>
        <w:pStyle w:val="Bibliography"/>
      </w:pPr>
      <w:r>
        <w:t xml:space="preserve">(68)</w:t>
      </w:r>
      <w:r>
        <w:t xml:space="preserve"> </w:t>
      </w:r>
      <w:r>
        <w:t xml:space="preserve">	</w:t>
      </w:r>
      <w:r>
        <w:t xml:space="preserve">Qi, C.; Fang, J.; Wang, G.; Huang, H.; Wang, Z.; Si, Z.; Zhang, L. Characterization of Odorants in Contrasting Ecotypes of Lake Taihu: Algae-Dominated Versus Macrophyte-Dominated Zones.</w:t>
      </w:r>
      <w:r>
        <w:t xml:space="preserve"> </w:t>
      </w:r>
      <w:r>
        <w:rPr>
          <w:i/>
          <w:iCs/>
        </w:rPr>
        <w:t xml:space="preserve">Environmental Science and Pollution Research</w:t>
      </w:r>
      <w:r>
        <w:t xml:space="preserve"> </w:t>
      </w:r>
      <w:r>
        <w:rPr>
          <w:b/>
          <w:bCs/>
        </w:rPr>
        <w:t xml:space="preserve">2020</w:t>
      </w:r>
      <w:r>
        <w:t xml:space="preserve">,</w:t>
      </w:r>
      <w:r>
        <w:t xml:space="preserve"> </w:t>
      </w:r>
      <w:r>
        <w:rPr>
          <w:i/>
          <w:iCs/>
        </w:rPr>
        <w:t xml:space="preserve">27</w:t>
      </w:r>
      <w:r>
        <w:t xml:space="preserve"> </w:t>
      </w:r>
      <w:r>
        <w:t xml:space="preserve">(34), 42221–42229. https://doi.org/</w:t>
      </w:r>
      <w:hyperlink r:id="rId211">
        <w:r>
          <w:rPr>
            <w:rStyle w:val="Hyperlink"/>
          </w:rPr>
          <w:t xml:space="preserve">10.1007/s11356-020-07896-0</w:t>
        </w:r>
      </w:hyperlink>
      <w:r>
        <w:t xml:space="preserve">.</w:t>
      </w:r>
    </w:p>
    <w:bookmarkEnd w:id="212"/>
    <w:bookmarkStart w:id="214" w:name="ref-rong2018source"/>
    <w:p>
      <w:pPr>
        <w:pStyle w:val="Bibliography"/>
      </w:pPr>
      <w:r>
        <w:t xml:space="preserve">(69)</w:t>
      </w:r>
      <w:r>
        <w:t xml:space="preserve"> </w:t>
      </w:r>
      <w:r>
        <w:t xml:space="preserve">	</w:t>
      </w:r>
      <w:r>
        <w:t xml:space="preserve">Rong, C.; Liu, D.; Li, Y.; Yang, K.; Han, X.; Yu, J.; Pan, B.; Zhang, J.; Yang, M. 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rPr>
          <w:b/>
          <w:bCs/>
        </w:rPr>
        <w:t xml:space="preserve">2018</w:t>
      </w:r>
      <w:r>
        <w:t xml:space="preserve">,</w:t>
      </w:r>
      <w:r>
        <w:t xml:space="preserve"> </w:t>
      </w:r>
      <w:r>
        <w:rPr>
          <w:i/>
          <w:iCs/>
        </w:rPr>
        <w:t xml:space="preserve">30</w:t>
      </w:r>
      <w:r>
        <w:t xml:space="preserve"> </w:t>
      </w:r>
      <w:r>
        <w:t xml:space="preserve">(1). https://doi.org/</w:t>
      </w:r>
      <w:hyperlink r:id="rId213">
        <w:r>
          <w:rPr>
            <w:rStyle w:val="Hyperlink"/>
          </w:rPr>
          <w:t xml:space="preserve">10.1186/s12302-018-0175-8</w:t>
        </w:r>
      </w:hyperlink>
      <w:r>
        <w:t xml:space="preserve">.</w:t>
      </w:r>
    </w:p>
    <w:bookmarkEnd w:id="214"/>
    <w:bookmarkStart w:id="216" w:name="ref-su2022lightdominated"/>
    <w:p>
      <w:pPr>
        <w:pStyle w:val="Bibliography"/>
      </w:pPr>
      <w:r>
        <w:t xml:space="preserve">(70)</w:t>
      </w:r>
      <w:r>
        <w:t xml:space="preserve"> </w:t>
      </w:r>
      <w:r>
        <w:t xml:space="preserve">	</w:t>
      </w:r>
      <w:r>
        <w:t xml:space="preserve">Su, M.; Zhu, Y.; Andersen, T.; Wang, X.; Yu, Z.; Lu, J.; Song, Y.; Cao, T.; Yu, J.; Zhang, Y.; Yang, M. Light-Dominated Selection Shaping Filamentous Cyanobacterial Assemblages Drives Odor Problem in a Drinking Water Reservoir.</w:t>
      </w:r>
      <w:r>
        <w:t xml:space="preserve"> </w:t>
      </w:r>
      <w:r>
        <w:rPr>
          <w:i/>
          <w:iCs/>
        </w:rPr>
        <w:t xml:space="preserve">npj Clean Water</w:t>
      </w:r>
      <w:r>
        <w:t xml:space="preserve"> </w:t>
      </w:r>
      <w:r>
        <w:rPr>
          <w:b/>
          <w:bCs/>
        </w:rPr>
        <w:t xml:space="preserve">2022</w:t>
      </w:r>
      <w:r>
        <w:t xml:space="preserve">,</w:t>
      </w:r>
      <w:r>
        <w:t xml:space="preserve"> </w:t>
      </w:r>
      <w:r>
        <w:rPr>
          <w:i/>
          <w:iCs/>
        </w:rPr>
        <w:t xml:space="preserve">5</w:t>
      </w:r>
      <w:r>
        <w:t xml:space="preserve"> </w:t>
      </w:r>
      <w:r>
        <w:t xml:space="preserve">(1), 37. https://doi.org/</w:t>
      </w:r>
      <w:hyperlink r:id="rId215">
        <w:r>
          <w:rPr>
            <w:rStyle w:val="Hyperlink"/>
          </w:rPr>
          <w:t xml:space="preserve">10.1038/s41545-022-00181-2</w:t>
        </w:r>
      </w:hyperlink>
      <w:r>
        <w:t xml:space="preserve">.</w:t>
      </w:r>
    </w:p>
    <w:bookmarkEnd w:id="216"/>
    <w:bookmarkStart w:id="218" w:name="ref-nan2021enclosure"/>
    <w:p>
      <w:pPr>
        <w:pStyle w:val="Bibliography"/>
      </w:pPr>
      <w:r>
        <w:t xml:space="preserve">(71)</w:t>
      </w:r>
      <w:r>
        <w:t xml:space="preserve"> </w:t>
      </w:r>
      <w:r>
        <w:t xml:space="preserve">	</w:t>
      </w:r>
      <w:r>
        <w:t xml:space="preserve">Nan, J.; Yang, C.; Yu, H.; Shi, X.; Huang, Q.; Huang, J.; Li, J. Enclosure Culture Ban and Its Effects on Water Quality and Phytoplankton Community in a Subtropical Shallow Lake.</w:t>
      </w:r>
      <w:r>
        <w:t xml:space="preserve"> </w:t>
      </w:r>
      <w:r>
        <w:rPr>
          <w:i/>
          <w:iCs/>
        </w:rPr>
        <w:t xml:space="preserve">Aquaculture Research</w:t>
      </w:r>
      <w:r>
        <w:t xml:space="preserve"> </w:t>
      </w:r>
      <w:r>
        <w:rPr>
          <w:b/>
          <w:bCs/>
        </w:rPr>
        <w:t xml:space="preserve">2021</w:t>
      </w:r>
      <w:r>
        <w:t xml:space="preserve">,</w:t>
      </w:r>
      <w:r>
        <w:t xml:space="preserve"> </w:t>
      </w:r>
      <w:r>
        <w:rPr>
          <w:i/>
          <w:iCs/>
        </w:rPr>
        <w:t xml:space="preserve">53</w:t>
      </w:r>
      <w:r>
        <w:t xml:space="preserve"> </w:t>
      </w:r>
      <w:r>
        <w:t xml:space="preserve">(1), 221–231. https://doi.org/</w:t>
      </w:r>
      <w:hyperlink r:id="rId217">
        <w:r>
          <w:rPr>
            <w:rStyle w:val="Hyperlink"/>
          </w:rPr>
          <w:t xml:space="preserve">10.1111/are.15568</w:t>
        </w:r>
      </w:hyperlink>
      <w:r>
        <w:t xml:space="preserve">.</w:t>
      </w:r>
    </w:p>
    <w:bookmarkEnd w:id="218"/>
    <w:bookmarkStart w:id="220" w:name="ref-wang2019causality"/>
    <w:p>
      <w:pPr>
        <w:pStyle w:val="Bibliography"/>
      </w:pPr>
      <w:r>
        <w:t xml:space="preserve">(72)</w:t>
      </w:r>
      <w:r>
        <w:t xml:space="preserve"> </w:t>
      </w:r>
      <w:r>
        <w:t xml:space="preserve">	</w:t>
      </w:r>
      <w:r>
        <w:t xml:space="preserve">Wang, M.; Yoshimura, C.; Allam, A.; Kimura, F.; Honma, T. Causality Analysis and Prediction of 2-Methylisoborneol Production in a Reservoir Using Empirical Dynamic Modeling.</w:t>
      </w:r>
      <w:r>
        <w:t xml:space="preserve"> </w:t>
      </w:r>
      <w:r>
        <w:rPr>
          <w:i/>
          <w:iCs/>
        </w:rPr>
        <w:t xml:space="preserve">Water Research</w:t>
      </w:r>
      <w:r>
        <w:t xml:space="preserve"> </w:t>
      </w:r>
      <w:r>
        <w:rPr>
          <w:b/>
          <w:bCs/>
        </w:rPr>
        <w:t xml:space="preserve">2019</w:t>
      </w:r>
      <w:r>
        <w:t xml:space="preserve">,</w:t>
      </w:r>
      <w:r>
        <w:t xml:space="preserve"> </w:t>
      </w:r>
      <w:r>
        <w:rPr>
          <w:i/>
          <w:iCs/>
        </w:rPr>
        <w:t xml:space="preserve">163</w:t>
      </w:r>
      <w:r>
        <w:t xml:space="preserve">, 114864. https://doi.org/</w:t>
      </w:r>
      <w:hyperlink r:id="rId219">
        <w:r>
          <w:rPr>
            <w:rStyle w:val="Hyperlink"/>
          </w:rPr>
          <w:t xml:space="preserve">10.1016/j.watres.2019.114864</w:t>
        </w:r>
      </w:hyperlink>
      <w:r>
        <w:t xml:space="preserve">.</w:t>
      </w:r>
    </w:p>
    <w:bookmarkEnd w:id="220"/>
    <w:bookmarkStart w:id="222" w:name="ref-yu2019taste"/>
    <w:p>
      <w:pPr>
        <w:pStyle w:val="Bibliography"/>
      </w:pPr>
      <w:r>
        <w:t xml:space="preserve">(73)</w:t>
      </w:r>
      <w:r>
        <w:t xml:space="preserve"> </w:t>
      </w:r>
      <w:r>
        <w:t xml:space="preserve">	</w:t>
      </w:r>
      <w:r>
        <w:t xml:space="preserve">Yu, C.; Shi, C.; Ji, M.; Xu, X.; Zhang, Z.; Ma, J.; Wang, G. Taste and Odor Compounds Associated with Aquatic Plants in Taihu Lake: Distribution and Producing Potential.</w:t>
      </w:r>
      <w:r>
        <w:t xml:space="preserve"> </w:t>
      </w:r>
      <w:r>
        <w:rPr>
          <w:i/>
          <w:iCs/>
        </w:rPr>
        <w:t xml:space="preserve">Environmental Science and Pollution Research</w:t>
      </w:r>
      <w:r>
        <w:t xml:space="preserve"> </w:t>
      </w:r>
      <w:r>
        <w:rPr>
          <w:b/>
          <w:bCs/>
        </w:rPr>
        <w:t xml:space="preserve">2019</w:t>
      </w:r>
      <w:r>
        <w:t xml:space="preserve">,</w:t>
      </w:r>
      <w:r>
        <w:t xml:space="preserve"> </w:t>
      </w:r>
      <w:r>
        <w:rPr>
          <w:i/>
          <w:iCs/>
        </w:rPr>
        <w:t xml:space="preserve">26</w:t>
      </w:r>
      <w:r>
        <w:t xml:space="preserve"> </w:t>
      </w:r>
      <w:r>
        <w:t xml:space="preserve">(33), 34510–34520. https://doi.org/</w:t>
      </w:r>
      <w:hyperlink r:id="rId221">
        <w:r>
          <w:rPr>
            <w:rStyle w:val="Hyperlink"/>
          </w:rPr>
          <w:t xml:space="preserve">10.1007/s11356-019-06188-6</w:t>
        </w:r>
      </w:hyperlink>
      <w:r>
        <w:t xml:space="preserve">.</w:t>
      </w:r>
    </w:p>
    <w:bookmarkEnd w:id="222"/>
    <w:bookmarkStart w:id="224" w:name="ref-su2019succession"/>
    <w:p>
      <w:pPr>
        <w:pStyle w:val="Bibliography"/>
      </w:pPr>
      <w:r>
        <w:t xml:space="preserve">(74)</w:t>
      </w:r>
      <w:r>
        <w:t xml:space="preserve"> </w:t>
      </w:r>
      <w:r>
        <w:t xml:space="preserve">	</w:t>
      </w:r>
      <w:r>
        <w:t xml:space="preserve">Su, M.; Andersen, T.; Burch, M.; Jia, Z.; An, W.; Yu, J.; Yang, M. 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rPr>
          <w:b/>
          <w:bCs/>
        </w:rPr>
        <w:t xml:space="preserve">2019</w:t>
      </w:r>
      <w:r>
        <w:t xml:space="preserve">,</w:t>
      </w:r>
      <w:r>
        <w:t xml:space="preserve"> </w:t>
      </w:r>
      <w:r>
        <w:rPr>
          <w:i/>
          <w:iCs/>
        </w:rPr>
        <w:t xml:space="preserve">649</w:t>
      </w:r>
      <w:r>
        <w:t xml:space="preserve">, 1553–1562. https://doi.org/</w:t>
      </w:r>
      <w:hyperlink r:id="rId223">
        <w:r>
          <w:rPr>
            <w:rStyle w:val="Hyperlink"/>
          </w:rPr>
          <w:t xml:space="preserve">J.scitotenv.2018.08.307</w:t>
        </w:r>
      </w:hyperlink>
      <w:r>
        <w:t xml:space="preserve">.</w:t>
      </w:r>
    </w:p>
    <w:bookmarkEnd w:id="224"/>
    <w:bookmarkStart w:id="226" w:name="ref-deng2019the"/>
    <w:p>
      <w:pPr>
        <w:pStyle w:val="Bibliography"/>
      </w:pPr>
      <w:r>
        <w:t xml:space="preserve">(75)</w:t>
      </w:r>
      <w:r>
        <w:t xml:space="preserve"> </w:t>
      </w:r>
      <w:r>
        <w:t xml:space="preserve">	</w:t>
      </w:r>
      <w:r>
        <w:t xml:space="preserve">Deng, X.; Qi, M.; Ren, R.; Liu, J.; Sun, X.; Xie, P.; Chen, J. The Relationships Between Odors and Environmental Factors at Bloom and Non-Bloom Area in Lake Taihu, China.</w:t>
      </w:r>
      <w:r>
        <w:t xml:space="preserve"> </w:t>
      </w:r>
      <w:r>
        <w:rPr>
          <w:i/>
          <w:iCs/>
        </w:rPr>
        <w:t xml:space="preserve">Chemosphere</w:t>
      </w:r>
      <w:r>
        <w:t xml:space="preserve"> </w:t>
      </w:r>
      <w:r>
        <w:rPr>
          <w:b/>
          <w:bCs/>
        </w:rPr>
        <w:t xml:space="preserve">2019</w:t>
      </w:r>
      <w:r>
        <w:t xml:space="preserve">,</w:t>
      </w:r>
      <w:r>
        <w:t xml:space="preserve"> </w:t>
      </w:r>
      <w:r>
        <w:rPr>
          <w:i/>
          <w:iCs/>
        </w:rPr>
        <w:t xml:space="preserve">218</w:t>
      </w:r>
      <w:r>
        <w:t xml:space="preserve">, 569–576. https://doi.org/</w:t>
      </w:r>
      <w:hyperlink r:id="rId225">
        <w:r>
          <w:rPr>
            <w:rStyle w:val="Hyperlink"/>
          </w:rPr>
          <w:t xml:space="preserve">10.1016/j.chemosphere.2018.11.121</w:t>
        </w:r>
      </w:hyperlink>
      <w:r>
        <w:t xml:space="preserve">.</w:t>
      </w:r>
    </w:p>
    <w:bookmarkEnd w:id="226"/>
    <w:bookmarkStart w:id="228" w:name="ref-li2022different"/>
    <w:p>
      <w:pPr>
        <w:pStyle w:val="Bibliography"/>
      </w:pPr>
      <w:r>
        <w:t xml:space="preserve">(76)</w:t>
      </w:r>
      <w:r>
        <w:t xml:space="preserve"> </w:t>
      </w:r>
      <w:r>
        <w:t xml:space="preserve">	</w:t>
      </w:r>
      <w:r>
        <w:t xml:space="preserve">Li, H.; Li, L.; Yin, Q.; Yu, S.; Gao, N.; Wang, X.; Chen, J. Different Drinking Water Production Schemes to Treat Authentic Algae-Laden Source Water: Removal of 2-Methylisoborneol in Different Forms.</w:t>
      </w:r>
      <w:r>
        <w:t xml:space="preserve"> </w:t>
      </w:r>
      <w:r>
        <w:rPr>
          <w:i/>
          <w:iCs/>
        </w:rPr>
        <w:t xml:space="preserve">Chemical Engineering Journal</w:t>
      </w:r>
      <w:r>
        <w:t xml:space="preserve"> </w:t>
      </w:r>
      <w:r>
        <w:rPr>
          <w:b/>
          <w:bCs/>
        </w:rPr>
        <w:t xml:space="preserve">2022</w:t>
      </w:r>
      <w:r>
        <w:t xml:space="preserve">,</w:t>
      </w:r>
      <w:r>
        <w:t xml:space="preserve"> </w:t>
      </w:r>
      <w:r>
        <w:rPr>
          <w:i/>
          <w:iCs/>
        </w:rPr>
        <w:t xml:space="preserve">440</w:t>
      </w:r>
      <w:r>
        <w:t xml:space="preserve">, 135962. https://doi.org/</w:t>
      </w:r>
      <w:hyperlink r:id="rId227">
        <w:r>
          <w:rPr>
            <w:rStyle w:val="Hyperlink"/>
          </w:rPr>
          <w:t xml:space="preserve">10.1016/j.cej.2022.135962</w:t>
        </w:r>
      </w:hyperlink>
      <w:r>
        <w:t xml:space="preserve">.</w:t>
      </w:r>
    </w:p>
    <w:bookmarkEnd w:id="228"/>
    <w:bookmarkStart w:id="230" w:name="ref-zamyadi2015fate"/>
    <w:p>
      <w:pPr>
        <w:pStyle w:val="Bibliography"/>
      </w:pPr>
      <w:r>
        <w:t xml:space="preserve">(77)</w:t>
      </w:r>
      <w:r>
        <w:t xml:space="preserve"> </w:t>
      </w:r>
      <w:r>
        <w:t xml:space="preserve">	</w:t>
      </w:r>
      <w:r>
        <w:t xml:space="preserve">Zamyadi, A.; Henderson, R.; Stuetz, R.; Hofmann, R.; Ho, L.; Newcombe, G. Fate of Geosmin and 2-Methylisoborneol in Full-Scale Water Treatment Plants.</w:t>
      </w:r>
      <w:r>
        <w:t xml:space="preserve"> </w:t>
      </w:r>
      <w:r>
        <w:rPr>
          <w:i/>
          <w:iCs/>
        </w:rPr>
        <w:t xml:space="preserve">Water Research</w:t>
      </w:r>
      <w:r>
        <w:t xml:space="preserve"> </w:t>
      </w:r>
      <w:r>
        <w:rPr>
          <w:b/>
          <w:bCs/>
        </w:rPr>
        <w:t xml:space="preserve">2015</w:t>
      </w:r>
      <w:r>
        <w:t xml:space="preserve">,</w:t>
      </w:r>
      <w:r>
        <w:t xml:space="preserve"> </w:t>
      </w:r>
      <w:r>
        <w:rPr>
          <w:i/>
          <w:iCs/>
        </w:rPr>
        <w:t xml:space="preserve">83</w:t>
      </w:r>
      <w:r>
        <w:t xml:space="preserve">, 171–183. https://doi.org/</w:t>
      </w:r>
      <w:hyperlink r:id="rId229">
        <w:r>
          <w:rPr>
            <w:rStyle w:val="Hyperlink"/>
          </w:rPr>
          <w:t xml:space="preserve">10.1016/j.watres.2015.06.038</w:t>
        </w:r>
      </w:hyperlink>
      <w:r>
        <w:t xml:space="preserve">.</w:t>
      </w:r>
    </w:p>
    <w:bookmarkEnd w:id="230"/>
    <w:bookmarkStart w:id="232" w:name="ref-drikas2009removal"/>
    <w:p>
      <w:pPr>
        <w:pStyle w:val="Bibliography"/>
      </w:pPr>
      <w:r>
        <w:t xml:space="preserve">(78)</w:t>
      </w:r>
      <w:r>
        <w:t xml:space="preserve"> </w:t>
      </w:r>
      <w:r>
        <w:t xml:space="preserve">	</w:t>
      </w:r>
      <w:r>
        <w:t xml:space="preserve">Drikas, M.; Dixon, M.; Morran, J. Removal of MIB and Geosmin Using Granular Activated Carbon with and Without MIEX Pre-Treatment.</w:t>
      </w:r>
      <w:r>
        <w:t xml:space="preserve"> </w:t>
      </w:r>
      <w:r>
        <w:rPr>
          <w:i/>
          <w:iCs/>
        </w:rPr>
        <w:t xml:space="preserve">Water Research</w:t>
      </w:r>
      <w:r>
        <w:t xml:space="preserve"> </w:t>
      </w:r>
      <w:r>
        <w:rPr>
          <w:b/>
          <w:bCs/>
        </w:rPr>
        <w:t xml:space="preserve">2009</w:t>
      </w:r>
      <w:r>
        <w:t xml:space="preserve">,</w:t>
      </w:r>
      <w:r>
        <w:t xml:space="preserve"> </w:t>
      </w:r>
      <w:r>
        <w:rPr>
          <w:i/>
          <w:iCs/>
        </w:rPr>
        <w:t xml:space="preserve">43</w:t>
      </w:r>
      <w:r>
        <w:t xml:space="preserve"> </w:t>
      </w:r>
      <w:r>
        <w:t xml:space="preserve">(20), 5151–5159. https://doi.org/</w:t>
      </w:r>
      <w:hyperlink r:id="rId231">
        <w:r>
          <w:rPr>
            <w:rStyle w:val="Hyperlink"/>
          </w:rPr>
          <w:t xml:space="preserve">10.1016/j.watres.2009.08.016</w:t>
        </w:r>
      </w:hyperlink>
      <w:r>
        <w:t xml:space="preserve">.</w:t>
      </w:r>
    </w:p>
    <w:bookmarkEnd w:id="232"/>
    <w:bookmarkEnd w:id="233"/>
    <w:bookmarkEnd w:id="23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58" Target="media/rId58.png" /><Relationship Type="http://schemas.openxmlformats.org/officeDocument/2006/relationships/image" Id="rId69" Target="media/rId69.png" /><Relationship Type="http://schemas.openxmlformats.org/officeDocument/2006/relationships/image" Id="rId63" Target="media/rId63.png" /><Relationship Type="http://schemas.openxmlformats.org/officeDocument/2006/relationships/image" Id="rId40" Target="media/rId40.png" /><Relationship Type="http://schemas.openxmlformats.org/officeDocument/2006/relationships/hyperlink" Id="rId109" Target="https://doi.org/10.1002/anie.200702496" TargetMode="External" /><Relationship Type="http://schemas.openxmlformats.org/officeDocument/2006/relationships/hyperlink" Id="rId170" Target="https://doi.org/10.1002/jcp.1041070111" TargetMode="External" /><Relationship Type="http://schemas.openxmlformats.org/officeDocument/2006/relationships/hyperlink" Id="rId197" Target="https://doi.org/10.1007/978-0-387-98141-3_1" TargetMode="External" /><Relationship Type="http://schemas.openxmlformats.org/officeDocument/2006/relationships/hyperlink" Id="rId126" Target="https://doi.org/10.1007/bf00408253" TargetMode="External" /><Relationship Type="http://schemas.openxmlformats.org/officeDocument/2006/relationships/hyperlink" Id="rId123" Target="https://doi.org/10.1007/s10811-008-9363-z" TargetMode="External" /><Relationship Type="http://schemas.openxmlformats.org/officeDocument/2006/relationships/hyperlink" Id="rId130" Target="https://doi.org/10.1007/s10811-016-0864-x" TargetMode="External" /><Relationship Type="http://schemas.openxmlformats.org/officeDocument/2006/relationships/hyperlink" Id="rId136" Target="https://doi.org/10.1007/s10811-017-1233-0" TargetMode="External" /><Relationship Type="http://schemas.openxmlformats.org/officeDocument/2006/relationships/hyperlink" Id="rId221" Target="https://doi.org/10.1007/s11356-019-06188-6" TargetMode="External" /><Relationship Type="http://schemas.openxmlformats.org/officeDocument/2006/relationships/hyperlink" Id="rId211" Target="https://doi.org/10.1007/s11356-020-07896-0" TargetMode="External" /><Relationship Type="http://schemas.openxmlformats.org/officeDocument/2006/relationships/hyperlink" Id="rId209" Target="https://doi.org/10.1007/s11356-023-27506-z" TargetMode="External" /><Relationship Type="http://schemas.openxmlformats.org/officeDocument/2006/relationships/hyperlink" Id="rId128" Target="https://doi.org/10.1016/0273-1223(95)00472-y" TargetMode="External" /><Relationship Type="http://schemas.openxmlformats.org/officeDocument/2006/relationships/hyperlink" Id="rId121" Target="https://doi.org/10.1016/0273-1223(95)00473-Z" TargetMode="External" /><Relationship Type="http://schemas.openxmlformats.org/officeDocument/2006/relationships/hyperlink" Id="rId97" Target="https://doi.org/10.1016/S0273-1223(99)00538-7" TargetMode="External" /><Relationship Type="http://schemas.openxmlformats.org/officeDocument/2006/relationships/hyperlink" Id="rId174" Target="https://doi.org/10.1016/j.apm.2015.04.016" TargetMode="External" /><Relationship Type="http://schemas.openxmlformats.org/officeDocument/2006/relationships/hyperlink" Id="rId156" Target="https://doi.org/10.1016/j.bpj.2023.11.2493" TargetMode="External" /><Relationship Type="http://schemas.openxmlformats.org/officeDocument/2006/relationships/hyperlink" Id="rId150" Target="https://doi.org/10.1016/j.bse.2014.12.013" TargetMode="External" /><Relationship Type="http://schemas.openxmlformats.org/officeDocument/2006/relationships/hyperlink" Id="rId160" Target="https://doi.org/10.1016/j.ceb.2021.07.011" TargetMode="External" /><Relationship Type="http://schemas.openxmlformats.org/officeDocument/2006/relationships/hyperlink" Id="rId227" Target="https://doi.org/10.1016/j.cej.2022.135962" TargetMode="External" /><Relationship Type="http://schemas.openxmlformats.org/officeDocument/2006/relationships/hyperlink" Id="rId225"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180" Target="https://doi.org/10.1016/j.ecolmodel.2023.110475" TargetMode="External" /><Relationship Type="http://schemas.openxmlformats.org/officeDocument/2006/relationships/hyperlink" Id="rId207" Target="https://doi.org/10.1016/j.envpol.2021.118594" TargetMode="External" /><Relationship Type="http://schemas.openxmlformats.org/officeDocument/2006/relationships/hyperlink" Id="rId182" Target="https://doi.org/10.1016/j.hal.2010.03.003" TargetMode="External" /><Relationship Type="http://schemas.openxmlformats.org/officeDocument/2006/relationships/hyperlink" Id="rId148" Target="https://doi.org/10.1016/j.hal.2019.101658" TargetMode="External" /><Relationship Type="http://schemas.openxmlformats.org/officeDocument/2006/relationships/hyperlink" Id="rId201" Target="https://doi.org/10.1016/j.jenvman.2019.04.123" TargetMode="External" /><Relationship Type="http://schemas.openxmlformats.org/officeDocument/2006/relationships/hyperlink" Id="rId111" Target="https://doi.org/10.1016/j.jes.2021.03.026" TargetMode="External" /><Relationship Type="http://schemas.openxmlformats.org/officeDocument/2006/relationships/hyperlink" Id="rId178" Target="https://doi.org/10.1016/j.jtbi.2023.111645" TargetMode="External" /><Relationship Type="http://schemas.openxmlformats.org/officeDocument/2006/relationships/hyperlink" Id="rId154" Target="https://doi.org/10.1016/j.tcb.2012.11.006" TargetMode="External" /><Relationship Type="http://schemas.openxmlformats.org/officeDocument/2006/relationships/hyperlink" Id="rId119" Target="https://doi.org/10.1016/j.watres.2006.10.012" TargetMode="External" /><Relationship Type="http://schemas.openxmlformats.org/officeDocument/2006/relationships/hyperlink" Id="rId231" Target="https://doi.org/10.1016/j.watres.2009.08.016" TargetMode="External" /><Relationship Type="http://schemas.openxmlformats.org/officeDocument/2006/relationships/hyperlink" Id="rId89"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229" Target="https://doi.org/10.1016/j.watres.2015.06.038" TargetMode="External" /><Relationship Type="http://schemas.openxmlformats.org/officeDocument/2006/relationships/hyperlink" Id="rId199" Target="https://doi.org/10.1016/j.watres.2019.04.004" TargetMode="External" /><Relationship Type="http://schemas.openxmlformats.org/officeDocument/2006/relationships/hyperlink" Id="rId101" Target="https://doi.org/10.1016/j.watres.2019.06.066" TargetMode="External" /><Relationship Type="http://schemas.openxmlformats.org/officeDocument/2006/relationships/hyperlink" Id="rId219" Target="https://doi.org/10.1016/j.watres.2019.114864" TargetMode="External" /><Relationship Type="http://schemas.openxmlformats.org/officeDocument/2006/relationships/hyperlink" Id="rId99" Target="https://doi.org/10.1016/j.watres.2020.115574" TargetMode="External" /><Relationship Type="http://schemas.openxmlformats.org/officeDocument/2006/relationships/hyperlink" Id="rId87" Target="https://doi.org/10.1016/j.watres.2020.116478" TargetMode="External" /><Relationship Type="http://schemas.openxmlformats.org/officeDocument/2006/relationships/hyperlink" Id="rId146" Target="https://doi.org/10.1016/j.watres.2022.118670" TargetMode="External" /><Relationship Type="http://schemas.openxmlformats.org/officeDocument/2006/relationships/hyperlink" Id="rId117" Target="https://doi.org/10.1016/j.watres.2023.119667" TargetMode="External" /><Relationship Type="http://schemas.openxmlformats.org/officeDocument/2006/relationships/hyperlink" Id="rId115" Target="https://doi.org/10.1016/j.watres.2023.120485" TargetMode="External" /><Relationship Type="http://schemas.openxmlformats.org/officeDocument/2006/relationships/hyperlink" Id="rId95" Target="https://doi.org/10.1016/s0273-1223(99)00531-4" TargetMode="External" /><Relationship Type="http://schemas.openxmlformats.org/officeDocument/2006/relationships/hyperlink" Id="rId93" Target="https://doi.org/10.1021/acsestwater.3c00477" TargetMode="External" /><Relationship Type="http://schemas.openxmlformats.org/officeDocument/2006/relationships/hyperlink" Id="rId138" Target="https://doi.org/10.1021/es102992p" TargetMode="External" /><Relationship Type="http://schemas.openxmlformats.org/officeDocument/2006/relationships/hyperlink" Id="rId164" Target="https://doi.org/10.1038/nature10999" TargetMode="External" /><Relationship Type="http://schemas.openxmlformats.org/officeDocument/2006/relationships/hyperlink" Id="rId205" Target="https://doi.org/10.1038/s41467-018-05388-x" TargetMode="External" /><Relationship Type="http://schemas.openxmlformats.org/officeDocument/2006/relationships/hyperlink" Id="rId144" Target="https://doi.org/10.1038/s41467-024-54175-4" TargetMode="External" /><Relationship Type="http://schemas.openxmlformats.org/officeDocument/2006/relationships/hyperlink" Id="rId215" Target="https://doi.org/10.1038/s41545-022-00181-2" TargetMode="External" /><Relationship Type="http://schemas.openxmlformats.org/officeDocument/2006/relationships/hyperlink" Id="rId158" Target="https://doi.org/10.1038/s41556-024-01415-w" TargetMode="External" /><Relationship Type="http://schemas.openxmlformats.org/officeDocument/2006/relationships/hyperlink" Id="rId166" Target="https://doi.org/10.1038/sj.onc.1207325" TargetMode="External" /><Relationship Type="http://schemas.openxmlformats.org/officeDocument/2006/relationships/hyperlink" Id="rId152" Target="https://doi.org/10.1046/j.1529-8817.1999.3561422.x" TargetMode="External" /><Relationship Type="http://schemas.openxmlformats.org/officeDocument/2006/relationships/hyperlink" Id="rId142" Target="https://doi.org/10.1073/pnas.0802312105" TargetMode="External" /><Relationship Type="http://schemas.openxmlformats.org/officeDocument/2006/relationships/hyperlink" Id="rId107" Target="https://doi.org/10.1073/pnas.1422108112" TargetMode="External" /><Relationship Type="http://schemas.openxmlformats.org/officeDocument/2006/relationships/hyperlink" Id="rId176" Target="https://doi.org/10.1080/10408699891274246" TargetMode="External" /><Relationship Type="http://schemas.openxmlformats.org/officeDocument/2006/relationships/hyperlink" Id="rId184" Target="https://doi.org/10.1081/ese-200048262" TargetMode="External" /><Relationship Type="http://schemas.openxmlformats.org/officeDocument/2006/relationships/hyperlink" Id="rId217" Target="https://doi.org/10.1111/are.15568" TargetMode="External" /><Relationship Type="http://schemas.openxmlformats.org/officeDocument/2006/relationships/hyperlink" Id="rId168" Target="https://doi.org/10.1111/gtc.12461" TargetMode="External" /><Relationship Type="http://schemas.openxmlformats.org/officeDocument/2006/relationships/hyperlink" Id="rId162" Target="https://doi.org/10.1111/j.1365-2184.1984.tb00604.x" TargetMode="External" /><Relationship Type="http://schemas.openxmlformats.org/officeDocument/2006/relationships/hyperlink" Id="rId203" Target="https://doi.org/10.1111/j.1529-8817.1993.tb00285.x" TargetMode="External" /><Relationship Type="http://schemas.openxmlformats.org/officeDocument/2006/relationships/hyperlink" Id="rId105" Target="https://doi.org/10.1139/f76-004" TargetMode="External" /><Relationship Type="http://schemas.openxmlformats.org/officeDocument/2006/relationships/hyperlink" Id="rId213" Target="https://doi.org/10.1186/s12302-018-0175-8" TargetMode="External" /><Relationship Type="http://schemas.openxmlformats.org/officeDocument/2006/relationships/hyperlink" Id="rId192" Target="https://doi.org/10.1201/9781003080978-1" TargetMode="External" /><Relationship Type="http://schemas.openxmlformats.org/officeDocument/2006/relationships/hyperlink" Id="rId195" Target="https://doi.org/10.1201/9781315120256" TargetMode="External" /><Relationship Type="http://schemas.openxmlformats.org/officeDocument/2006/relationships/hyperlink" Id="rId140" Target="https://doi.org/10.1371/journal.pone.0018665" TargetMode="External" /><Relationship Type="http://schemas.openxmlformats.org/officeDocument/2006/relationships/hyperlink" Id="rId172" Target="https://doi.org/10.1371/journal.pone.0178691" TargetMode="External" /><Relationship Type="http://schemas.openxmlformats.org/officeDocument/2006/relationships/hyperlink" Id="rId91" Target="https://doi.org/10.2166/wst.2004.0524" TargetMode="External" /><Relationship Type="http://schemas.openxmlformats.org/officeDocument/2006/relationships/hyperlink" Id="rId132" Target="https://doi.org/10.4014/jmb.1702.02069" TargetMode="External" /><Relationship Type="http://schemas.openxmlformats.org/officeDocument/2006/relationships/hyperlink" Id="rId223" Target="https://doi.org/J.scitotenv.2018.08.307" TargetMode="External" /><Relationship Type="http://schemas.openxmlformats.org/officeDocument/2006/relationships/hyperlink" Id="rId19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109" Target="https://doi.org/10.1002/anie.200702496" TargetMode="External" /><Relationship Type="http://schemas.openxmlformats.org/officeDocument/2006/relationships/hyperlink" Id="rId170" Target="https://doi.org/10.1002/jcp.1041070111" TargetMode="External" /><Relationship Type="http://schemas.openxmlformats.org/officeDocument/2006/relationships/hyperlink" Id="rId197" Target="https://doi.org/10.1007/978-0-387-98141-3_1" TargetMode="External" /><Relationship Type="http://schemas.openxmlformats.org/officeDocument/2006/relationships/hyperlink" Id="rId126" Target="https://doi.org/10.1007/bf00408253" TargetMode="External" /><Relationship Type="http://schemas.openxmlformats.org/officeDocument/2006/relationships/hyperlink" Id="rId123" Target="https://doi.org/10.1007/s10811-008-9363-z" TargetMode="External" /><Relationship Type="http://schemas.openxmlformats.org/officeDocument/2006/relationships/hyperlink" Id="rId130" Target="https://doi.org/10.1007/s10811-016-0864-x" TargetMode="External" /><Relationship Type="http://schemas.openxmlformats.org/officeDocument/2006/relationships/hyperlink" Id="rId136" Target="https://doi.org/10.1007/s10811-017-1233-0" TargetMode="External" /><Relationship Type="http://schemas.openxmlformats.org/officeDocument/2006/relationships/hyperlink" Id="rId221" Target="https://doi.org/10.1007/s11356-019-06188-6" TargetMode="External" /><Relationship Type="http://schemas.openxmlformats.org/officeDocument/2006/relationships/hyperlink" Id="rId211" Target="https://doi.org/10.1007/s11356-020-07896-0" TargetMode="External" /><Relationship Type="http://schemas.openxmlformats.org/officeDocument/2006/relationships/hyperlink" Id="rId209" Target="https://doi.org/10.1007/s11356-023-27506-z" TargetMode="External" /><Relationship Type="http://schemas.openxmlformats.org/officeDocument/2006/relationships/hyperlink" Id="rId128" Target="https://doi.org/10.1016/0273-1223(95)00472-y" TargetMode="External" /><Relationship Type="http://schemas.openxmlformats.org/officeDocument/2006/relationships/hyperlink" Id="rId121" Target="https://doi.org/10.1016/0273-1223(95)00473-Z" TargetMode="External" /><Relationship Type="http://schemas.openxmlformats.org/officeDocument/2006/relationships/hyperlink" Id="rId97" Target="https://doi.org/10.1016/S0273-1223(99)00538-7" TargetMode="External" /><Relationship Type="http://schemas.openxmlformats.org/officeDocument/2006/relationships/hyperlink" Id="rId174" Target="https://doi.org/10.1016/j.apm.2015.04.016" TargetMode="External" /><Relationship Type="http://schemas.openxmlformats.org/officeDocument/2006/relationships/hyperlink" Id="rId156" Target="https://doi.org/10.1016/j.bpj.2023.11.2493" TargetMode="External" /><Relationship Type="http://schemas.openxmlformats.org/officeDocument/2006/relationships/hyperlink" Id="rId150" Target="https://doi.org/10.1016/j.bse.2014.12.013" TargetMode="External" /><Relationship Type="http://schemas.openxmlformats.org/officeDocument/2006/relationships/hyperlink" Id="rId160" Target="https://doi.org/10.1016/j.ceb.2021.07.011" TargetMode="External" /><Relationship Type="http://schemas.openxmlformats.org/officeDocument/2006/relationships/hyperlink" Id="rId227" Target="https://doi.org/10.1016/j.cej.2022.135962" TargetMode="External" /><Relationship Type="http://schemas.openxmlformats.org/officeDocument/2006/relationships/hyperlink" Id="rId225"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180" Target="https://doi.org/10.1016/j.ecolmodel.2023.110475" TargetMode="External" /><Relationship Type="http://schemas.openxmlformats.org/officeDocument/2006/relationships/hyperlink" Id="rId207" Target="https://doi.org/10.1016/j.envpol.2021.118594" TargetMode="External" /><Relationship Type="http://schemas.openxmlformats.org/officeDocument/2006/relationships/hyperlink" Id="rId182" Target="https://doi.org/10.1016/j.hal.2010.03.003" TargetMode="External" /><Relationship Type="http://schemas.openxmlformats.org/officeDocument/2006/relationships/hyperlink" Id="rId148" Target="https://doi.org/10.1016/j.hal.2019.101658" TargetMode="External" /><Relationship Type="http://schemas.openxmlformats.org/officeDocument/2006/relationships/hyperlink" Id="rId201" Target="https://doi.org/10.1016/j.jenvman.2019.04.123" TargetMode="External" /><Relationship Type="http://schemas.openxmlformats.org/officeDocument/2006/relationships/hyperlink" Id="rId111" Target="https://doi.org/10.1016/j.jes.2021.03.026" TargetMode="External" /><Relationship Type="http://schemas.openxmlformats.org/officeDocument/2006/relationships/hyperlink" Id="rId178" Target="https://doi.org/10.1016/j.jtbi.2023.111645" TargetMode="External" /><Relationship Type="http://schemas.openxmlformats.org/officeDocument/2006/relationships/hyperlink" Id="rId154" Target="https://doi.org/10.1016/j.tcb.2012.11.006" TargetMode="External" /><Relationship Type="http://schemas.openxmlformats.org/officeDocument/2006/relationships/hyperlink" Id="rId119" Target="https://doi.org/10.1016/j.watres.2006.10.012" TargetMode="External" /><Relationship Type="http://schemas.openxmlformats.org/officeDocument/2006/relationships/hyperlink" Id="rId231" Target="https://doi.org/10.1016/j.watres.2009.08.016" TargetMode="External" /><Relationship Type="http://schemas.openxmlformats.org/officeDocument/2006/relationships/hyperlink" Id="rId89" Target="https://doi.org/10.1016/j.watres.2014.09.037" TargetMode="External" /><Relationship Type="http://schemas.openxmlformats.org/officeDocument/2006/relationships/hyperlink" Id="rId113" Target="https://doi.org/10.1016/j.watres.2014.09.038" TargetMode="External" /><Relationship Type="http://schemas.openxmlformats.org/officeDocument/2006/relationships/hyperlink" Id="rId229" Target="https://doi.org/10.1016/j.watres.2015.06.038" TargetMode="External" /><Relationship Type="http://schemas.openxmlformats.org/officeDocument/2006/relationships/hyperlink" Id="rId199" Target="https://doi.org/10.1016/j.watres.2019.04.004" TargetMode="External" /><Relationship Type="http://schemas.openxmlformats.org/officeDocument/2006/relationships/hyperlink" Id="rId101" Target="https://doi.org/10.1016/j.watres.2019.06.066" TargetMode="External" /><Relationship Type="http://schemas.openxmlformats.org/officeDocument/2006/relationships/hyperlink" Id="rId219" Target="https://doi.org/10.1016/j.watres.2019.114864" TargetMode="External" /><Relationship Type="http://schemas.openxmlformats.org/officeDocument/2006/relationships/hyperlink" Id="rId99" Target="https://doi.org/10.1016/j.watres.2020.115574" TargetMode="External" /><Relationship Type="http://schemas.openxmlformats.org/officeDocument/2006/relationships/hyperlink" Id="rId87" Target="https://doi.org/10.1016/j.watres.2020.116478" TargetMode="External" /><Relationship Type="http://schemas.openxmlformats.org/officeDocument/2006/relationships/hyperlink" Id="rId146" Target="https://doi.org/10.1016/j.watres.2022.118670" TargetMode="External" /><Relationship Type="http://schemas.openxmlformats.org/officeDocument/2006/relationships/hyperlink" Id="rId117" Target="https://doi.org/10.1016/j.watres.2023.119667" TargetMode="External" /><Relationship Type="http://schemas.openxmlformats.org/officeDocument/2006/relationships/hyperlink" Id="rId115" Target="https://doi.org/10.1016/j.watres.2023.120485" TargetMode="External" /><Relationship Type="http://schemas.openxmlformats.org/officeDocument/2006/relationships/hyperlink" Id="rId95" Target="https://doi.org/10.1016/s0273-1223(99)00531-4" TargetMode="External" /><Relationship Type="http://schemas.openxmlformats.org/officeDocument/2006/relationships/hyperlink" Id="rId93" Target="https://doi.org/10.1021/acsestwater.3c00477" TargetMode="External" /><Relationship Type="http://schemas.openxmlformats.org/officeDocument/2006/relationships/hyperlink" Id="rId138" Target="https://doi.org/10.1021/es102992p" TargetMode="External" /><Relationship Type="http://schemas.openxmlformats.org/officeDocument/2006/relationships/hyperlink" Id="rId164" Target="https://doi.org/10.1038/nature10999" TargetMode="External" /><Relationship Type="http://schemas.openxmlformats.org/officeDocument/2006/relationships/hyperlink" Id="rId205" Target="https://doi.org/10.1038/s41467-018-05388-x" TargetMode="External" /><Relationship Type="http://schemas.openxmlformats.org/officeDocument/2006/relationships/hyperlink" Id="rId144" Target="https://doi.org/10.1038/s41467-024-54175-4" TargetMode="External" /><Relationship Type="http://schemas.openxmlformats.org/officeDocument/2006/relationships/hyperlink" Id="rId215" Target="https://doi.org/10.1038/s41545-022-00181-2" TargetMode="External" /><Relationship Type="http://schemas.openxmlformats.org/officeDocument/2006/relationships/hyperlink" Id="rId158" Target="https://doi.org/10.1038/s41556-024-01415-w" TargetMode="External" /><Relationship Type="http://schemas.openxmlformats.org/officeDocument/2006/relationships/hyperlink" Id="rId166" Target="https://doi.org/10.1038/sj.onc.1207325" TargetMode="External" /><Relationship Type="http://schemas.openxmlformats.org/officeDocument/2006/relationships/hyperlink" Id="rId152" Target="https://doi.org/10.1046/j.1529-8817.1999.3561422.x" TargetMode="External" /><Relationship Type="http://schemas.openxmlformats.org/officeDocument/2006/relationships/hyperlink" Id="rId142" Target="https://doi.org/10.1073/pnas.0802312105" TargetMode="External" /><Relationship Type="http://schemas.openxmlformats.org/officeDocument/2006/relationships/hyperlink" Id="rId107" Target="https://doi.org/10.1073/pnas.1422108112" TargetMode="External" /><Relationship Type="http://schemas.openxmlformats.org/officeDocument/2006/relationships/hyperlink" Id="rId176" Target="https://doi.org/10.1080/10408699891274246" TargetMode="External" /><Relationship Type="http://schemas.openxmlformats.org/officeDocument/2006/relationships/hyperlink" Id="rId184" Target="https://doi.org/10.1081/ese-200048262" TargetMode="External" /><Relationship Type="http://schemas.openxmlformats.org/officeDocument/2006/relationships/hyperlink" Id="rId217" Target="https://doi.org/10.1111/are.15568" TargetMode="External" /><Relationship Type="http://schemas.openxmlformats.org/officeDocument/2006/relationships/hyperlink" Id="rId168" Target="https://doi.org/10.1111/gtc.12461" TargetMode="External" /><Relationship Type="http://schemas.openxmlformats.org/officeDocument/2006/relationships/hyperlink" Id="rId162" Target="https://doi.org/10.1111/j.1365-2184.1984.tb00604.x" TargetMode="External" /><Relationship Type="http://schemas.openxmlformats.org/officeDocument/2006/relationships/hyperlink" Id="rId203" Target="https://doi.org/10.1111/j.1529-8817.1993.tb00285.x" TargetMode="External" /><Relationship Type="http://schemas.openxmlformats.org/officeDocument/2006/relationships/hyperlink" Id="rId105" Target="https://doi.org/10.1139/f76-004" TargetMode="External" /><Relationship Type="http://schemas.openxmlformats.org/officeDocument/2006/relationships/hyperlink" Id="rId213" Target="https://doi.org/10.1186/s12302-018-0175-8" TargetMode="External" /><Relationship Type="http://schemas.openxmlformats.org/officeDocument/2006/relationships/hyperlink" Id="rId192" Target="https://doi.org/10.1201/9781003080978-1" TargetMode="External" /><Relationship Type="http://schemas.openxmlformats.org/officeDocument/2006/relationships/hyperlink" Id="rId195" Target="https://doi.org/10.1201/9781315120256" TargetMode="External" /><Relationship Type="http://schemas.openxmlformats.org/officeDocument/2006/relationships/hyperlink" Id="rId140" Target="https://doi.org/10.1371/journal.pone.0018665" TargetMode="External" /><Relationship Type="http://schemas.openxmlformats.org/officeDocument/2006/relationships/hyperlink" Id="rId172" Target="https://doi.org/10.1371/journal.pone.0178691" TargetMode="External" /><Relationship Type="http://schemas.openxmlformats.org/officeDocument/2006/relationships/hyperlink" Id="rId91" Target="https://doi.org/10.2166/wst.2004.0524" TargetMode="External" /><Relationship Type="http://schemas.openxmlformats.org/officeDocument/2006/relationships/hyperlink" Id="rId132" Target="https://doi.org/10.4014/jmb.1702.02069" TargetMode="External" /><Relationship Type="http://schemas.openxmlformats.org/officeDocument/2006/relationships/hyperlink" Id="rId223" Target="https://doi.org/J.scitotenv.2018.08.307" TargetMode="External" /><Relationship Type="http://schemas.openxmlformats.org/officeDocument/2006/relationships/hyperlink" Id="rId190" Target="https://www.r-project.org/" TargetMode="External" /><Relationship Type="http://schemas.openxmlformats.org/officeDocument/2006/relationships/hyperlink" Id="rId20" Target="mailto:mingsu@rcees.ac.cn" TargetMode="External" /><Relationship Type="http://schemas.openxmlformats.org/officeDocument/2006/relationships/hyperlink" Id="rId21"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MIB Release Dynamics and Implications for Lake Taihu</dc:title>
  <dc:creator>Yufan Ai†,1,4, Yongnian Wu†,2, Ming Su†,1,4,✉, Yuying Gui1,3, Yifan Du1, Jiao Fang1, Tengxin Cao1,4, and Min Yang1,4,✉</dc:creator>
  <dc:language>en</dc:language>
  <cp:keywords/>
  <dcterms:created xsi:type="dcterms:W3CDTF">2025-06-05T13:38:58Z</dcterms:created>
  <dcterms:modified xsi:type="dcterms:W3CDTF">2025-06-05T13:38:58Z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_extensions/inst/tex/american-chemical-society.csl</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ghtbox">
    <vt:lpwstr>auto</vt:lpwstr>
  </property>
  <property fmtid="{D5CDD505-2E9C-101B-9397-08002B2CF9AE}" pid="17" name="msname">
    <vt:lpwstr>MS</vt:lpwstr>
  </property>
  <property fmtid="{D5CDD505-2E9C-101B-9397-08002B2CF9AE}" pid="18" name="smname">
    <vt:lpwstr>SM</vt:lpwstr>
  </property>
  <property fmtid="{D5CDD505-2E9C-101B-9397-08002B2CF9AE}" pid="19" name="submitid">
    <vt:lpwstr/>
  </property>
  <property fmtid="{D5CDD505-2E9C-101B-9397-08002B2CF9AE}" pid="20" name="submitjournal">
    <vt:lpwstr>Environmental Science &amp; Technology</vt:lpwstr>
  </property>
  <property fmtid="{D5CDD505-2E9C-101B-9397-08002B2CF9AE}" pid="21" name="toc-title">
    <vt:lpwstr>Table of contents</vt:lpwstr>
  </property>
</Properties>
</file>