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(A: 5 mol m</w:t>
      </w:r>
      <w:r>
        <w:rPr>
          <w:vertAlign w:val="superscript"/>
        </w:rPr>
        <w:t xml:space="preserve">-2</w:t>
      </w:r>
      <w:r>
        <w:t xml:space="preserve"> </w:t>
      </w:r>
      <w:r>
        <w:t xml:space="preserve">s</w:t>
      </w:r>
      <w:r>
        <w:rPr>
          <w:vertAlign w:val="superscript"/>
        </w:rPr>
        <w:t xml:space="preserve">-1</w:t>
      </w:r>
      <w:r>
        <w:t xml:space="preserve">; B: 17 mol m</w:t>
      </w:r>
      <w:r>
        <w:rPr>
          <w:vertAlign w:val="superscript"/>
        </w:rPr>
        <w:t xml:space="preserve">-2</w:t>
      </w:r>
      <w:r>
        <w:t xml:space="preserve"> </w:t>
      </w:r>
      <w:r>
        <w:t xml:space="preserve">s</w:t>
      </w:r>
      <w:r>
        <w:rPr>
          <w:vertAlign w:val="superscript"/>
        </w:rPr>
        <w:t xml:space="preserve">-1</w:t>
      </w:r>
      <w:r>
        <w:t xml:space="preserve">; C: 36 mol m</w:t>
      </w:r>
      <w:r>
        <w:rPr>
          <w:vertAlign w:val="superscript"/>
        </w:rPr>
        <w:t xml:space="preserve">-2</w:t>
      </w:r>
      <w:r>
        <w:t xml:space="preserve"> </w:t>
      </w:r>
      <w:r>
        <w:t xml:space="preserve">s</w:t>
      </w:r>
      <w:r>
        <w:rPr>
          <w:vertAlign w:val="superscript"/>
        </w:rPr>
        <w:t xml:space="preserve">-1</w:t>
      </w:r>
      <w:r>
        <w:t xml:space="preserve">; D: 85 mol m</w:t>
      </w:r>
      <w:r>
        <w:rPr>
          <w:vertAlign w:val="superscript"/>
        </w:rPr>
        <w:t xml:space="preserve">-2</w:t>
      </w:r>
      <w:r>
        <w:t xml:space="preserve"> </w:t>
      </w:r>
      <w:r>
        <w:t xml:space="preserve">s</w:t>
      </w:r>
      <w:r>
        <w:rPr>
          <w:vertAlign w:val="superscript"/>
        </w:rPr>
        <w:t xml:space="preserve">-1</w:t>
      </w:r>
      <w:r>
        <w:t xml:space="preserve">; E: 250 mol m</w:t>
      </w:r>
      <w:r>
        <w:rPr>
          <w:vertAlign w:val="superscript"/>
        </w:rPr>
        <w:t xml:space="preserve">-2</w:t>
      </w:r>
      <w:r>
        <w:t xml:space="preserve"> </w:t>
      </w:r>
      <w:r>
        <w:t xml:space="preserve">s</w:t>
      </w:r>
      <w:r>
        <w:rPr>
          <w:vertAlign w:val="superscript"/>
        </w:rPr>
        <w:t xml:space="preserve">-1</w:t>
      </w:r>
      <w:r>
        <w:t xml:space="preserve">) (Fig. S5);</w:t>
      </w:r>
      <w:r>
        <w:t xml:space="preserve"> </w:t>
      </w:r>
      <w:r>
        <w:t xml:space="preserve">Logistic fit of</w:t>
      </w:r>
      <w:r>
        <w:t xml:space="preserve"> </w:t>
      </w:r>
      <w:r>
        <w:rPr>
          <w:i/>
          <w:iCs/>
        </w:rPr>
        <w:t xml:space="preserve">Planktothricoides</w:t>
      </w:r>
      <w:r>
        <w:t xml:space="preserve"> </w:t>
      </w:r>
      <w:r>
        <w:t xml:space="preserve">growth under various light conditions (A: 13.5 mol m</w:t>
      </w:r>
      <w:r>
        <w:rPr>
          <w:vertAlign w:val="superscript"/>
        </w:rPr>
        <w:t xml:space="preserve">-2</w:t>
      </w:r>
      <w:r>
        <w:t xml:space="preserve"> </w:t>
      </w:r>
      <w:r>
        <w:t xml:space="preserve">s</w:t>
      </w:r>
      <w:r>
        <w:rPr>
          <w:vertAlign w:val="superscript"/>
        </w:rPr>
        <w:t xml:space="preserve">-1</w:t>
      </w:r>
      <w:r>
        <w:t xml:space="preserve">; B: 27 mol m</w:t>
      </w:r>
      <w:r>
        <w:rPr>
          <w:vertAlign w:val="superscript"/>
        </w:rPr>
        <w:t xml:space="preserve">-2</w:t>
      </w:r>
      <w:r>
        <w:t xml:space="preserve"> </w:t>
      </w:r>
      <w:r>
        <w:t xml:space="preserve">s</w:t>
      </w:r>
      <w:r>
        <w:rPr>
          <w:vertAlign w:val="superscript"/>
        </w:rPr>
        <w:t xml:space="preserve">-1</w:t>
      </w:r>
      <w:r>
        <w:t xml:space="preserve">; C: 54 mol m</w:t>
      </w:r>
      <w:r>
        <w:rPr>
          <w:vertAlign w:val="superscript"/>
        </w:rPr>
        <w:t xml:space="preserve">-2</w:t>
      </w:r>
      <w:r>
        <w:t xml:space="preserve"> </w:t>
      </w:r>
      <w:r>
        <w:t xml:space="preserve">s</w:t>
      </w:r>
      <w:r>
        <w:rPr>
          <w:vertAlign w:val="superscript"/>
        </w:rPr>
        <w:t xml:space="preserve">-1</w:t>
      </w:r>
      <w:r>
        <w:t xml:space="preserve">; D: 81 mol m</w:t>
      </w:r>
      <w:r>
        <w:rPr>
          <w:vertAlign w:val="superscript"/>
        </w:rPr>
        <w:t xml:space="preserve">-2</w:t>
      </w:r>
      <w:r>
        <w:t xml:space="preserve"> </w:t>
      </w:r>
      <w:r>
        <w:t xml:space="preserve">s</w:t>
      </w:r>
      <w:r>
        <w:rPr>
          <w:vertAlign w:val="superscript"/>
        </w:rPr>
        <w:t xml:space="preserve">-1</w:t>
      </w:r>
      <w:r>
        <w:t xml:space="preserve">)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(Data source: NASA POWER, https://power.larc.nasa.gov/)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w:t>
      </w:r>
      <w:r>
        <w:t xml:space="preserve"> </w:t>
      </w:r>
      <m:oMath>
        <m:sSub>
          <m:e>
            <m:r>
              <m:t>t</m:t>
            </m:r>
          </m:e>
          <m:sub>
            <m:r>
              <m:rPr>
                <m:nor/>
                <m:sty m:val="p"/>
              </m:rPr>
              <m:t>MIB</m:t>
            </m:r>
          </m:sub>
        </m:sSub>
      </m:oMath>
      <w:r>
        <w:t xml:space="preserve">: total MIB;</w:t>
      </w:r>
      <w:r>
        <w:t xml:space="preserve"> </w:t>
      </w:r>
      <m:oMath>
        <m:sSub>
          <m:e>
            <m:r>
              <m:t>e</m:t>
            </m:r>
          </m:e>
          <m:sub>
            <m:r>
              <m:rPr>
                <m:nor/>
                <m:sty m:val="p"/>
              </m:rPr>
              <m:t>MIB</m:t>
            </m:r>
          </m:sub>
        </m:sSub>
      </m:oMath>
      <w:r>
        <w:t xml:space="preserve">: extracellular MIB;</w:t>
      </w:r>
      <w:r>
        <w:t xml:space="preserve"> </w:t>
      </w:r>
      <m:oMath>
        <m:sSub>
          <m:e>
            <m:r>
              <m:t>i</m:t>
            </m:r>
          </m:e>
          <m:sub>
            <m:r>
              <m:rPr>
                <m:nor/>
                <m:sty m:val="p"/>
              </m:rPr>
              <m:t>MIB</m:t>
            </m:r>
          </m:sub>
        </m:sSub>
      </m:oMath>
      <w:r>
        <w:t xml:space="preserve">: intracellular MIB;</w:t>
      </w:r>
      <w:r>
        <w:t xml:space="preserve"> </w:t>
      </w:r>
      <m:oMath>
        <m:r>
          <m:t>f</m:t>
        </m:r>
      </m:oMath>
      <w:r>
        <w:t xml:space="preserve">: ratio of</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w:t>
      </w:r>
      <m:oMath>
        <m:r>
          <m:t>f</m:t>
        </m:r>
        <m:r>
          <m:rPr>
            <m:sty m:val="p"/>
          </m:rPr>
          <m:t>=</m:t>
        </m:r>
        <m:sSub>
          <m:e>
            <m:r>
              <m:t>e</m:t>
            </m:r>
          </m:e>
          <m:sub>
            <m:r>
              <m:rPr>
                <m:nor/>
                <m:sty m:val="p"/>
              </m:rPr>
              <m:t>MIB</m:t>
            </m:r>
          </m:sub>
        </m:sSub>
        <m:r>
          <m:rPr>
            <m:sty m:val="p"/>
          </m:rPr>
          <m:t>/</m:t>
        </m:r>
        <m:sSub>
          <m:e>
            <m:r>
              <m:t>t</m:t>
            </m:r>
          </m:e>
          <m:sub>
            <m:r>
              <m:rPr>
                <m:nor/>
                <m:sty m:val="p"/>
              </m:rPr>
              <m:t>MIB</m:t>
            </m:r>
          </m:sub>
        </m:sSub>
      </m:oMath>
      <w:r>
        <w:t xml:space="preserve">)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p>
      <w:r>
        <w:br w:type="page"/>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2025-06-05T13:44:18Z</dcterms:created>
  <dcterms:modified xsi:type="dcterms:W3CDTF">2025-06-05T13:44:18Z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