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1.png" ContentType="image/png"/>
  <Override PartName="/word/media/rId45.png" ContentType="image/png"/>
  <Override PartName="/word/media/rId50.png" ContentType="image/png"/>
  <Override PartName="/word/media/rId54.png" ContentType="image/png"/>
  <Override PartName="/word/media/rId65.png" ContentType="image/png"/>
  <Override PartName="/word/media/rId59.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2"/>
    <w:bookmarkStart w:id="23" w:name="keywords"/>
    <w:p>
      <w:pPr>
        <w:pStyle w:val="Heading1"/>
      </w:pPr>
      <w:r>
        <w:t xml:space="preserve">Keywords</w:t>
      </w:r>
    </w:p>
    <w:p>
      <w:pPr>
        <w:pStyle w:val="FirstParagraph"/>
      </w:pPr>
      <w:r>
        <w:t xml:space="preserve">Taste and odor; 2-methylisoborneol (MIB); Growth-phase dependent release; Cell lysis-mediated release; Drinking water early warning</w:t>
      </w:r>
    </w:p>
    <w:p>
      <w:r>
        <w:br w:type="page"/>
      </w:r>
    </w:p>
    <w:p>
      <w:r>
        <w:br w:type="page"/>
      </w:r>
    </w:p>
    <w:bookmarkEnd w:id="23"/>
    <w:bookmarkStart w:id="24"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t xml:space="preserve"> </w:t>
      </w:r>
      <w:r>
        <w:t xml:space="preserve">(Devi et al., 2021; Suurnäkki et al., 2015; WHO, 2011)</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This compound is produced by various microorganisms, including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t xml:space="preserve"> </w:t>
      </w:r>
      <w:r>
        <w:t xml:space="preserve">(Cao et al., 2023; Izaguirre et al., 2007; Lu et al., 2023; Su et al., 2021, 2015; Van Der Ploeg et al., 1995; Zhang et al., 2009)</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t xml:space="preserve"> </w:t>
      </w:r>
      <w:r>
        <w:t xml:space="preserve">(Bentley and Meganathan, 1981; Wu and Jüttner, 1988)</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t xml:space="preserve"> </w:t>
      </w:r>
      <w:r>
        <w:t xml:space="preserve">(Rashash et al., 1995; Zhang et al., 2016)</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t xml:space="preserve"> </w:t>
      </w:r>
      <w:r>
        <w:t xml:space="preserve">(Alghanmi et al., 2018; Oh et al., 2017; Wang et al., 2024; Zhang et al., 2016)</w:t>
      </w:r>
      <w:r>
        <w:t xml:space="preserve">. The biosynthetic pathway of MIB in cyanobacteria involves the methylation of geranyl diphosphate (GPP) followed by cyclization of methyl-GPP, catalyzed by 2-methylisoborneol synthase (2-MIBS) within the Sg Enc protein shell</w:t>
      </w:r>
      <w:r>
        <w:t xml:space="preserve"> </w:t>
      </w:r>
      <w:r>
        <w:t xml:space="preserve">(Andreas and Giessen, 2024; Giglio et al., 2011; Komatsu et al., 2008; Wang et al., 2011)</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t xml:space="preserve"> </w:t>
      </w:r>
      <w:r>
        <w:t xml:space="preserve">(Lu et al., 2022; Wang et al., 2024)</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t xml:space="preserve"> </w:t>
      </w:r>
      <w:r>
        <w:t xml:space="preserve">(Jia et al., 2019; Wang and Li, 2015; Zhang et al., 2016)</w:t>
      </w:r>
      <w:r>
        <w:t xml:space="preserve">. One hypothesis suggests that cyanobacteria may increase extracellular MIB release under stress to inhibit competing algal species, thereby maintaining ecological dominance</w:t>
      </w:r>
      <w:r>
        <w:t xml:space="preserve"> </w:t>
      </w:r>
      <w:r>
        <w:t xml:space="preserve">(Wang and Li, 2015)</w:t>
      </w:r>
      <w:r>
        <w:t xml:space="preserve">. Alternatively, extracellular MIB may simply result from cell damage or death under adverse conditions</w:t>
      </w:r>
      <w:r>
        <w:t xml:space="preserve"> </w:t>
      </w:r>
      <w:r>
        <w:t xml:space="preserve">(Zhang et al., 2016; Zimba et al., 1999)</w:t>
      </w:r>
      <w:r>
        <w:t xml:space="preserve">.</w:t>
      </w:r>
    </w:p>
    <w:p>
      <w:pPr>
        <w:pStyle w:val="BodyText"/>
      </w:pPr>
      <w:r>
        <w:t xml:space="preserve">In high-cell-density environments, crowding effects can restrict cell proliferation, migration, and metabolism, impacting growth and death dynamics</w:t>
      </w:r>
      <w:r>
        <w:t xml:space="preserve"> </w:t>
      </w:r>
      <w:r>
        <w:t xml:space="preserve">(Bermudez et al., 2024; Eisenhoffer and Rosenblatt, 2013; Lawson-Keister and Manning, 2021; Yang et al., 2024)</w:t>
      </w:r>
      <w:r>
        <w:t xml:space="preserve">. Crowding-induced growth limitation arises from resource competition, spatial constraints, and cell cycle arrest</w:t>
      </w:r>
      <w:r>
        <w:t xml:space="preserve"> </w:t>
      </w:r>
      <w:r>
        <w:t xml:space="preserve">(Drewinko et al., 1984; Eisenhoffer et al., 2012)</w:t>
      </w:r>
      <w:r>
        <w:t xml:space="preserve">, while cell death may result from programmed cell death, metabolic stress, mechanical damage, or cell-to-cell interactions</w:t>
      </w:r>
      <w:r>
        <w:t xml:space="preserve"> </w:t>
      </w:r>
      <w:r>
        <w:t xml:space="preserve">(Bar et al., 2004; Nishio et al., 2017; Sheridan and Simmons, 1981)</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t xml:space="preserve"> </w:t>
      </w:r>
      <w:r>
        <w:t xml:space="preserve">(Lv et al., 2015; Peleg and Cole, 1998; Tjørve and Tjørve, 2017)</w:t>
      </w:r>
      <w:r>
        <w:t xml:space="preserve">. This model is particularly useful for analyzing shifts in metabolic activity and the timing of metabolite release, making it well-suited for studying MIB dynamics</w:t>
      </w:r>
      <w:r>
        <w:t xml:space="preserve"> </w:t>
      </w:r>
      <w:r>
        <w:t xml:space="preserve">(Karim et al., 2023; Y. Wang et al., 2023)</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4"/>
    <w:bookmarkStart w:id="35" w:name="materials-and-methods"/>
    <w:p>
      <w:pPr>
        <w:pStyle w:val="Heading1"/>
      </w:pPr>
      <w:r>
        <w:t xml:space="preserve">Materials and Methods</w:t>
      </w:r>
    </w:p>
    <w:bookmarkStart w:id="25"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5"/>
    <w:bookmarkStart w:id="26"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t xml:space="preserve"> </w:t>
      </w:r>
      <w:r>
        <w:t xml:space="preserve">(Li et al., 2010)</w:t>
      </w:r>
      <w:r>
        <w:t xml:space="preserve">. Total MIB production potential was determined by measuring its concentration within 72 hours using solid-phase microextraction (SPME) coupled with gas chromatography-mass spectrometry (GC-MS; Agilent 6890/5975, USA), following established protocols</w:t>
      </w:r>
      <w:r>
        <w:t xml:space="preserve"> </w:t>
      </w:r>
      <w:r>
        <w:t xml:space="preserve">(Liang et al., 2005; Su et al., 2015)</w:t>
      </w:r>
      <w:r>
        <w:t xml:space="preserve">.</w:t>
      </w:r>
    </w:p>
    <w:p>
      <w:pPr>
        <w:pStyle w:val="BodyText"/>
      </w:pPr>
      <w:r>
        <w:t xml:space="preserve">For phytoplankton enumeration, subsamples (1000 mL) were fixed with 5% Lugol’s iodine solution</w:t>
      </w:r>
      <w:r>
        <w:t xml:space="preserve"> </w:t>
      </w:r>
      <w:r>
        <w:t xml:space="preserve">(Sherr and Sherr, 1993)</w:t>
      </w:r>
      <w:r>
        <w:t xml:space="preserve">, settled for 48 hours, and pre-concentrated 20-fold before analysis. Cyanobacterial species were identified based on morphological criteria</w:t>
      </w:r>
      <w:r>
        <w:t xml:space="preserve"> </w:t>
      </w:r>
      <w:r>
        <w:t xml:space="preserve">(Komárek and Anagnostidis, 1998)</w:t>
      </w:r>
      <w:r>
        <w:t xml:space="preserve">, with taxonomic revisions following ref</w:t>
      </w:r>
      <w:r>
        <w:t xml:space="preserve"> </w:t>
      </w:r>
      <w:r>
        <w:t xml:space="preserve">(Komarek et al., 2014)</w:t>
      </w:r>
      <w:r>
        <w:t xml:space="preserve">. Cell counts were performed using an upright microscope (Olympus BX53, Japan) following the Utermöhl method</w:t>
      </w:r>
      <w:r>
        <w:t xml:space="preserve"> </w:t>
      </w:r>
      <w:r>
        <w:t xml:space="preserve">(Utermöhl, 1958)</w:t>
      </w:r>
      <w:r>
        <w:t xml:space="preserve">.</w:t>
      </w:r>
    </w:p>
    <w:bookmarkEnd w:id="26"/>
    <w:bookmarkStart w:id="31"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7"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7"/>
    </w:p>
    <w:p>
      <w:pPr>
        <w:pStyle w:val="FirstParagraph"/>
      </w:pPr>
      <w:r>
        <w:br/>
      </w:r>
    </w:p>
    <w:p>
      <w:pPr>
        <w:pStyle w:val="BodyText"/>
      </w:pPr>
      <w:bookmarkStart w:id="28"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8"/>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t xml:space="preserve"> </w:t>
      </w:r>
      <w:r>
        <w:t xml:space="preserve">(Karim et al., 2023; Peleg and Cole, 1998)</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t xml:space="preserve"> </w:t>
      </w:r>
      <w:r>
        <w:t xml:space="preserve">(Lu et al., 2022)</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29"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9"/>
    </w:p>
    <w:p>
      <w:pPr>
        <w:pStyle w:val="FirstParagraph"/>
      </w:pPr>
      <w:r>
        <w:br/>
      </w:r>
    </w:p>
    <w:p>
      <w:pPr>
        <w:pStyle w:val="BodyText"/>
      </w:pPr>
      <w:bookmarkStart w:id="30"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0"/>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1"/>
    <w:bookmarkStart w:id="33"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2"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2"/>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3"/>
    <w:bookmarkStart w:id="34" w:name="statistical-analysis-and-visualization"/>
    <w:p>
      <w:pPr>
        <w:pStyle w:val="Heading2"/>
      </w:pPr>
      <w:r>
        <w:t xml:space="preserve">Statistical Analysis and Visualization</w:t>
      </w:r>
    </w:p>
    <w:p>
      <w:pPr>
        <w:pStyle w:val="FirstParagraph"/>
      </w:pPr>
      <w:r>
        <w:t xml:space="preserve">All analyses were conducted in R 4.4.2</w:t>
      </w:r>
      <w:r>
        <w:t xml:space="preserve"> </w:t>
      </w:r>
      <w:r>
        <w:t xml:space="preserve">(R Core Team, 2021)</w:t>
      </w:r>
      <w:r>
        <w:t xml:space="preserve">. Data preprocessing and summarization used</w:t>
      </w:r>
      <w:r>
        <w:t xml:space="preserve"> </w:t>
      </w:r>
      <w:r>
        <w:rPr>
          <w:rStyle w:val="VerbatimChar"/>
        </w:rPr>
        <w:t xml:space="preserve">dplyr</w:t>
      </w:r>
      <w:r>
        <w:t xml:space="preserve"> </w:t>
      </w:r>
      <w:r>
        <w:t xml:space="preserve">(Timbers et al., 2022)</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t xml:space="preserve"> </w:t>
      </w:r>
      <w:r>
        <w:t xml:space="preserve">(Wood, 2017)</w:t>
      </w:r>
      <w:r>
        <w:t xml:space="preserve">) and quantile regression (</w:t>
      </w:r>
      <w:r>
        <w:rPr>
          <w:rStyle w:val="VerbatimChar"/>
        </w:rPr>
        <w:t xml:space="preserve">quantreg</w:t>
      </w:r>
      <w:r>
        <w:t xml:space="preserve">;</w:t>
      </w:r>
      <w:r>
        <w:t xml:space="preserve"> </w:t>
      </w:r>
      <w:r>
        <w:t xml:space="preserve">(Koenker et al., 2017)</w:t>
      </w:r>
      <w:r>
        <w:t xml:space="preserve">) were applied where appropriate. Figures were generated using</w:t>
      </w:r>
      <w:r>
        <w:t xml:space="preserve"> </w:t>
      </w:r>
      <w:r>
        <w:rPr>
          <w:rStyle w:val="VerbatimChar"/>
        </w:rPr>
        <w:t xml:space="preserve">ggplot2</w:t>
      </w:r>
      <w:r>
        <w:t xml:space="preserve"> </w:t>
      </w:r>
      <w:r>
        <w:t xml:space="preserve">(Wickham, 2009)</w:t>
      </w:r>
      <w:r>
        <w:t xml:space="preserve">, with contour plots produced via the</w:t>
      </w:r>
      <w:r>
        <w:t xml:space="preserve"> </w:t>
      </w:r>
      <w:r>
        <w:rPr>
          <w:rStyle w:val="VerbatimChar"/>
        </w:rPr>
        <w:t xml:space="preserve">graphics</w:t>
      </w:r>
      <w:r>
        <w:t xml:space="preserve"> </w:t>
      </w:r>
      <w:r>
        <w:t xml:space="preserve">package.</w:t>
      </w:r>
    </w:p>
    <w:bookmarkEnd w:id="34"/>
    <w:bookmarkEnd w:id="35"/>
    <w:bookmarkStart w:id="64" w:name="results"/>
    <w:p>
      <w:pPr>
        <w:pStyle w:val="Heading1"/>
      </w:pPr>
      <w:r>
        <w:t xml:space="preserve">Results</w:t>
      </w:r>
    </w:p>
    <w:bookmarkStart w:id="40"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39" w:name="fig-taihumibalgae"/>
          <w:p>
            <w:pPr>
              <w:pStyle w:val="Compact"/>
              <w:jc w:val="center"/>
            </w:pPr>
            <w:r>
              <w:drawing>
                <wp:inline>
                  <wp:extent cx="5177790" cy="5188166"/>
                  <wp:effectExtent b="0" l="0" r="0" t="0"/>
                  <wp:docPr descr="" title="" id="37" name="Picture"/>
                  <a:graphic>
                    <a:graphicData uri="http://schemas.openxmlformats.org/drawingml/2006/picture">
                      <pic:pic>
                        <pic:nvPicPr>
                          <pic:cNvPr descr="../figures/taihumibalgae_revised.png" id="38" name="Picture"/>
                          <pic:cNvPicPr>
                            <a:picLocks noChangeArrowheads="1" noChangeAspect="1"/>
                          </pic:cNvPicPr>
                        </pic:nvPicPr>
                        <pic:blipFill>
                          <a:blip r:embed="rId36"/>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39"/>
        </w:tc>
      </w:tr>
    </w:tbl>
    <w:bookmarkEnd w:id="40"/>
    <w:bookmarkStart w:id="49"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4" w:name="fig-modelconcept"/>
          <w:p>
            <w:pPr>
              <w:pStyle w:val="Compact"/>
              <w:jc w:val="center"/>
            </w:pPr>
            <w:r>
              <w:drawing>
                <wp:inline>
                  <wp:extent cx="4602480" cy="4475475"/>
                  <wp:effectExtent b="0" l="0" r="0" t="0"/>
                  <wp:docPr descr="" title="" id="42" name="Picture"/>
                  <a:graphic>
                    <a:graphicData uri="http://schemas.openxmlformats.org/drawingml/2006/picture">
                      <pic:pic>
                        <pic:nvPicPr>
                          <pic:cNvPr descr="../figures/culturedata.png" id="43" name="Picture"/>
                          <pic:cNvPicPr>
                            <a:picLocks noChangeArrowheads="1" noChangeAspect="1"/>
                          </pic:cNvPicPr>
                        </pic:nvPicPr>
                        <pic:blipFill>
                          <a:blip r:embed="rId41"/>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t xml:space="preserve"> </w:t>
            </w:r>
            <w:r>
              <w:t xml:space="preserve">(Cao et al., 2023)</w:t>
            </w:r>
            <w:r>
              <w:t xml:space="preserve"> </w:t>
            </w:r>
            <w:r>
              <w:t xml:space="preserve">and</w:t>
            </w:r>
            <w:r>
              <w:t xml:space="preserve"> </w:t>
            </w:r>
            <w:r>
              <w:t xml:space="preserve">(Lu et al., 2022)</w:t>
            </w:r>
            <w:r>
              <w:t xml:space="preserve"> </w:t>
            </w:r>
            <w:r>
              <w:t xml:space="preserve">respectively.</w:t>
            </w:r>
          </w:p>
          <w:bookmarkEnd w:id="44"/>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8" w:name="fig-modelout"/>
          <w:p>
            <w:pPr>
              <w:pStyle w:val="Compact"/>
              <w:jc w:val="center"/>
            </w:pPr>
            <w:r>
              <w:drawing>
                <wp:inline>
                  <wp:extent cx="4027170" cy="4523779"/>
                  <wp:effectExtent b="0" l="0" r="0" t="0"/>
                  <wp:docPr descr="" title="" id="46" name="Picture"/>
                  <a:graphic>
                    <a:graphicData uri="http://schemas.openxmlformats.org/drawingml/2006/picture">
                      <pic:pic>
                        <pic:nvPicPr>
                          <pic:cNvPr descr="../figures/model.png" id="47" name="Picture"/>
                          <pic:cNvPicPr>
                            <a:picLocks noChangeArrowheads="1" noChangeAspect="1"/>
                          </pic:cNvPicPr>
                        </pic:nvPicPr>
                        <pic:blipFill>
                          <a:blip r:embed="rId45"/>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8"/>
        </w:tc>
      </w:tr>
    </w:tbl>
    <w:bookmarkEnd w:id="49"/>
    <w:bookmarkStart w:id="58"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3" w:name="fig-period"/>
          <w:p>
            <w:pPr>
              <w:pStyle w:val="Compact"/>
              <w:jc w:val="center"/>
            </w:pPr>
            <w:r>
              <w:drawing>
                <wp:inline>
                  <wp:extent cx="4602480" cy="4820503"/>
                  <wp:effectExtent b="0" l="0" r="0" t="0"/>
                  <wp:docPr descr="" title="" id="51" name="Picture"/>
                  <a:graphic>
                    <a:graphicData uri="http://schemas.openxmlformats.org/drawingml/2006/picture">
                      <pic:pic>
                        <pic:nvPicPr>
                          <pic:cNvPr descr="../figures/period_revised.png" id="52" name="Picture"/>
                          <pic:cNvPicPr>
                            <a:picLocks noChangeArrowheads="1" noChangeAspect="1"/>
                          </pic:cNvPicPr>
                        </pic:nvPicPr>
                        <pic:blipFill>
                          <a:blip r:embed="rId50"/>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3"/>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7" w:name="fig-periodandrisk"/>
          <w:p>
            <w:pPr>
              <w:pStyle w:val="Compact"/>
              <w:jc w:val="center"/>
            </w:pPr>
            <w:r>
              <w:drawing>
                <wp:inline>
                  <wp:extent cx="5753100" cy="5227075"/>
                  <wp:effectExtent b="0" l="0" r="0" t="0"/>
                  <wp:docPr descr="" title="" id="55" name="Picture"/>
                  <a:graphic>
                    <a:graphicData uri="http://schemas.openxmlformats.org/drawingml/2006/picture">
                      <pic:pic>
                        <pic:nvPicPr>
                          <pic:cNvPr descr="../figures/periodandrisk.png" id="56" name="Picture"/>
                          <pic:cNvPicPr>
                            <a:picLocks noChangeArrowheads="1" noChangeAspect="1"/>
                          </pic:cNvPicPr>
                        </pic:nvPicPr>
                        <pic:blipFill>
                          <a:blip r:embed="rId54"/>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7"/>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8"/>
    <w:bookmarkStart w:id="63"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2" w:name="fig-lighttemp"/>
          <w:p>
            <w:pPr>
              <w:pStyle w:val="Compact"/>
              <w:jc w:val="center"/>
            </w:pPr>
            <w:r>
              <w:drawing>
                <wp:inline>
                  <wp:extent cx="4602480" cy="3076117"/>
                  <wp:effectExtent b="0" l="0" r="0" t="0"/>
                  <wp:docPr descr="" title="" id="60" name="Picture"/>
                  <a:graphic>
                    <a:graphicData uri="http://schemas.openxmlformats.org/drawingml/2006/picture">
                      <pic:pic>
                        <pic:nvPicPr>
                          <pic:cNvPr descr="../figures/taihualgaerisk_revised.png" id="61" name="Picture"/>
                          <pic:cNvPicPr>
                            <a:picLocks noChangeArrowheads="1" noChangeAspect="1"/>
                          </pic:cNvPicPr>
                        </pic:nvPicPr>
                        <pic:blipFill>
                          <a:blip r:embed="rId59"/>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2"/>
        </w:tc>
      </w:tr>
    </w:tbl>
    <w:bookmarkEnd w:id="63"/>
    <w:bookmarkEnd w:id="64"/>
    <w:bookmarkStart w:id="72" w:name="discussion"/>
    <w:p>
      <w:pPr>
        <w:pStyle w:val="Heading1"/>
      </w:pPr>
      <w:r>
        <w:t xml:space="preserve">Discussion</w:t>
      </w:r>
    </w:p>
    <w:bookmarkStart w:id="69"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(Liu et al., 2019; Perkins et al., 2019)</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t xml:space="preserve"> </w:t>
      </w:r>
      <w:r>
        <w:t xml:space="preserve">(Bafford et al., 1993)</w:t>
      </w:r>
      <w:r>
        <w:t xml:space="preserve">. The major mechanism of MIB release is cell lysis, occurring either through programmed cell death or mechanical rupture of the cell wall</w:t>
      </w:r>
      <w:r>
        <w:t xml:space="preserve"> </w:t>
      </w:r>
      <w:r>
        <w:t xml:space="preserve">(Alghanmi et al., 2018; Wang et al., 2024; Zhang et al., 2016; Zimba et al., 1999)</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(Pavel et al., 2018)</w:t>
      </w:r>
      <w:r>
        <w:t xml:space="preserve">.</w:t>
      </w:r>
    </w:p>
    <w:tbl>
      <w:tblPr>
        <w:tblStyle w:val="Table"/>
        <w:tblW w:type="pct" w:w="5000"/>
        <w:tblLayout w:type="fixed"/>
        <w:tblLook w:firstRow="0" w:lastRow="0" w:firstColumn="0" w:lastColumn="0" w:noHBand="0" w:noVBand="0" w:val="0000"/>
      </w:tblPr>
      <w:tblGrid>
        <w:gridCol w:w="7920"/>
      </w:tblGrid>
      <w:tr>
        <w:tc>
          <w:tcPr/>
          <w:bookmarkStart w:id="68" w:name="fig-sketch"/>
          <w:p>
            <w:pPr>
              <w:pStyle w:val="Compact"/>
              <w:jc w:val="center"/>
            </w:pPr>
            <w:r>
              <w:drawing>
                <wp:inline>
                  <wp:extent cx="4602480" cy="2314640"/>
                  <wp:effectExtent b="0" l="0" r="0" t="0"/>
                  <wp:docPr descr="" title="" id="66" name="Picture"/>
                  <a:graphic>
                    <a:graphicData uri="http://schemas.openxmlformats.org/drawingml/2006/picture">
                      <pic:pic>
                        <pic:nvPicPr>
                          <pic:cNvPr descr="../figures/sketch.png" id="67" name="Picture"/>
                          <pic:cNvPicPr>
                            <a:picLocks noChangeArrowheads="1" noChangeAspect="1"/>
                          </pic:cNvPicPr>
                        </pic:nvPicPr>
                        <pic:blipFill>
                          <a:blip r:embed="rId65"/>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8"/>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t xml:space="preserve"> </w:t>
      </w:r>
      <w:r>
        <w:t xml:space="preserve">(Wang et al., 2024; Zhang et al., 2016)</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9"/>
    <w:bookmarkStart w:id="70"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t xml:space="preserve"> </w:t>
      </w:r>
      <w:r>
        <w:t xml:space="preserve">(Hongmin Li et al., 2022; Shi et al., 2023)</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t xml:space="preserve"> </w:t>
      </w:r>
      <w:r>
        <w:t xml:space="preserve">(Qi et al., 2020; Rong et al., 2018; Shi et al., 2023; Su et al., 2022)</w:t>
      </w:r>
      <w:r>
        <w:t xml:space="preserve">. When surface water temperatures exceed 20°C in April-May, MIB-producing cyanobacteria achieve substantial growth rates</w:t>
      </w:r>
      <w:r>
        <w:t xml:space="preserve"> </w:t>
      </w:r>
      <w:r>
        <w:t xml:space="preserve">(Nan et al., 2021; Wang et al., 2019; Yu et al., 2019)</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t xml:space="preserve"> </w:t>
      </w:r>
      <w:r>
        <w:t xml:space="preserve">(Su et al., 2022, 2019)</w:t>
      </w:r>
      <w:r>
        <w:t xml:space="preserve">. This ecological succession aligns with observed microcystin concentration trends</w:t>
      </w:r>
      <w:r>
        <w:t xml:space="preserve"> </w:t>
      </w:r>
      <w:r>
        <w:t xml:space="preserve">(Hongmin Li et al., 2022)</w:t>
      </w:r>
      <w:r>
        <w:t xml:space="preserve"> </w:t>
      </w:r>
      <w:r>
        <w:t xml:space="preserve">and documented phytoplankton community shifts</w:t>
      </w:r>
      <w:r>
        <w:t xml:space="preserve"> </w:t>
      </w:r>
      <w:r>
        <w:t xml:space="preserve">(Deng et al., 2019)</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t xml:space="preserve"> </w:t>
      </w:r>
      <w:r>
        <w:t xml:space="preserve">(Cao et al., 2023)</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t xml:space="preserve"> </w:t>
      </w:r>
      <w:r>
        <w:t xml:space="preserve">(Lu et al., 2022)</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0"/>
    <w:bookmarkStart w:id="71" w:name="X4992704833c33a2c24d6a40ea71922b2b093dc2"/>
    <w:p>
      <w:pPr>
        <w:pStyle w:val="Heading2"/>
      </w:pPr>
      <w:r>
        <w:t xml:space="preserve">Implications for Management and Future Directions in MIB Monitoring</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t xml:space="preserve"> </w:t>
      </w:r>
      <w:r>
        <w:t xml:space="preserve">(Drikas et al., 2009; Huixian Li et al., 2022; Li et al., 2019; Zamyadi et al., 2015)</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p>
      <w:r>
        <w:br w:type="page"/>
      </w:r>
    </w:p>
    <w:bookmarkEnd w:id="73"/>
    <w:bookmarkStart w:id="74"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4"/>
    <w:bookmarkStart w:id="75" w:name="declaration-of-competing-interest"/>
    <w:p>
      <w:pPr>
        <w:pStyle w:val="Heading1"/>
      </w:pPr>
      <w:r>
        <w:t xml:space="preserve">Declaration of competing interest</w:t>
      </w:r>
    </w:p>
    <w:p>
      <w:pPr>
        <w:pStyle w:val="FirstParagraph"/>
      </w:pPr>
      <w:r>
        <w:t xml:space="preserve">The authors declare no competing financial interest.</w:t>
      </w:r>
    </w:p>
    <w:bookmarkEnd w:id="75"/>
    <w:bookmarkStart w:id="76"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6"/>
    <w:bookmarkStart w:id="77"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7"/>
    <w:bookmarkStart w:id="78"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 https://git.drwater.net/codes/ai2024taihu.git</w:t>
      </w:r>
    </w:p>
    <w:p>
      <w:r>
        <w:br w:type="page"/>
      </w:r>
    </w:p>
    <w:bookmarkEnd w:id="78"/>
    <w:bookmarkStart w:id="227" w:name="references"/>
    <w:p>
      <w:pPr>
        <w:pStyle w:val="Heading1"/>
      </w:pPr>
      <w:r>
        <w:t xml:space="preserve">References</w:t>
      </w:r>
    </w:p>
    <w:bookmarkStart w:id="226" w:name="refs"/>
    <w:bookmarkStart w:id="80"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79">
        <w:r>
          <w:rPr>
            <w:rStyle w:val="Hyperlink"/>
          </w:rPr>
          <w:t xml:space="preserve">https://doi.org/10.1007/s10811-017-1233-0</w:t>
        </w:r>
      </w:hyperlink>
    </w:p>
    <w:bookmarkEnd w:id="80"/>
    <w:bookmarkStart w:id="82"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81">
        <w:r>
          <w:rPr>
            <w:rStyle w:val="Hyperlink"/>
          </w:rPr>
          <w:t xml:space="preserve">https://doi.org/10.1038/s41467-024-54175-4</w:t>
        </w:r>
      </w:hyperlink>
    </w:p>
    <w:bookmarkEnd w:id="82"/>
    <w:bookmarkStart w:id="83" w:name="ref-american2010algae"/>
    <w:p>
      <w:pPr>
        <w:pStyle w:val="Bibliography"/>
      </w:pPr>
      <w:r>
        <w:t xml:space="preserve">AWWA, A.W.W.A., 2010. Algae: Source to treatment. American Water Works Association.</w:t>
      </w:r>
    </w:p>
    <w:bookmarkEnd w:id="83"/>
    <w:bookmarkStart w:id="85"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84">
        <w:r>
          <w:rPr>
            <w:rStyle w:val="Hyperlink"/>
          </w:rPr>
          <w:t xml:space="preserve">https://doi.org/10.1111/j.1529-8817.1993.tb00285.x</w:t>
        </w:r>
      </w:hyperlink>
    </w:p>
    <w:bookmarkEnd w:id="85"/>
    <w:bookmarkStart w:id="87" w:name="ref-bar2004attenuation"/>
    <w:p>
      <w:pPr>
        <w:pStyle w:val="Bibliography"/>
      </w:pPr>
      <w:r>
        <w:t xml:space="preserve">Bar, J., Cohen-Noyman, E., Geiger, B., Oren, M., 2004. Attenuation of the p53 response to DNA damage by high cell density. Oncogene 23, 2128–2137.</w:t>
      </w:r>
      <w:r>
        <w:t xml:space="preserve"> </w:t>
      </w:r>
      <w:hyperlink r:id="rId86">
        <w:r>
          <w:rPr>
            <w:rStyle w:val="Hyperlink"/>
          </w:rPr>
          <w:t xml:space="preserve">https://doi.org/10.1038/sj.onc.1207325</w:t>
        </w:r>
      </w:hyperlink>
    </w:p>
    <w:bookmarkEnd w:id="87"/>
    <w:bookmarkStart w:id="88"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88"/>
    <w:bookmarkStart w:id="90" w:name="ref-bermudez2024cell"/>
    <w:p>
      <w:pPr>
        <w:pStyle w:val="Bibliography"/>
      </w:pPr>
      <w:r>
        <w:t xml:space="preserve">Bermudez, A.G., Latham, Z., Hu, J., Lin, N., 2024. Cell crowding-induced geometric constraint regulates chromatin organizations. Biophysical Journal 123, 407a.</w:t>
      </w:r>
      <w:r>
        <w:t xml:space="preserve"> </w:t>
      </w:r>
      <w:hyperlink r:id="rId89">
        <w:r>
          <w:rPr>
            <w:rStyle w:val="Hyperlink"/>
          </w:rPr>
          <w:t xml:space="preserve">https://doi.org/10.1016/j.bpj.2023.11.2493</w:t>
        </w:r>
      </w:hyperlink>
    </w:p>
    <w:bookmarkEnd w:id="90"/>
    <w:bookmarkStart w:id="92"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91">
        <w:r>
          <w:rPr>
            <w:rStyle w:val="Hyperlink"/>
          </w:rPr>
          <w:t xml:space="preserve">https://doi.org/10.1016/j.watres.2023.119667</w:t>
        </w:r>
      </w:hyperlink>
    </w:p>
    <w:bookmarkEnd w:id="92"/>
    <w:bookmarkStart w:id="94" w:name="ref-deng2019the"/>
    <w:p>
      <w:pPr>
        <w:pStyle w:val="Bibliography"/>
      </w:pPr>
      <w:r>
        <w:t xml:space="preserve">Deng, X., Qi, M., Ren, R., Liu, J., Sun, X., Xie, P., Chen, J., 2019. The relationships between odors and environmental factors at bloom and non-bloom area in lake taihu, china. Chemosphere 218, 569–576.</w:t>
      </w:r>
      <w:r>
        <w:t xml:space="preserve"> </w:t>
      </w:r>
      <w:hyperlink r:id="rId93">
        <w:r>
          <w:rPr>
            <w:rStyle w:val="Hyperlink"/>
          </w:rPr>
          <w:t xml:space="preserve">https://doi.org/10.1016/j.chemosphere.2018.11.121</w:t>
        </w:r>
      </w:hyperlink>
    </w:p>
    <w:bookmarkEnd w:id="94"/>
    <w:bookmarkStart w:id="96"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95">
        <w:r>
          <w:rPr>
            <w:rStyle w:val="Hyperlink"/>
          </w:rPr>
          <w:t xml:space="preserve">https://doi.org/10.1016/j.watres.2020.116478</w:t>
        </w:r>
      </w:hyperlink>
    </w:p>
    <w:bookmarkEnd w:id="96"/>
    <w:bookmarkStart w:id="98"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97">
        <w:r>
          <w:rPr>
            <w:rStyle w:val="Hyperlink"/>
          </w:rPr>
          <w:t xml:space="preserve">https://doi.org/10.1002/anie.200702496</w:t>
        </w:r>
      </w:hyperlink>
    </w:p>
    <w:bookmarkEnd w:id="98"/>
    <w:bookmarkStart w:id="100"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99">
        <w:r>
          <w:rPr>
            <w:rStyle w:val="Hyperlink"/>
          </w:rPr>
          <w:t xml:space="preserve">https://doi.org/10.1111/j.1365-2184.1984.tb00604.x</w:t>
        </w:r>
      </w:hyperlink>
    </w:p>
    <w:bookmarkEnd w:id="100"/>
    <w:bookmarkStart w:id="102" w:name="ref-drikas2009removal"/>
    <w:p>
      <w:pPr>
        <w:pStyle w:val="Bibliography"/>
      </w:pPr>
      <w:r>
        <w:t xml:space="preserve">Drikas, M., Dixon, M., Morran, J., 2009. Removal of MIB and geosmin using granular activated carbon with and without MIEX pre-treatment. Water Research 43, 5151–5159.</w:t>
      </w:r>
      <w:r>
        <w:t xml:space="preserve"> </w:t>
      </w:r>
      <w:hyperlink r:id="rId101">
        <w:r>
          <w:rPr>
            <w:rStyle w:val="Hyperlink"/>
          </w:rPr>
          <w:t xml:space="preserve">https://doi.org/10.1016/j.watres.2009.08.016</w:t>
        </w:r>
      </w:hyperlink>
    </w:p>
    <w:bookmarkEnd w:id="102"/>
    <w:bookmarkStart w:id="104"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103">
        <w:r>
          <w:rPr>
            <w:rStyle w:val="Hyperlink"/>
          </w:rPr>
          <w:t xml:space="preserve">https://doi.org/10.1038/nature10999</w:t>
        </w:r>
      </w:hyperlink>
    </w:p>
    <w:bookmarkEnd w:id="104"/>
    <w:bookmarkStart w:id="106"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105">
        <w:r>
          <w:rPr>
            <w:rStyle w:val="Hyperlink"/>
          </w:rPr>
          <w:t xml:space="preserve">https://doi.org/10.1016/j.tcb.2012.11.006</w:t>
        </w:r>
      </w:hyperlink>
    </w:p>
    <w:bookmarkEnd w:id="106"/>
    <w:bookmarkStart w:id="107" w:name="ref-gerber1969a"/>
    <w:p>
      <w:pPr>
        <w:pStyle w:val="Bibliography"/>
      </w:pPr>
      <w:r>
        <w:t xml:space="preserve">Gerber, N.N., 1969. A volatile metabolite of actinomycetes, 2-methylisoborneol. Antibiotics 22, 508–509.</w:t>
      </w:r>
    </w:p>
    <w:bookmarkEnd w:id="107"/>
    <w:bookmarkStart w:id="109"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08">
        <w:r>
          <w:rPr>
            <w:rStyle w:val="Hyperlink"/>
          </w:rPr>
          <w:t xml:space="preserve">https://doi.org/10.1021/es102992p</w:t>
        </w:r>
      </w:hyperlink>
    </w:p>
    <w:bookmarkEnd w:id="109"/>
    <w:bookmarkStart w:id="111"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110">
        <w:r>
          <w:rPr>
            <w:rStyle w:val="Hyperlink"/>
          </w:rPr>
          <w:t xml:space="preserve">https://doi.org/10.1016/S0273-1223(99)00538-7</w:t>
        </w:r>
      </w:hyperlink>
    </w:p>
    <w:bookmarkEnd w:id="111"/>
    <w:bookmarkStart w:id="113"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112">
        <w:r>
          <w:rPr>
            <w:rStyle w:val="Hyperlink"/>
          </w:rPr>
          <w:t xml:space="preserve">https://doi.org/10.1016/j.watres.2006.10.012</w:t>
        </w:r>
      </w:hyperlink>
    </w:p>
    <w:bookmarkEnd w:id="113"/>
    <w:bookmarkStart w:id="115" w:name="ref-izaguirre2004a"/>
    <w:p>
      <w:pPr>
        <w:pStyle w:val="Bibliography"/>
      </w:pPr>
      <w:r>
        <w:t xml:space="preserve">Izaguirre, G., Taylor, W.D., 2004. A guide to geosmin- and MIB-producing cyanobacteria in the united states. Water Science and Technology 49, 19–24.</w:t>
      </w:r>
      <w:r>
        <w:t xml:space="preserve"> </w:t>
      </w:r>
      <w:hyperlink r:id="rId114">
        <w:r>
          <w:rPr>
            <w:rStyle w:val="Hyperlink"/>
          </w:rPr>
          <w:t xml:space="preserve">https://doi.org/10.2166/wst.2004.0524</w:t>
        </w:r>
      </w:hyperlink>
    </w:p>
    <w:bookmarkEnd w:id="115"/>
    <w:bookmarkStart w:id="117"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16">
        <w:r>
          <w:rPr>
            <w:rStyle w:val="Hyperlink"/>
          </w:rPr>
          <w:t xml:space="preserve">https://doi.org/10.1016/j.hal.2019.101658</w:t>
        </w:r>
      </w:hyperlink>
    </w:p>
    <w:bookmarkEnd w:id="117"/>
    <w:bookmarkStart w:id="119"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18">
        <w:r>
          <w:rPr>
            <w:rStyle w:val="Hyperlink"/>
          </w:rPr>
          <w:t xml:space="preserve">https://doi.org/10.1016/j.ecolmodel.2023.110475</w:t>
        </w:r>
      </w:hyperlink>
    </w:p>
    <w:bookmarkEnd w:id="119"/>
    <w:bookmarkStart w:id="121" w:name="ref-koenker2017handbook"/>
    <w:p>
      <w:pPr>
        <w:pStyle w:val="Bibliography"/>
      </w:pPr>
      <w:r>
        <w:t xml:space="preserve">Koenker, R., Chernozhukov, V., He, X., Peng, L. (Eds.), 2017. Handbook of quantile regression, 1st ed. Chapman; Hall/CRC.</w:t>
      </w:r>
      <w:r>
        <w:t xml:space="preserve"> </w:t>
      </w:r>
      <w:hyperlink r:id="rId120">
        <w:r>
          <w:rPr>
            <w:rStyle w:val="Hyperlink"/>
          </w:rPr>
          <w:t xml:space="preserve">https://doi.org/10.1201/9781315120256</w:t>
        </w:r>
      </w:hyperlink>
    </w:p>
    <w:bookmarkEnd w:id="121"/>
    <w:bookmarkStart w:id="122" w:name="ref-komarek2014taxonomic"/>
    <w:p>
      <w:pPr>
        <w:pStyle w:val="Bibliography"/>
      </w:pPr>
      <w:r>
        <w:t xml:space="preserve">Komarek, J., Kastovsky, J., Mares, J., Johansen, J.R., 2014. Taxonomic classification of cyanoprokaryotes (cyanobacterial genera) 2014, using a polyphasic approach. Preslia 86, 295–335.</w:t>
      </w:r>
    </w:p>
    <w:bookmarkEnd w:id="122"/>
    <w:bookmarkStart w:id="123" w:name="ref-komarek1998cyanoprokaryota"/>
    <w:p>
      <w:pPr>
        <w:pStyle w:val="Bibliography"/>
      </w:pPr>
      <w:r>
        <w:t xml:space="preserve">Komárek, J., Anagnostidis, K., 1998. Cyanoprokaryota 1, Susswasserflora Von Mitteleuropa. Deu.</w:t>
      </w:r>
    </w:p>
    <w:bookmarkEnd w:id="123"/>
    <w:bookmarkStart w:id="125"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24">
        <w:r>
          <w:rPr>
            <w:rStyle w:val="Hyperlink"/>
          </w:rPr>
          <w:t xml:space="preserve">https://doi.org/10.1073/pnas.0802312105</w:t>
        </w:r>
      </w:hyperlink>
    </w:p>
    <w:bookmarkEnd w:id="125"/>
    <w:bookmarkStart w:id="127" w:name="ref-lawsonkeister2021jamming"/>
    <w:p>
      <w:pPr>
        <w:pStyle w:val="Bibliography"/>
      </w:pPr>
      <w:r>
        <w:t xml:space="preserve">Lawson-Keister, E., Manning, M.L., 2021. Jamming and arrest of cell motion in biological tissues. Current Opinion in Cell Biology 72, 146–155.</w:t>
      </w:r>
      <w:r>
        <w:t xml:space="preserve"> </w:t>
      </w:r>
      <w:hyperlink r:id="rId126">
        <w:r>
          <w:rPr>
            <w:rStyle w:val="Hyperlink"/>
          </w:rPr>
          <w:t xml:space="preserve">https://doi.org/10.1016/j.ceb.2021.07.011</w:t>
        </w:r>
      </w:hyperlink>
    </w:p>
    <w:bookmarkEnd w:id="127"/>
    <w:bookmarkStart w:id="129" w:name="ref-li2022cooccurrence"/>
    <w:p>
      <w:pPr>
        <w:pStyle w:val="Bibliography"/>
      </w:pPr>
      <w:r>
        <w:t xml:space="preserve">Li, Hongmin,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28">
        <w:r>
          <w:rPr>
            <w:rStyle w:val="Hyperlink"/>
          </w:rPr>
          <w:t xml:space="preserve">https://doi.org/10.1016/j.envpol.2021.118594</w:t>
        </w:r>
      </w:hyperlink>
    </w:p>
    <w:bookmarkEnd w:id="129"/>
    <w:bookmarkStart w:id="131" w:name="ref-li2022different"/>
    <w:p>
      <w:pPr>
        <w:pStyle w:val="Bibliography"/>
      </w:pPr>
      <w:r>
        <w:t xml:space="preserve">Li, Huixian, Li, L., Yin, Q., Yu, S., Gao, N., Wang, X., Chen, J., 2022. Different drinking water production schemes to treat authentic algae-laden source water: Removal of 2-methylisoborneol in different forms. Chemical Engineering Journal 440, 135962.</w:t>
      </w:r>
      <w:r>
        <w:t xml:space="preserve"> </w:t>
      </w:r>
      <w:hyperlink r:id="rId130">
        <w:r>
          <w:rPr>
            <w:rStyle w:val="Hyperlink"/>
          </w:rPr>
          <w:t xml:space="preserve">https://doi.org/10.1016/j.cej.2022.135962</w:t>
        </w:r>
      </w:hyperlink>
    </w:p>
    <w:bookmarkEnd w:id="131"/>
    <w:bookmarkStart w:id="133"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32">
        <w:r>
          <w:rPr>
            <w:rStyle w:val="Hyperlink"/>
          </w:rPr>
          <w:t xml:space="preserve">https://doi.org/10.1016/j.watres.2019.06.066</w:t>
        </w:r>
      </w:hyperlink>
    </w:p>
    <w:bookmarkEnd w:id="133"/>
    <w:bookmarkStart w:id="135"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34">
        <w:r>
          <w:rPr>
            <w:rStyle w:val="Hyperlink"/>
          </w:rPr>
          <w:t xml:space="preserve">https://doi.org/10.1016/j.hal.2010.03.003</w:t>
        </w:r>
      </w:hyperlink>
    </w:p>
    <w:bookmarkEnd w:id="135"/>
    <w:bookmarkStart w:id="137" w:name="ref-liang2005removal"/>
    <w:p>
      <w:pPr>
        <w:pStyle w:val="Bibliography"/>
      </w:pPr>
      <w:r>
        <w:t xml:space="preserve">Liang, C., Wang, D., Yang, M., Sun, W., Zhang, S., 2005. Removal of eathy-must odorants in drinking water by powdered activated carbon. Journal of Environmental Science and Health 40, 767–778.</w:t>
      </w:r>
      <w:r>
        <w:t xml:space="preserve"> </w:t>
      </w:r>
      <w:hyperlink r:id="rId136">
        <w:r>
          <w:rPr>
            <w:rStyle w:val="Hyperlink"/>
          </w:rPr>
          <w:t xml:space="preserve">https://doi.org/10.1081/ese-200048262</w:t>
        </w:r>
      </w:hyperlink>
    </w:p>
    <w:bookmarkEnd w:id="137"/>
    <w:bookmarkStart w:id="139"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38">
        <w:r>
          <w:rPr>
            <w:rStyle w:val="Hyperlink"/>
          </w:rPr>
          <w:t xml:space="preserve">https://doi.org/10.1016/j.watres.2019.04.004</w:t>
        </w:r>
      </w:hyperlink>
    </w:p>
    <w:bookmarkEnd w:id="139"/>
    <w:bookmarkStart w:id="141"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40">
        <w:r>
          <w:rPr>
            <w:rStyle w:val="Hyperlink"/>
          </w:rPr>
          <w:t xml:space="preserve">https://doi.org/10.1016/j.watres.2023.120485</w:t>
        </w:r>
      </w:hyperlink>
    </w:p>
    <w:bookmarkEnd w:id="141"/>
    <w:bookmarkStart w:id="143"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42">
        <w:r>
          <w:rPr>
            <w:rStyle w:val="Hyperlink"/>
          </w:rPr>
          <w:t xml:space="preserve">https://doi.org/10.1016/j.watres.2022.118670</w:t>
        </w:r>
      </w:hyperlink>
    </w:p>
    <w:bookmarkEnd w:id="143"/>
    <w:bookmarkStart w:id="145" w:name="ref-lv2015stability"/>
    <w:p>
      <w:pPr>
        <w:pStyle w:val="Bibliography"/>
      </w:pPr>
      <w:r>
        <w:t xml:space="preserve">Lv, J., Wang, K., Jiao, J., 2015. Stability of stochastic richards growth model. Applied Mathematical Modelling 39, 4821–4827.</w:t>
      </w:r>
      <w:r>
        <w:t xml:space="preserve"> </w:t>
      </w:r>
      <w:hyperlink r:id="rId144">
        <w:r>
          <w:rPr>
            <w:rStyle w:val="Hyperlink"/>
          </w:rPr>
          <w:t xml:space="preserve">https://doi.org/10.1016/j.apm.2015.04.016</w:t>
        </w:r>
      </w:hyperlink>
    </w:p>
    <w:bookmarkEnd w:id="145"/>
    <w:bookmarkStart w:id="147"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46">
        <w:r>
          <w:rPr>
            <w:rStyle w:val="Hyperlink"/>
          </w:rPr>
          <w:t xml:space="preserve">https://doi.org/10.1111/are.15568</w:t>
        </w:r>
      </w:hyperlink>
    </w:p>
    <w:bookmarkEnd w:id="147"/>
    <w:bookmarkStart w:id="149"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48">
        <w:r>
          <w:rPr>
            <w:rStyle w:val="Hyperlink"/>
          </w:rPr>
          <w:t xml:space="preserve">https://doi.org/10.1111/gtc.12461</w:t>
        </w:r>
      </w:hyperlink>
    </w:p>
    <w:bookmarkEnd w:id="149"/>
    <w:bookmarkStart w:id="151"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50">
        <w:r>
          <w:rPr>
            <w:rStyle w:val="Hyperlink"/>
          </w:rPr>
          <w:t xml:space="preserve">https://doi.org/10.4014/jmb.1702.02069</w:t>
        </w:r>
      </w:hyperlink>
    </w:p>
    <w:bookmarkEnd w:id="151"/>
    <w:bookmarkStart w:id="153"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52">
        <w:r>
          <w:rPr>
            <w:rStyle w:val="Hyperlink"/>
          </w:rPr>
          <w:t xml:space="preserve">https://doi.org/10.1038/s41467-018-05388-x</w:t>
        </w:r>
      </w:hyperlink>
    </w:p>
    <w:bookmarkEnd w:id="153"/>
    <w:bookmarkStart w:id="155" w:name="ref-peleg1998reinterpretation"/>
    <w:p>
      <w:pPr>
        <w:pStyle w:val="Bibliography"/>
      </w:pPr>
      <w:r>
        <w:t xml:space="preserve">Peleg, M., Cole, M.B., 1998. Reinterpretation of microbial survival curves. Critical Reviews in Food Science and Nutrition 38, 353–380.</w:t>
      </w:r>
      <w:r>
        <w:t xml:space="preserve"> </w:t>
      </w:r>
      <w:hyperlink r:id="rId154">
        <w:r>
          <w:rPr>
            <w:rStyle w:val="Hyperlink"/>
          </w:rPr>
          <w:t xml:space="preserve">https://doi.org/10.1080/10408699891274246</w:t>
        </w:r>
      </w:hyperlink>
    </w:p>
    <w:bookmarkEnd w:id="155"/>
    <w:bookmarkStart w:id="157"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56">
        <w:r>
          <w:rPr>
            <w:rStyle w:val="Hyperlink"/>
          </w:rPr>
          <w:t xml:space="preserve">https://doi.org/10.1016/j.jenvman.2019.04.123</w:t>
        </w:r>
      </w:hyperlink>
    </w:p>
    <w:bookmarkEnd w:id="157"/>
    <w:bookmarkStart w:id="159"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58">
        <w:r>
          <w:rPr>
            <w:rStyle w:val="Hyperlink"/>
          </w:rPr>
          <w:t xml:space="preserve">https://doi.org/10.1007/s11356-020-07896-0</w:t>
        </w:r>
      </w:hyperlink>
    </w:p>
    <w:bookmarkEnd w:id="159"/>
    <w:bookmarkStart w:id="161" w:name="ref-r2021r"/>
    <w:p>
      <w:pPr>
        <w:pStyle w:val="Bibliography"/>
      </w:pPr>
      <w:r>
        <w:t xml:space="preserve">R Core Team, 2021.</w:t>
      </w:r>
      <w:r>
        <w:t xml:space="preserve"> </w:t>
      </w:r>
      <w:hyperlink r:id="rId160">
        <w:r>
          <w:rPr>
            <w:rStyle w:val="Hyperlink"/>
          </w:rPr>
          <w:t xml:space="preserve">R</w:t>
        </w:r>
        <w:r>
          <w:rPr>
            <w:rStyle w:val="Hyperlink"/>
          </w:rPr>
          <w:t xml:space="preserve">: A language and environment for statistical computing</w:t>
        </w:r>
      </w:hyperlink>
      <w:r>
        <w:t xml:space="preserve">. R Foundation for Statistical Computing, Vienna, Austria.</w:t>
      </w:r>
    </w:p>
    <w:bookmarkEnd w:id="161"/>
    <w:bookmarkStart w:id="163"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62">
        <w:r>
          <w:rPr>
            <w:rStyle w:val="Hyperlink"/>
          </w:rPr>
          <w:t xml:space="preserve">https://doi.org/10.1016/0273-1223(95)00472-y</w:t>
        </w:r>
      </w:hyperlink>
    </w:p>
    <w:bookmarkEnd w:id="163"/>
    <w:bookmarkStart w:id="165"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64">
        <w:r>
          <w:rPr>
            <w:rStyle w:val="Hyperlink"/>
          </w:rPr>
          <w:t xml:space="preserve">https://doi.org/10.1186/s12302-018-0175-8</w:t>
        </w:r>
      </w:hyperlink>
    </w:p>
    <w:bookmarkEnd w:id="165"/>
    <w:bookmarkStart w:id="167"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66">
        <w:r>
          <w:rPr>
            <w:rStyle w:val="Hyperlink"/>
          </w:rPr>
          <w:t xml:space="preserve">https://doi.org/10.1002/jcp.1041070111</w:t>
        </w:r>
      </w:hyperlink>
    </w:p>
    <w:bookmarkEnd w:id="167"/>
    <w:bookmarkStart w:id="168" w:name="ref-sherr1993preservation"/>
    <w:p>
      <w:pPr>
        <w:pStyle w:val="Bibliography"/>
      </w:pPr>
      <w:r>
        <w:t xml:space="preserve">Sherr, E.B., Sherr, B.F., 1993. Preservation and storage of samples for enumeration of heterotrophic protists. Handbook of Methods in Aquatic Microbial Ecology. Lewis Publishers, Boca Raton 207–212.</w:t>
      </w:r>
    </w:p>
    <w:bookmarkEnd w:id="168"/>
    <w:bookmarkStart w:id="170"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69">
        <w:r>
          <w:rPr>
            <w:rStyle w:val="Hyperlink"/>
          </w:rPr>
          <w:t xml:space="preserve">https://doi.org/10.1007/s11356-023-27506-z</w:t>
        </w:r>
      </w:hyperlink>
    </w:p>
    <w:bookmarkEnd w:id="170"/>
    <w:bookmarkStart w:id="172"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71">
        <w:r>
          <w:rPr>
            <w:rStyle w:val="Hyperlink"/>
          </w:rPr>
          <w:t xml:space="preserve">https://doi.org/J.scitotenv.2018.08.307</w:t>
        </w:r>
      </w:hyperlink>
    </w:p>
    <w:bookmarkEnd w:id="172"/>
    <w:bookmarkStart w:id="174"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73">
        <w:r>
          <w:rPr>
            <w:rStyle w:val="Hyperlink"/>
          </w:rPr>
          <w:t xml:space="preserve">https://doi.org/10.1016/j.jes.2021.03.026</w:t>
        </w:r>
      </w:hyperlink>
    </w:p>
    <w:bookmarkEnd w:id="174"/>
    <w:bookmarkStart w:id="176"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75">
        <w:r>
          <w:rPr>
            <w:rStyle w:val="Hyperlink"/>
          </w:rPr>
          <w:t xml:space="preserve">https://doi.org/10.1016/j.watres.2014.09.038</w:t>
        </w:r>
      </w:hyperlink>
    </w:p>
    <w:bookmarkEnd w:id="176"/>
    <w:bookmarkStart w:id="178"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77">
        <w:r>
          <w:rPr>
            <w:rStyle w:val="Hyperlink"/>
          </w:rPr>
          <w:t xml:space="preserve">https://doi.org/10.1038/s41545-022-00181-2</w:t>
        </w:r>
      </w:hyperlink>
    </w:p>
    <w:bookmarkEnd w:id="178"/>
    <w:bookmarkStart w:id="180"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79">
        <w:r>
          <w:rPr>
            <w:rStyle w:val="Hyperlink"/>
          </w:rPr>
          <w:t xml:space="preserve">https://doi.org/10.1016/s0273-1223(99)00531-4</w:t>
        </w:r>
      </w:hyperlink>
    </w:p>
    <w:bookmarkEnd w:id="180"/>
    <w:bookmarkStart w:id="182"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81">
        <w:r>
          <w:rPr>
            <w:rStyle w:val="Hyperlink"/>
          </w:rPr>
          <w:t xml:space="preserve">https://doi.org/10.1016/j.watres.2014.09.037</w:t>
        </w:r>
      </w:hyperlink>
    </w:p>
    <w:bookmarkEnd w:id="182"/>
    <w:bookmarkStart w:id="184"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83">
        <w:r>
          <w:rPr>
            <w:rStyle w:val="Hyperlink"/>
          </w:rPr>
          <w:t xml:space="preserve">https://doi.org/10.1139/f76-004</w:t>
        </w:r>
      </w:hyperlink>
    </w:p>
    <w:bookmarkEnd w:id="184"/>
    <w:bookmarkStart w:id="186" w:name="ref-timbers2022r"/>
    <w:p>
      <w:pPr>
        <w:pStyle w:val="Bibliography"/>
      </w:pPr>
      <w:r>
        <w:t xml:space="preserve">Timbers, T., Campbell, T., Lee, M., 2022. R and the tidyverse, in: Data Science. Chapman; Hall/CRC, pp. 1–26.</w:t>
      </w:r>
      <w:r>
        <w:t xml:space="preserve"> </w:t>
      </w:r>
      <w:hyperlink r:id="rId185">
        <w:r>
          <w:rPr>
            <w:rStyle w:val="Hyperlink"/>
          </w:rPr>
          <w:t xml:space="preserve">https://doi.org/10.1201/9781003080978-1</w:t>
        </w:r>
      </w:hyperlink>
    </w:p>
    <w:bookmarkEnd w:id="186"/>
    <w:bookmarkStart w:id="188"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87">
        <w:r>
          <w:rPr>
            <w:rStyle w:val="Hyperlink"/>
          </w:rPr>
          <w:t xml:space="preserve">https://doi.org/10.1371/journal.pone.0178691</w:t>
        </w:r>
      </w:hyperlink>
    </w:p>
    <w:bookmarkEnd w:id="188"/>
    <w:bookmarkStart w:id="189" w:name="ref-utermohl1958vervollkommnung"/>
    <w:p>
      <w:pPr>
        <w:pStyle w:val="Bibliography"/>
      </w:pPr>
      <w:r>
        <w:t xml:space="preserve">Utermöhl, H., 1958. Zur vervollkommnung der quantitativen phytoplankton-methodik. Mitteilungen Internationale Vereinigung Für Theoretische Und Angewandte Limnologie 9, 1–38.</w:t>
      </w:r>
    </w:p>
    <w:bookmarkEnd w:id="189"/>
    <w:bookmarkStart w:id="191"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90">
        <w:r>
          <w:rPr>
            <w:rStyle w:val="Hyperlink"/>
          </w:rPr>
          <w:t xml:space="preserve">https://doi.org/10.1016/0273-1223(95)00473-Z</w:t>
        </w:r>
      </w:hyperlink>
    </w:p>
    <w:bookmarkEnd w:id="191"/>
    <w:bookmarkStart w:id="193"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92">
        <w:r>
          <w:rPr>
            <w:rStyle w:val="Hyperlink"/>
          </w:rPr>
          <w:t xml:space="preserve">https://doi.org/10.1021/acsestwater.3c00477</w:t>
        </w:r>
      </w:hyperlink>
    </w:p>
    <w:bookmarkEnd w:id="193"/>
    <w:bookmarkStart w:id="195"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94">
        <w:r>
          <w:rPr>
            <w:rStyle w:val="Hyperlink"/>
          </w:rPr>
          <w:t xml:space="preserve">https://doi.org/10.1016/j.ecoenv.2024.116198</w:t>
        </w:r>
      </w:hyperlink>
    </w:p>
    <w:bookmarkEnd w:id="195"/>
    <w:bookmarkStart w:id="197"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96">
        <w:r>
          <w:rPr>
            <w:rStyle w:val="Hyperlink"/>
          </w:rPr>
          <w:t xml:space="preserve">https://doi.org/10.1016/j.watres.2019.114864</w:t>
        </w:r>
      </w:hyperlink>
    </w:p>
    <w:bookmarkEnd w:id="197"/>
    <w:bookmarkStart w:id="199"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98">
        <w:r>
          <w:rPr>
            <w:rStyle w:val="Hyperlink"/>
          </w:rPr>
          <w:t xml:space="preserve">https://doi.org/10.1016/j.watres.2020.115574</w:t>
        </w:r>
      </w:hyperlink>
    </w:p>
    <w:bookmarkEnd w:id="199"/>
    <w:bookmarkStart w:id="201"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200">
        <w:r>
          <w:rPr>
            <w:rStyle w:val="Hyperlink"/>
          </w:rPr>
          <w:t xml:space="preserve">https://doi.org/10.1016/j.jtbi.2023.111645</w:t>
        </w:r>
      </w:hyperlink>
    </w:p>
    <w:bookmarkEnd w:id="201"/>
    <w:bookmarkStart w:id="203"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202">
        <w:r>
          <w:rPr>
            <w:rStyle w:val="Hyperlink"/>
          </w:rPr>
          <w:t xml:space="preserve">https://doi.org/10.1016/j.bse.2014.12.013</w:t>
        </w:r>
      </w:hyperlink>
    </w:p>
    <w:bookmarkEnd w:id="203"/>
    <w:bookmarkStart w:id="205"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204">
        <w:r>
          <w:rPr>
            <w:rStyle w:val="Hyperlink"/>
          </w:rPr>
          <w:t xml:space="preserve">https://doi.org/10.1371/journal.pone.0018665</w:t>
        </w:r>
      </w:hyperlink>
    </w:p>
    <w:bookmarkEnd w:id="205"/>
    <w:bookmarkStart w:id="206"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206"/>
    <w:bookmarkStart w:id="208" w:name="ref-wickham2009ggplot"/>
    <w:p>
      <w:pPr>
        <w:pStyle w:val="Bibliography"/>
      </w:pPr>
      <w:r>
        <w:t xml:space="preserve">Wickham, H., 2009. Introduction, in:</w:t>
      </w:r>
      <w:r>
        <w:t xml:space="preserve"> </w:t>
      </w:r>
      <w:r>
        <w:t xml:space="preserve">ggplot2</w:t>
      </w:r>
      <w:r>
        <w:t xml:space="preserve">. Springer New York, pp. 1–7.</w:t>
      </w:r>
      <w:r>
        <w:t xml:space="preserve"> </w:t>
      </w:r>
      <w:hyperlink r:id="rId207">
        <w:r>
          <w:rPr>
            <w:rStyle w:val="Hyperlink"/>
          </w:rPr>
          <w:t xml:space="preserve">https://doi.org/10.1007/978-0-387-98141-3_1</w:t>
        </w:r>
      </w:hyperlink>
    </w:p>
    <w:bookmarkEnd w:id="208"/>
    <w:bookmarkStart w:id="209" w:name="ref-wood2017generalized"/>
    <w:p>
      <w:pPr>
        <w:pStyle w:val="Bibliography"/>
      </w:pPr>
      <w:r>
        <w:t xml:space="preserve">Wood, S.N., 2017. Generalized</w:t>
      </w:r>
      <w:r>
        <w:t xml:space="preserve"> </w:t>
      </w:r>
      <w:r>
        <w:t xml:space="preserve">A</w:t>
      </w:r>
      <w:r>
        <w:t xml:space="preserve">dditive</w:t>
      </w:r>
      <w:r>
        <w:t xml:space="preserve"> </w:t>
      </w:r>
      <w:r>
        <w:t xml:space="preserve">M</w:t>
      </w:r>
      <w:r>
        <w:t xml:space="preserve">odels: An introduction with</w:t>
      </w:r>
      <w:r>
        <w:t xml:space="preserve"> </w:t>
      </w:r>
      <w:r>
        <w:t xml:space="preserve">R</w:t>
      </w:r>
      <w:r>
        <w:t xml:space="preserve">, 2nd ed. Chapman; Hall/CRC.</w:t>
      </w:r>
    </w:p>
    <w:bookmarkEnd w:id="209"/>
    <w:bookmarkStart w:id="211"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210">
        <w:r>
          <w:rPr>
            <w:rStyle w:val="Hyperlink"/>
          </w:rPr>
          <w:t xml:space="preserve">https://doi.org/10.1007/bf00408253</w:t>
        </w:r>
      </w:hyperlink>
    </w:p>
    <w:bookmarkEnd w:id="211"/>
    <w:bookmarkStart w:id="213"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212">
        <w:r>
          <w:rPr>
            <w:rStyle w:val="Hyperlink"/>
          </w:rPr>
          <w:t xml:space="preserve">https://doi.org/10.1073/pnas.1422108112</w:t>
        </w:r>
      </w:hyperlink>
    </w:p>
    <w:bookmarkEnd w:id="213"/>
    <w:bookmarkStart w:id="215"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214">
        <w:r>
          <w:rPr>
            <w:rStyle w:val="Hyperlink"/>
          </w:rPr>
          <w:t xml:space="preserve">https://doi.org/10.1038/s41556-024-01415-w</w:t>
        </w:r>
      </w:hyperlink>
    </w:p>
    <w:bookmarkEnd w:id="215"/>
    <w:bookmarkStart w:id="217"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216">
        <w:r>
          <w:rPr>
            <w:rStyle w:val="Hyperlink"/>
          </w:rPr>
          <w:t xml:space="preserve">https://doi.org/10.1007/s11356-019-06188-6</w:t>
        </w:r>
      </w:hyperlink>
    </w:p>
    <w:bookmarkEnd w:id="217"/>
    <w:bookmarkStart w:id="219"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18">
        <w:r>
          <w:rPr>
            <w:rStyle w:val="Hyperlink"/>
          </w:rPr>
          <w:t xml:space="preserve">https://doi.org/10.1016/j.watres.2015.06.038</w:t>
        </w:r>
      </w:hyperlink>
    </w:p>
    <w:bookmarkEnd w:id="219"/>
    <w:bookmarkStart w:id="221"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220">
        <w:r>
          <w:rPr>
            <w:rStyle w:val="Hyperlink"/>
          </w:rPr>
          <w:t xml:space="preserve">https://doi.org/10.1007/s10811-008-9363-z</w:t>
        </w:r>
      </w:hyperlink>
    </w:p>
    <w:bookmarkEnd w:id="221"/>
    <w:bookmarkStart w:id="223"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222">
        <w:r>
          <w:rPr>
            <w:rStyle w:val="Hyperlink"/>
          </w:rPr>
          <w:t xml:space="preserve">https://doi.org/10.1007/s10811-016-0864-x</w:t>
        </w:r>
      </w:hyperlink>
    </w:p>
    <w:bookmarkEnd w:id="223"/>
    <w:bookmarkStart w:id="225"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224">
        <w:r>
          <w:rPr>
            <w:rStyle w:val="Hyperlink"/>
          </w:rPr>
          <w:t xml:space="preserve">https://doi.org/10.1046/j.1529-8817.1999.3561422.x</w:t>
        </w:r>
      </w:hyperlink>
    </w:p>
    <w:bookmarkEnd w:id="225"/>
    <w:bookmarkEnd w:id="226"/>
    <w:bookmarkEnd w:id="227"/>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50" Target="media/rId50.png" /><Relationship Type="http://schemas.openxmlformats.org/officeDocument/2006/relationships/image" Id="rId54" Target="media/rId54.png" /><Relationship Type="http://schemas.openxmlformats.org/officeDocument/2006/relationships/image" Id="rId65" Target="media/rId65.png" /><Relationship Type="http://schemas.openxmlformats.org/officeDocument/2006/relationships/image" Id="rId59" Target="media/rId59.png" /><Relationship Type="http://schemas.openxmlformats.org/officeDocument/2006/relationships/image" Id="rId36" Target="media/rId36.png" /><Relationship Type="http://schemas.openxmlformats.org/officeDocument/2006/relationships/hyperlink" Id="rId97" Target="https://doi.org/10.1002/anie.200702496" TargetMode="External" /><Relationship Type="http://schemas.openxmlformats.org/officeDocument/2006/relationships/hyperlink" Id="rId166" Target="https://doi.org/10.1002/jcp.1041070111" TargetMode="External" /><Relationship Type="http://schemas.openxmlformats.org/officeDocument/2006/relationships/hyperlink" Id="rId207" Target="https://doi.org/10.1007/978-0-387-98141-3_1" TargetMode="External" /><Relationship Type="http://schemas.openxmlformats.org/officeDocument/2006/relationships/hyperlink" Id="rId210" Target="https://doi.org/10.1007/bf00408253" TargetMode="External" /><Relationship Type="http://schemas.openxmlformats.org/officeDocument/2006/relationships/hyperlink" Id="rId220" Target="https://doi.org/10.1007/s10811-008-9363-z" TargetMode="External" /><Relationship Type="http://schemas.openxmlformats.org/officeDocument/2006/relationships/hyperlink" Id="rId222" Target="https://doi.org/10.1007/s10811-016-0864-x" TargetMode="External" /><Relationship Type="http://schemas.openxmlformats.org/officeDocument/2006/relationships/hyperlink" Id="rId79"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158" Target="https://doi.org/10.1007/s11356-020-07896-0" TargetMode="External" /><Relationship Type="http://schemas.openxmlformats.org/officeDocument/2006/relationships/hyperlink" Id="rId169" Target="https://doi.org/10.1007/s11356-023-27506-z" TargetMode="External" /><Relationship Type="http://schemas.openxmlformats.org/officeDocument/2006/relationships/hyperlink" Id="rId162" Target="https://doi.org/10.1016/0273-1223(95)00472-y" TargetMode="External" /><Relationship Type="http://schemas.openxmlformats.org/officeDocument/2006/relationships/hyperlink" Id="rId190" Target="https://doi.org/10.1016/0273-1223(95)00473-Z" TargetMode="External" /><Relationship Type="http://schemas.openxmlformats.org/officeDocument/2006/relationships/hyperlink" Id="rId110" Target="https://doi.org/10.1016/S0273-1223(99)00538-7" TargetMode="External" /><Relationship Type="http://schemas.openxmlformats.org/officeDocument/2006/relationships/hyperlink" Id="rId144" Target="https://doi.org/10.1016/j.apm.2015.04.016" TargetMode="External" /><Relationship Type="http://schemas.openxmlformats.org/officeDocument/2006/relationships/hyperlink" Id="rId89" Target="https://doi.org/10.1016/j.bpj.2023.11.2493" TargetMode="External" /><Relationship Type="http://schemas.openxmlformats.org/officeDocument/2006/relationships/hyperlink" Id="rId202" Target="https://doi.org/10.1016/j.bse.2014.12.013" TargetMode="External" /><Relationship Type="http://schemas.openxmlformats.org/officeDocument/2006/relationships/hyperlink" Id="rId126" Target="https://doi.org/10.1016/j.ceb.2021.07.011" TargetMode="External" /><Relationship Type="http://schemas.openxmlformats.org/officeDocument/2006/relationships/hyperlink" Id="rId130" Target="https://doi.org/10.1016/j.cej.2022.135962" TargetMode="External" /><Relationship Type="http://schemas.openxmlformats.org/officeDocument/2006/relationships/hyperlink" Id="rId93" Target="https://doi.org/10.1016/j.chemosphere.2018.11.121" TargetMode="External" /><Relationship Type="http://schemas.openxmlformats.org/officeDocument/2006/relationships/hyperlink" Id="rId194" Target="https://doi.org/10.1016/j.ecoenv.2024.116198" TargetMode="External" /><Relationship Type="http://schemas.openxmlformats.org/officeDocument/2006/relationships/hyperlink" Id="rId118" Target="https://doi.org/10.1016/j.ecolmodel.2023.110475" TargetMode="External" /><Relationship Type="http://schemas.openxmlformats.org/officeDocument/2006/relationships/hyperlink" Id="rId128" Target="https://doi.org/10.1016/j.envpol.2021.118594" TargetMode="External" /><Relationship Type="http://schemas.openxmlformats.org/officeDocument/2006/relationships/hyperlink" Id="rId134" Target="https://doi.org/10.1016/j.hal.2010.03.003" TargetMode="External" /><Relationship Type="http://schemas.openxmlformats.org/officeDocument/2006/relationships/hyperlink" Id="rId116" Target="https://doi.org/10.1016/j.hal.2019.101658" TargetMode="External" /><Relationship Type="http://schemas.openxmlformats.org/officeDocument/2006/relationships/hyperlink" Id="rId156" Target="https://doi.org/10.1016/j.jenvman.2019.04.123" TargetMode="External" /><Relationship Type="http://schemas.openxmlformats.org/officeDocument/2006/relationships/hyperlink" Id="rId173" Target="https://doi.org/10.1016/j.jes.2021.03.026" TargetMode="External" /><Relationship Type="http://schemas.openxmlformats.org/officeDocument/2006/relationships/hyperlink" Id="rId200" Target="https://doi.org/10.1016/j.jtbi.2023.111645" TargetMode="External" /><Relationship Type="http://schemas.openxmlformats.org/officeDocument/2006/relationships/hyperlink" Id="rId105" Target="https://doi.org/10.1016/j.tcb.2012.11.006" TargetMode="External" /><Relationship Type="http://schemas.openxmlformats.org/officeDocument/2006/relationships/hyperlink" Id="rId112" Target="https://doi.org/10.1016/j.watres.2006.10.012" TargetMode="External" /><Relationship Type="http://schemas.openxmlformats.org/officeDocument/2006/relationships/hyperlink" Id="rId101" Target="https://doi.org/10.1016/j.watres.2009.08.016" TargetMode="External" /><Relationship Type="http://schemas.openxmlformats.org/officeDocument/2006/relationships/hyperlink" Id="rId181" Target="https://doi.org/10.1016/j.watres.2014.09.037" TargetMode="External" /><Relationship Type="http://schemas.openxmlformats.org/officeDocument/2006/relationships/hyperlink" Id="rId175" Target="https://doi.org/10.1016/j.watres.2014.09.038" TargetMode="External" /><Relationship Type="http://schemas.openxmlformats.org/officeDocument/2006/relationships/hyperlink" Id="rId218" Target="https://doi.org/10.1016/j.watres.2015.06.038" TargetMode="External" /><Relationship Type="http://schemas.openxmlformats.org/officeDocument/2006/relationships/hyperlink" Id="rId138" Target="https://doi.org/10.1016/j.watres.2019.04.004" TargetMode="External" /><Relationship Type="http://schemas.openxmlformats.org/officeDocument/2006/relationships/hyperlink" Id="rId132" Target="https://doi.org/10.1016/j.watres.2019.06.066" TargetMode="External" /><Relationship Type="http://schemas.openxmlformats.org/officeDocument/2006/relationships/hyperlink" Id="rId196" Target="https://doi.org/10.1016/j.watres.2019.114864" TargetMode="External" /><Relationship Type="http://schemas.openxmlformats.org/officeDocument/2006/relationships/hyperlink" Id="rId198" Target="https://doi.org/10.1016/j.watres.2020.115574" TargetMode="External" /><Relationship Type="http://schemas.openxmlformats.org/officeDocument/2006/relationships/hyperlink" Id="rId95" Target="https://doi.org/10.1016/j.watres.2020.116478" TargetMode="External" /><Relationship Type="http://schemas.openxmlformats.org/officeDocument/2006/relationships/hyperlink" Id="rId142" Target="https://doi.org/10.1016/j.watres.2022.118670" TargetMode="External" /><Relationship Type="http://schemas.openxmlformats.org/officeDocument/2006/relationships/hyperlink" Id="rId91" Target="https://doi.org/10.1016/j.watres.2023.119667" TargetMode="External" /><Relationship Type="http://schemas.openxmlformats.org/officeDocument/2006/relationships/hyperlink" Id="rId140" Target="https://doi.org/10.1016/j.watres.2023.120485" TargetMode="External" /><Relationship Type="http://schemas.openxmlformats.org/officeDocument/2006/relationships/hyperlink" Id="rId179" Target="https://doi.org/10.1016/s0273-1223(99)00531-4" TargetMode="External" /><Relationship Type="http://schemas.openxmlformats.org/officeDocument/2006/relationships/hyperlink" Id="rId192" Target="https://doi.org/10.1021/acsestwater.3c00477" TargetMode="External" /><Relationship Type="http://schemas.openxmlformats.org/officeDocument/2006/relationships/hyperlink" Id="rId108" Target="https://doi.org/10.1021/es102992p" TargetMode="External" /><Relationship Type="http://schemas.openxmlformats.org/officeDocument/2006/relationships/hyperlink" Id="rId103" Target="https://doi.org/10.1038/nature10999" TargetMode="External" /><Relationship Type="http://schemas.openxmlformats.org/officeDocument/2006/relationships/hyperlink" Id="rId152" Target="https://doi.org/10.1038/s41467-018-05388-x" TargetMode="External" /><Relationship Type="http://schemas.openxmlformats.org/officeDocument/2006/relationships/hyperlink" Id="rId81" Target="https://doi.org/10.1038/s41467-024-54175-4" TargetMode="External" /><Relationship Type="http://schemas.openxmlformats.org/officeDocument/2006/relationships/hyperlink" Id="rId177" Target="https://doi.org/10.1038/s41545-022-00181-2" TargetMode="External" /><Relationship Type="http://schemas.openxmlformats.org/officeDocument/2006/relationships/hyperlink" Id="rId214" Target="https://doi.org/10.1038/s41556-024-01415-w" TargetMode="External" /><Relationship Type="http://schemas.openxmlformats.org/officeDocument/2006/relationships/hyperlink" Id="rId86" Target="https://doi.org/10.1038/sj.onc.1207325" TargetMode="External" /><Relationship Type="http://schemas.openxmlformats.org/officeDocument/2006/relationships/hyperlink" Id="rId224" Target="https://doi.org/10.1046/j.1529-8817.1999.3561422.x" TargetMode="External" /><Relationship Type="http://schemas.openxmlformats.org/officeDocument/2006/relationships/hyperlink" Id="rId124" Target="https://doi.org/10.1073/pnas.0802312105" TargetMode="External" /><Relationship Type="http://schemas.openxmlformats.org/officeDocument/2006/relationships/hyperlink" Id="rId212" Target="https://doi.org/10.1073/pnas.1422108112" TargetMode="External" /><Relationship Type="http://schemas.openxmlformats.org/officeDocument/2006/relationships/hyperlink" Id="rId154" Target="https://doi.org/10.1080/10408699891274246" TargetMode="External" /><Relationship Type="http://schemas.openxmlformats.org/officeDocument/2006/relationships/hyperlink" Id="rId136" Target="https://doi.org/10.1081/ese-200048262" TargetMode="External" /><Relationship Type="http://schemas.openxmlformats.org/officeDocument/2006/relationships/hyperlink" Id="rId146" Target="https://doi.org/10.1111/are.15568" TargetMode="External" /><Relationship Type="http://schemas.openxmlformats.org/officeDocument/2006/relationships/hyperlink" Id="rId148" Target="https://doi.org/10.1111/gtc.12461" TargetMode="External" /><Relationship Type="http://schemas.openxmlformats.org/officeDocument/2006/relationships/hyperlink" Id="rId99" Target="https://doi.org/10.1111/j.1365-2184.1984.tb00604.x" TargetMode="External" /><Relationship Type="http://schemas.openxmlformats.org/officeDocument/2006/relationships/hyperlink" Id="rId84" Target="https://doi.org/10.1111/j.1529-8817.1993.tb00285.x" TargetMode="External" /><Relationship Type="http://schemas.openxmlformats.org/officeDocument/2006/relationships/hyperlink" Id="rId183" Target="https://doi.org/10.1139/f76-004" TargetMode="External" /><Relationship Type="http://schemas.openxmlformats.org/officeDocument/2006/relationships/hyperlink" Id="rId164" Target="https://doi.org/10.1186/s12302-018-0175-8" TargetMode="External" /><Relationship Type="http://schemas.openxmlformats.org/officeDocument/2006/relationships/hyperlink" Id="rId185" Target="https://doi.org/10.1201/9781003080978-1" TargetMode="External" /><Relationship Type="http://schemas.openxmlformats.org/officeDocument/2006/relationships/hyperlink" Id="rId120" Target="https://doi.org/10.1201/9781315120256" TargetMode="External" /><Relationship Type="http://schemas.openxmlformats.org/officeDocument/2006/relationships/hyperlink" Id="rId204"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14" Target="https://doi.org/10.2166/wst.2004.0524" TargetMode="External" /><Relationship Type="http://schemas.openxmlformats.org/officeDocument/2006/relationships/hyperlink" Id="rId150" Target="https://doi.org/10.4014/jmb.1702.02069" TargetMode="External" /><Relationship Type="http://schemas.openxmlformats.org/officeDocument/2006/relationships/hyperlink" Id="rId171" Target="https://doi.org/J.scitotenv.2018.08.307" TargetMode="External" /><Relationship Type="http://schemas.openxmlformats.org/officeDocument/2006/relationships/hyperlink" Id="rId160"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97" Target="https://doi.org/10.1002/anie.200702496" TargetMode="External" /><Relationship Type="http://schemas.openxmlformats.org/officeDocument/2006/relationships/hyperlink" Id="rId166" Target="https://doi.org/10.1002/jcp.1041070111" TargetMode="External" /><Relationship Type="http://schemas.openxmlformats.org/officeDocument/2006/relationships/hyperlink" Id="rId207" Target="https://doi.org/10.1007/978-0-387-98141-3_1" TargetMode="External" /><Relationship Type="http://schemas.openxmlformats.org/officeDocument/2006/relationships/hyperlink" Id="rId210" Target="https://doi.org/10.1007/bf00408253" TargetMode="External" /><Relationship Type="http://schemas.openxmlformats.org/officeDocument/2006/relationships/hyperlink" Id="rId220" Target="https://doi.org/10.1007/s10811-008-9363-z" TargetMode="External" /><Relationship Type="http://schemas.openxmlformats.org/officeDocument/2006/relationships/hyperlink" Id="rId222" Target="https://doi.org/10.1007/s10811-016-0864-x" TargetMode="External" /><Relationship Type="http://schemas.openxmlformats.org/officeDocument/2006/relationships/hyperlink" Id="rId79"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158" Target="https://doi.org/10.1007/s11356-020-07896-0" TargetMode="External" /><Relationship Type="http://schemas.openxmlformats.org/officeDocument/2006/relationships/hyperlink" Id="rId169" Target="https://doi.org/10.1007/s11356-023-27506-z" TargetMode="External" /><Relationship Type="http://schemas.openxmlformats.org/officeDocument/2006/relationships/hyperlink" Id="rId162" Target="https://doi.org/10.1016/0273-1223(95)00472-y" TargetMode="External" /><Relationship Type="http://schemas.openxmlformats.org/officeDocument/2006/relationships/hyperlink" Id="rId190" Target="https://doi.org/10.1016/0273-1223(95)00473-Z" TargetMode="External" /><Relationship Type="http://schemas.openxmlformats.org/officeDocument/2006/relationships/hyperlink" Id="rId110" Target="https://doi.org/10.1016/S0273-1223(99)00538-7" TargetMode="External" /><Relationship Type="http://schemas.openxmlformats.org/officeDocument/2006/relationships/hyperlink" Id="rId144" Target="https://doi.org/10.1016/j.apm.2015.04.016" TargetMode="External" /><Relationship Type="http://schemas.openxmlformats.org/officeDocument/2006/relationships/hyperlink" Id="rId89" Target="https://doi.org/10.1016/j.bpj.2023.11.2493" TargetMode="External" /><Relationship Type="http://schemas.openxmlformats.org/officeDocument/2006/relationships/hyperlink" Id="rId202" Target="https://doi.org/10.1016/j.bse.2014.12.013" TargetMode="External" /><Relationship Type="http://schemas.openxmlformats.org/officeDocument/2006/relationships/hyperlink" Id="rId126" Target="https://doi.org/10.1016/j.ceb.2021.07.011" TargetMode="External" /><Relationship Type="http://schemas.openxmlformats.org/officeDocument/2006/relationships/hyperlink" Id="rId130" Target="https://doi.org/10.1016/j.cej.2022.135962" TargetMode="External" /><Relationship Type="http://schemas.openxmlformats.org/officeDocument/2006/relationships/hyperlink" Id="rId93" Target="https://doi.org/10.1016/j.chemosphere.2018.11.121" TargetMode="External" /><Relationship Type="http://schemas.openxmlformats.org/officeDocument/2006/relationships/hyperlink" Id="rId194" Target="https://doi.org/10.1016/j.ecoenv.2024.116198" TargetMode="External" /><Relationship Type="http://schemas.openxmlformats.org/officeDocument/2006/relationships/hyperlink" Id="rId118" Target="https://doi.org/10.1016/j.ecolmodel.2023.110475" TargetMode="External" /><Relationship Type="http://schemas.openxmlformats.org/officeDocument/2006/relationships/hyperlink" Id="rId128" Target="https://doi.org/10.1016/j.envpol.2021.118594" TargetMode="External" /><Relationship Type="http://schemas.openxmlformats.org/officeDocument/2006/relationships/hyperlink" Id="rId134" Target="https://doi.org/10.1016/j.hal.2010.03.003" TargetMode="External" /><Relationship Type="http://schemas.openxmlformats.org/officeDocument/2006/relationships/hyperlink" Id="rId116" Target="https://doi.org/10.1016/j.hal.2019.101658" TargetMode="External" /><Relationship Type="http://schemas.openxmlformats.org/officeDocument/2006/relationships/hyperlink" Id="rId156" Target="https://doi.org/10.1016/j.jenvman.2019.04.123" TargetMode="External" /><Relationship Type="http://schemas.openxmlformats.org/officeDocument/2006/relationships/hyperlink" Id="rId173" Target="https://doi.org/10.1016/j.jes.2021.03.026" TargetMode="External" /><Relationship Type="http://schemas.openxmlformats.org/officeDocument/2006/relationships/hyperlink" Id="rId200" Target="https://doi.org/10.1016/j.jtbi.2023.111645" TargetMode="External" /><Relationship Type="http://schemas.openxmlformats.org/officeDocument/2006/relationships/hyperlink" Id="rId105" Target="https://doi.org/10.1016/j.tcb.2012.11.006" TargetMode="External" /><Relationship Type="http://schemas.openxmlformats.org/officeDocument/2006/relationships/hyperlink" Id="rId112" Target="https://doi.org/10.1016/j.watres.2006.10.012" TargetMode="External" /><Relationship Type="http://schemas.openxmlformats.org/officeDocument/2006/relationships/hyperlink" Id="rId101" Target="https://doi.org/10.1016/j.watres.2009.08.016" TargetMode="External" /><Relationship Type="http://schemas.openxmlformats.org/officeDocument/2006/relationships/hyperlink" Id="rId181" Target="https://doi.org/10.1016/j.watres.2014.09.037" TargetMode="External" /><Relationship Type="http://schemas.openxmlformats.org/officeDocument/2006/relationships/hyperlink" Id="rId175" Target="https://doi.org/10.1016/j.watres.2014.09.038" TargetMode="External" /><Relationship Type="http://schemas.openxmlformats.org/officeDocument/2006/relationships/hyperlink" Id="rId218" Target="https://doi.org/10.1016/j.watres.2015.06.038" TargetMode="External" /><Relationship Type="http://schemas.openxmlformats.org/officeDocument/2006/relationships/hyperlink" Id="rId138" Target="https://doi.org/10.1016/j.watres.2019.04.004" TargetMode="External" /><Relationship Type="http://schemas.openxmlformats.org/officeDocument/2006/relationships/hyperlink" Id="rId132" Target="https://doi.org/10.1016/j.watres.2019.06.066" TargetMode="External" /><Relationship Type="http://schemas.openxmlformats.org/officeDocument/2006/relationships/hyperlink" Id="rId196" Target="https://doi.org/10.1016/j.watres.2019.114864" TargetMode="External" /><Relationship Type="http://schemas.openxmlformats.org/officeDocument/2006/relationships/hyperlink" Id="rId198" Target="https://doi.org/10.1016/j.watres.2020.115574" TargetMode="External" /><Relationship Type="http://schemas.openxmlformats.org/officeDocument/2006/relationships/hyperlink" Id="rId95" Target="https://doi.org/10.1016/j.watres.2020.116478" TargetMode="External" /><Relationship Type="http://schemas.openxmlformats.org/officeDocument/2006/relationships/hyperlink" Id="rId142" Target="https://doi.org/10.1016/j.watres.2022.118670" TargetMode="External" /><Relationship Type="http://schemas.openxmlformats.org/officeDocument/2006/relationships/hyperlink" Id="rId91" Target="https://doi.org/10.1016/j.watres.2023.119667" TargetMode="External" /><Relationship Type="http://schemas.openxmlformats.org/officeDocument/2006/relationships/hyperlink" Id="rId140" Target="https://doi.org/10.1016/j.watres.2023.120485" TargetMode="External" /><Relationship Type="http://schemas.openxmlformats.org/officeDocument/2006/relationships/hyperlink" Id="rId179" Target="https://doi.org/10.1016/s0273-1223(99)00531-4" TargetMode="External" /><Relationship Type="http://schemas.openxmlformats.org/officeDocument/2006/relationships/hyperlink" Id="rId192" Target="https://doi.org/10.1021/acsestwater.3c00477" TargetMode="External" /><Relationship Type="http://schemas.openxmlformats.org/officeDocument/2006/relationships/hyperlink" Id="rId108" Target="https://doi.org/10.1021/es102992p" TargetMode="External" /><Relationship Type="http://schemas.openxmlformats.org/officeDocument/2006/relationships/hyperlink" Id="rId103" Target="https://doi.org/10.1038/nature10999" TargetMode="External" /><Relationship Type="http://schemas.openxmlformats.org/officeDocument/2006/relationships/hyperlink" Id="rId152" Target="https://doi.org/10.1038/s41467-018-05388-x" TargetMode="External" /><Relationship Type="http://schemas.openxmlformats.org/officeDocument/2006/relationships/hyperlink" Id="rId81" Target="https://doi.org/10.1038/s41467-024-54175-4" TargetMode="External" /><Relationship Type="http://schemas.openxmlformats.org/officeDocument/2006/relationships/hyperlink" Id="rId177" Target="https://doi.org/10.1038/s41545-022-00181-2" TargetMode="External" /><Relationship Type="http://schemas.openxmlformats.org/officeDocument/2006/relationships/hyperlink" Id="rId214" Target="https://doi.org/10.1038/s41556-024-01415-w" TargetMode="External" /><Relationship Type="http://schemas.openxmlformats.org/officeDocument/2006/relationships/hyperlink" Id="rId86" Target="https://doi.org/10.1038/sj.onc.1207325" TargetMode="External" /><Relationship Type="http://schemas.openxmlformats.org/officeDocument/2006/relationships/hyperlink" Id="rId224" Target="https://doi.org/10.1046/j.1529-8817.1999.3561422.x" TargetMode="External" /><Relationship Type="http://schemas.openxmlformats.org/officeDocument/2006/relationships/hyperlink" Id="rId124" Target="https://doi.org/10.1073/pnas.0802312105" TargetMode="External" /><Relationship Type="http://schemas.openxmlformats.org/officeDocument/2006/relationships/hyperlink" Id="rId212" Target="https://doi.org/10.1073/pnas.1422108112" TargetMode="External" /><Relationship Type="http://schemas.openxmlformats.org/officeDocument/2006/relationships/hyperlink" Id="rId154" Target="https://doi.org/10.1080/10408699891274246" TargetMode="External" /><Relationship Type="http://schemas.openxmlformats.org/officeDocument/2006/relationships/hyperlink" Id="rId136" Target="https://doi.org/10.1081/ese-200048262" TargetMode="External" /><Relationship Type="http://schemas.openxmlformats.org/officeDocument/2006/relationships/hyperlink" Id="rId146" Target="https://doi.org/10.1111/are.15568" TargetMode="External" /><Relationship Type="http://schemas.openxmlformats.org/officeDocument/2006/relationships/hyperlink" Id="rId148" Target="https://doi.org/10.1111/gtc.12461" TargetMode="External" /><Relationship Type="http://schemas.openxmlformats.org/officeDocument/2006/relationships/hyperlink" Id="rId99" Target="https://doi.org/10.1111/j.1365-2184.1984.tb00604.x" TargetMode="External" /><Relationship Type="http://schemas.openxmlformats.org/officeDocument/2006/relationships/hyperlink" Id="rId84" Target="https://doi.org/10.1111/j.1529-8817.1993.tb00285.x" TargetMode="External" /><Relationship Type="http://schemas.openxmlformats.org/officeDocument/2006/relationships/hyperlink" Id="rId183" Target="https://doi.org/10.1139/f76-004" TargetMode="External" /><Relationship Type="http://schemas.openxmlformats.org/officeDocument/2006/relationships/hyperlink" Id="rId164" Target="https://doi.org/10.1186/s12302-018-0175-8" TargetMode="External" /><Relationship Type="http://schemas.openxmlformats.org/officeDocument/2006/relationships/hyperlink" Id="rId185" Target="https://doi.org/10.1201/9781003080978-1" TargetMode="External" /><Relationship Type="http://schemas.openxmlformats.org/officeDocument/2006/relationships/hyperlink" Id="rId120" Target="https://doi.org/10.1201/9781315120256" TargetMode="External" /><Relationship Type="http://schemas.openxmlformats.org/officeDocument/2006/relationships/hyperlink" Id="rId204"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14" Target="https://doi.org/10.2166/wst.2004.0524" TargetMode="External" /><Relationship Type="http://schemas.openxmlformats.org/officeDocument/2006/relationships/hyperlink" Id="rId150" Target="https://doi.org/10.4014/jmb.1702.02069" TargetMode="External" /><Relationship Type="http://schemas.openxmlformats.org/officeDocument/2006/relationships/hyperlink" Id="rId171" Target="https://doi.org/J.scitotenv.2018.08.307" TargetMode="External" /><Relationship Type="http://schemas.openxmlformats.org/officeDocument/2006/relationships/hyperlink" Id="rId160"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Ai†,1,4, Yongnian Wu†,2, Ming Su†,1,4,✉, Yuying Gui1,3, Yifan Du1, Jiao Fang1, Tengxin Cao1,4, and Min Yang1,4,✉</dc:creator>
  <dc:language>en</dc:language>
  <cp:keywords/>
  <dcterms:created xsi:type="dcterms:W3CDTF">2025-06-13T02:53:49Z</dcterms:created>
  <dcterms:modified xsi:type="dcterms:W3CDTF">2025-06-13T02:53:49Z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https://www.zotero.org/styles/elsevier-harvard</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Water Research</vt:lpwstr>
  </property>
  <property fmtid="{D5CDD505-2E9C-101B-9397-08002B2CF9AE}" pid="21" name="toc-title">
    <vt:lpwstr>Table of contents</vt:lpwstr>
  </property>
</Properties>
</file>