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0.png" ContentType="image/png"/>
  <Override PartName="/word/media/rId44.png" ContentType="image/png"/>
  <Override PartName="/word/media/rId49.png" ContentType="image/png"/>
  <Override PartName="/word/media/rId53.png" ContentType="image/png"/>
  <Override PartName="/word/media/rId64.png" ContentType="image/png"/>
  <Override PartName="/word/media/rId58.png" ContentType="image/png"/>
  <Override PartName="/word/media/rId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2-methylisoborneol (MIB) release dynamics and implications</w:t>
      </w:r>
    </w:p>
    <w:p>
      <w:pPr>
        <w:pStyle w:val="FirstParagraph"/>
      </w:pPr>
      <w:r>
        <w:t xml:space="preserve">Yufan Ai</w:t>
      </w:r>
      <w:r>
        <w:rPr>
          <w:vertAlign w:val="superscript"/>
        </w:rPr>
        <w:t xml:space="preserve">1,4,†</w:t>
      </w:r>
      <w:r>
        <w:t xml:space="preserve">, </w:t>
      </w:r>
      <w:r>
        <w:t xml:space="preserve">Yongnian Wu</w:t>
      </w:r>
      <w:r>
        <w:rPr>
          <w:vertAlign w:val="superscript"/>
        </w:rPr>
        <w:t xml:space="preserve">2,†</w:t>
      </w:r>
      <w:r>
        <w:t xml:space="preserve">, </w:t>
      </w:r>
      <w:r>
        <w:t xml:space="preserve">Ming Su</w:t>
      </w:r>
      <w:r>
        <w:rPr>
          <w:vertAlign w:val="superscript"/>
        </w:rPr>
        <w:t xml:space="preserve">1,4,†,*</w:t>
      </w:r>
      <w:r>
        <w:t xml:space="preserve">, </w:t>
      </w:r>
      <w:r>
        <w:t xml:space="preserve">Yuying Gui</w:t>
      </w:r>
      <w:r>
        <w:rPr>
          <w:vertAlign w:val="superscript"/>
        </w:rPr>
        <w:t xml:space="preserve">1,3</w:t>
      </w:r>
      <w:r>
        <w:t xml:space="preserve">, </w:t>
      </w:r>
      <w:r>
        <w:t xml:space="preserve">Yifan Du</w:t>
      </w:r>
      <w:r>
        <w:rPr>
          <w:vertAlign w:val="superscript"/>
        </w:rPr>
        <w:t xml:space="preserve">1</w:t>
      </w:r>
      <w:r>
        <w:t xml:space="preserve">, </w:t>
      </w:r>
      <w:r>
        <w:t xml:space="preserve">Jiao Fang</w:t>
      </w:r>
      <w:r>
        <w:rPr>
          <w:vertAlign w:val="superscript"/>
        </w:rPr>
        <w:t xml:space="preserve">1</w:t>
      </w:r>
      <w:r>
        <w:t xml:space="preserve">, </w:t>
      </w:r>
      <w:r>
        <w:t xml:space="preserve">Tengxin Cao</w:t>
      </w:r>
      <w:r>
        <w:rPr>
          <w:vertAlign w:val="superscript"/>
        </w:rPr>
        <w:t xml:space="preserve">1,4</w:t>
      </w:r>
      <w:r>
        <w:t xml:space="preserve">, </w:t>
      </w:r>
      <w:r>
        <w:t xml:space="preserve">Min Yang</w:t>
      </w:r>
      <w:r>
        <w:rPr>
          <w:vertAlign w:val="superscript"/>
        </w:rPr>
        <w:t xml:space="preserve">1,4</w:t>
      </w:r>
    </w:p>
    <w:p>
      <w:pPr>
        <w:pStyle w:val="BodyText"/>
      </w:pPr>
      <w:r>
        <w:t xml:space="preserve">1. Key Laboratory of Environmental Aquatic Chemistry, State Key Laboratory of Regional Environment and Sustainability, Research Center for Eco-Environmental Sciences, Chinese Academy of Sciences. No. 18 Shuangqing Road, Haidian, Beijing, 100085, China, P.O. Box 2871, Beijing, 100085, China.</w:t>
      </w:r>
    </w:p>
    <w:p>
      <w:pPr>
        <w:pStyle w:val="BodyText"/>
      </w:pPr>
      <w:r>
        <w:t xml:space="preserve">2. Bureau of Hydrology Information Center of Taihu Basin Authority, Shanghai 200434, China, Shanghai, 200434.</w:t>
      </w:r>
    </w:p>
    <w:p>
      <w:pPr>
        <w:pStyle w:val="BodyText"/>
      </w:pPr>
      <w:r>
        <w:t xml:space="preserve">3. College of Environmental Science and Engineering, Ocean University of China, Qingdao, 100049.</w:t>
      </w:r>
    </w:p>
    <w:p>
      <w:pPr>
        <w:pStyle w:val="BodyText"/>
      </w:pPr>
      <w:r>
        <w:t xml:space="preserve">4. University of Chinese Academy of Sciences. No. 19A Yuquan Road, Shijingshan, Beijing, 100049, China, No. 19A Yuquan Road, Shijingshan, Beijing, 100049, China, Beijing, 100049.</w:t>
      </w:r>
    </w:p>
    <w:p>
      <w:pPr>
        <w:pStyle w:val="BodyText"/>
      </w:pPr>
      <w:r>
        <w:t xml:space="preserve">† These authors contributed equally to this work.</w:t>
      </w:r>
    </w:p>
    <w:p>
      <w:pPr>
        <w:pStyle w:val="BodyText"/>
      </w:pPr>
      <w:r>
        <w:t xml:space="preserve">* Corresponding Author: Ming Su (</w:t>
      </w:r>
      <w:hyperlink r:id="rId20">
        <w:r>
          <w:rPr>
            <w:rStyle w:val="Hyperlink"/>
          </w:rPr>
          <w:t xml:space="preserve">mingsu@rcees.ac.cn</w:t>
        </w:r>
      </w:hyperlink>
      <w:r>
        <w:t xml:space="preserve">)</w:t>
      </w:r>
    </w:p>
    <w:p>
      <w:pPr>
        <w:pStyle w:val="BodyText"/>
      </w:pPr>
      <w:r>
        <w:rPr>
          <w:vertAlign w:val="superscript"/>
        </w:rPr>
        <w:t xml:space="preserve">†</w:t>
      </w:r>
      <w:r>
        <w:t xml:space="preserve"> </w:t>
      </w:r>
      <w:r>
        <w:t xml:space="preserve">These authors contributed equally to this work.</w:t>
      </w:r>
    </w:p>
    <w:p>
      <w:pPr>
        <w:pStyle w:val="BodyText"/>
      </w:pPr>
      <w:r>
        <w:rPr>
          <w:vertAlign w:val="superscript"/>
        </w:rPr>
        <w:t xml:space="preserve">1</w:t>
      </w:r>
      <w:r>
        <w:t xml:space="preserve"> </w:t>
      </w:r>
      <w:r>
        <w:t xml:space="preserve">Key Laboratory of Environmental Aquatic Chemistry, State Key Laboratory of Regional Environment and Sustainability, Research Center for Eco-Environmental Sciences, Chinese Academy of Sciences. No. 18 Shuangqing Road, Haidian, Beijing, 100085, China</w:t>
      </w:r>
      <w:r>
        <w:br/>
      </w:r>
      <w:r>
        <w:rPr>
          <w:vertAlign w:val="superscript"/>
        </w:rPr>
        <w:t xml:space="preserve">2</w:t>
      </w:r>
      <w:r>
        <w:t xml:space="preserve"> </w:t>
      </w:r>
      <w:r>
        <w:t xml:space="preserve">Bureau of Hydrology Information Center of Taihu Basin Authority, Shanghai 200434, China</w:t>
      </w:r>
      <w:r>
        <w:br/>
      </w:r>
      <w:r>
        <w:rPr>
          <w:vertAlign w:val="superscript"/>
        </w:rPr>
        <w:t xml:space="preserve">3</w:t>
      </w:r>
      <w:r>
        <w:t xml:space="preserve"> </w:t>
      </w:r>
      <w:r>
        <w:t xml:space="preserve">College of Environmental Science and Engineering, Ocean University of China</w:t>
      </w:r>
      <w:r>
        <w:br/>
      </w:r>
      <w:r>
        <w:rPr>
          <w:vertAlign w:val="superscript"/>
        </w:rPr>
        <w:t xml:space="preserve">4</w:t>
      </w:r>
      <w:r>
        <w:t xml:space="preserve"> </w:t>
      </w:r>
      <w:r>
        <w:t xml:space="preserve">University of Chinese Academy of Sciences. No. 19A Yuquan Road, Shijingshan, Beijing, 100049, China</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Ming Su &lt;mingsu@rcees.ac.cn&gt;</w:t>
        </w:r>
      </w:hyperlink>
    </w:p>
    <w:p>
      <w:r>
        <w:br w:type="page"/>
      </w:r>
    </w:p>
    <w:bookmarkStart w:id="21"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 Application to Lake Taihu successfully reconstructed two odor events (2022-2023),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 from algal cells.</w:t>
      </w:r>
    </w:p>
    <w:bookmarkEnd w:id="21"/>
    <w:bookmarkStart w:id="22" w:name="keywords"/>
    <w:p>
      <w:pPr>
        <w:pStyle w:val="Heading1"/>
      </w:pPr>
      <w:r>
        <w:t xml:space="preserve">Keywords</w:t>
      </w:r>
    </w:p>
    <w:p>
      <w:pPr>
        <w:pStyle w:val="FirstParagraph"/>
      </w:pPr>
      <w:r>
        <w:t xml:space="preserve">Taste and odor; 2-methylisoborneol (MIB); Growth-phase dependent release; Cell lysis-mediated release; Drinking water early warning</w:t>
      </w:r>
    </w:p>
    <w:p>
      <w:r>
        <w:br w:type="page"/>
      </w:r>
    </w:p>
    <w:p>
      <w:r>
        <w:br w:type="page"/>
      </w:r>
    </w:p>
    <w:bookmarkEnd w:id="22"/>
    <w:bookmarkStart w:id="23"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prevalent problems</w:t>
      </w:r>
      <w:r>
        <w:t xml:space="preserve"> </w:t>
      </w:r>
      <w:r>
        <w:t xml:space="preserve">[1–3]</w:t>
      </w:r>
      <w:r>
        <w:t xml:space="preserve">. MIB, an odorous terpenoid derivative, poses a persistent challenge in drinking water due to its extremely low odor threshold concentration (OTC) of 10 ng L</w:t>
      </w:r>
      <w:r>
        <w:rPr>
          <w:vertAlign w:val="superscript"/>
        </w:rPr>
        <w:t xml:space="preserve">-1</w:t>
      </w:r>
      <w:r>
        <w:t xml:space="preserve"> </w:t>
      </w:r>
      <w:r>
        <w:t xml:space="preserve">and its resistance to conventional water treatment processes</w:t>
      </w:r>
      <w:r>
        <w:t xml:space="preserve"> </w:t>
      </w:r>
      <w:r>
        <w:t xml:space="preserve">[4–10]</w:t>
      </w:r>
      <w:r>
        <w:t xml:space="preserve">. This compound is produced by various microorganisms, including actinomycetes</w:t>
      </w:r>
      <w:r>
        <w:t xml:space="preserve"> </w:t>
      </w:r>
      <w:r>
        <w:t xml:space="preserve">[11]</w:t>
      </w:r>
      <w:r>
        <w:t xml:space="preserve">, cyanobacteria</w:t>
      </w:r>
      <w:r>
        <w:t xml:space="preserve"> </w:t>
      </w:r>
      <w:r>
        <w:t xml:space="preserve">[12]</w:t>
      </w:r>
      <w:r>
        <w:t xml:space="preserve">, fungi</w:t>
      </w:r>
      <w:r>
        <w:t xml:space="preserve"> </w:t>
      </w:r>
      <w:r>
        <w:t xml:space="preserve">[13]</w:t>
      </w:r>
      <w:r>
        <w:t xml:space="preserve">, and myxobacteria</w:t>
      </w:r>
      <w:r>
        <w:t xml:space="preserve"> </w:t>
      </w:r>
      <w:r>
        <w:t xml:space="preserve">[14]</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t xml:space="preserve"> </w:t>
      </w:r>
      <w:r>
        <w:t xml:space="preserve">[15–21]</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t xml:space="preserve"> </w:t>
      </w:r>
      <w:r>
        <w:t xml:space="preserve">[22,23]</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t xml:space="preserve"> </w:t>
      </w:r>
      <w:r>
        <w:t xml:space="preserve">[24,25]</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 Existing studies on MIB distribution are limited and often assume a constant ratio, which fails to provide actionable insights for water treatment optimization.</w:t>
      </w:r>
    </w:p>
    <w:p>
      <w:pPr>
        <w:pStyle w:val="BodyText"/>
      </w:pPr>
      <w:r>
        <w:t xml:space="preserve">Our observations from culture experiments suggest that the intracellular and extracellular distribution of MIB is not constant and may be influenced by its biosynthesis and release mechanisms</w:t>
      </w:r>
      <w:r>
        <w:t xml:space="preserve"> </w:t>
      </w:r>
      <w:r>
        <w:t xml:space="preserve">[25–28]</w:t>
      </w:r>
      <w:r>
        <w:t xml:space="preserve">. The biosynthetic pathway of MIB in cyanobacteria involves the methylation of geranyl diphosphate (GPP) followed by cyclization of methyl-GPP, catalyzed by 2-methylisoborneol synthase (2-MIBS) within the Sg Enc protein shell</w:t>
      </w:r>
      <w:r>
        <w:t xml:space="preserve"> </w:t>
      </w:r>
      <w:r>
        <w:t xml:space="preserve">[29–32]</w:t>
      </w:r>
      <w:r>
        <w:t xml:space="preserve">. 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t xml:space="preserve"> </w:t>
      </w:r>
      <w:r>
        <w:t xml:space="preserve">[27,33]</w:t>
      </w:r>
      <w:r>
        <w:t xml:space="preserve">. While total MIB concentrations typically peak during the log growth phase and decline during the stationary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t xml:space="preserve"> </w:t>
      </w:r>
      <w:r>
        <w:t xml:space="preserve">[25,34,35]</w:t>
      </w:r>
      <w:r>
        <w:t xml:space="preserve">. One hypothesis suggests that cyanobacteria may increase extracellular MIB release under stress to inhibit competing algal species, thereby maintaining ecological dominance</w:t>
      </w:r>
      <w:r>
        <w:t xml:space="preserve"> </w:t>
      </w:r>
      <w:r>
        <w:t xml:space="preserve">[35]</w:t>
      </w:r>
      <w:r>
        <w:t xml:space="preserve">. Alternatively, extracellular MIB may simply result from cell damage or death under adverse conditions</w:t>
      </w:r>
      <w:r>
        <w:t xml:space="preserve"> </w:t>
      </w:r>
      <w:r>
        <w:t xml:space="preserve">[25,36]</w:t>
      </w:r>
      <w:r>
        <w:t xml:space="preserve">.</w:t>
      </w:r>
    </w:p>
    <w:p>
      <w:pPr>
        <w:pStyle w:val="BodyText"/>
      </w:pPr>
      <w:r>
        <w:t xml:space="preserve">In high-cell-density environments, crowding effects can restrict cell proliferation, migration, and metabolism, impacting growth and death dynamics</w:t>
      </w:r>
      <w:r>
        <w:t xml:space="preserve"> </w:t>
      </w:r>
      <w:r>
        <w:t xml:space="preserve">[37–40]</w:t>
      </w:r>
      <w:r>
        <w:t xml:space="preserve">. Crowding-induced growth limitation arises from resource competition, spatial constraints, and cell cycle arrest</w:t>
      </w:r>
      <w:r>
        <w:t xml:space="preserve"> </w:t>
      </w:r>
      <w:r>
        <w:t xml:space="preserve">[41,42]</w:t>
      </w:r>
      <w:r>
        <w:t xml:space="preserve">, while cell death may result from programmed cell death, metabolic stress, mechanical damage, or cell-to-cell interactions</w:t>
      </w:r>
      <w:r>
        <w:t xml:space="preserve"> </w:t>
      </w:r>
      <w:r>
        <w:t xml:space="preserve">[43–45]</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t xml:space="preserve"> </w:t>
      </w:r>
      <w:r>
        <w:t xml:space="preserve">[46–48]</w:t>
      </w:r>
      <w:r>
        <w:t xml:space="preserve">. This model is particularly useful for analyzing shifts in metabolic activity and the timing of metabolite release, making it well-suited for studying MIB dynamics</w:t>
      </w:r>
      <w:r>
        <w:t xml:space="preserve"> </w:t>
      </w:r>
      <w:r>
        <w:t xml:space="preserve">[49,50]</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mechanical model describing the temporal variation of</w:t>
      </w:r>
      <w:r>
        <w:t xml:space="preserve"> </w:t>
      </w:r>
      <m:oMath>
        <m:r>
          <m:t>f</m:t>
        </m:r>
      </m:oMath>
      <w:r>
        <w:t xml:space="preserve"> </w:t>
      </w:r>
      <w:r>
        <w:t xml:space="preserve">using culture experiments with typical MIB-producing strains. The model was validated to explain MIB release patterns during cell growth and applied to assess growth-stage distributions of odor-producing cyanobacteria in Taihu Lake, predicting odor risk during MIB outbreaks. This study provides new insights into MIB release dynamics, enhances understanding of cyanobacterial odor production, and offers practical guidance for water treatment process selection and bloom management.</w:t>
      </w:r>
    </w:p>
    <w:bookmarkEnd w:id="23"/>
    <w:bookmarkStart w:id="34" w:name="materials-and-methods"/>
    <w:p>
      <w:pPr>
        <w:pStyle w:val="Heading1"/>
      </w:pPr>
      <w:r>
        <w:t xml:space="preserve">Materials and Methods</w:t>
      </w:r>
    </w:p>
    <w:bookmarkStart w:id="24" w:name="study-area-and-sampling"/>
    <w:p>
      <w:pPr>
        <w:pStyle w:val="Heading2"/>
      </w:pPr>
      <w:r>
        <w:t xml:space="preserve">Study Area and Sampling</w:t>
      </w:r>
    </w:p>
    <w:p>
      <w:pPr>
        <w:pStyle w:val="FirstParagraph"/>
      </w:pPr>
      <w:r>
        <w:t xml:space="preserve">Lake Taihu (30°55’40”–31°32’58” N, 119°52’32”–120°36’10” E), located in the southeastern Yangtze River Delta, is China’s third-largest shallow freshwater lake, with a surface area of 2,578 km</w:t>
      </w:r>
      <w:r>
        <w:rPr>
          <w:vertAlign w:val="superscript"/>
        </w:rPr>
        <w:t xml:space="preserve">2</w:t>
      </w:r>
      <w:r>
        <w:t xml:space="preserve">.</w:t>
      </w:r>
      <w:r>
        <w:t xml:space="preserve"> </w:t>
      </w:r>
      <w:r>
        <w:t xml:space="preserve">The Taihu Lake watershed sustains a densely populated region of over 68 million people (2023 Bulletin on Water Resources in the Taihu Basin and Southeastern Rivers). The lake serves as a critical drinking water source for approximately 17 million residents, including about 20% of Shanghai’s population. Since 2016, the newly constructed Jinze Reservoir has been supplying drinking water sourced from eastern Lake Taihu via the Taipu River (Shanghai Water Authority, 2016).</w:t>
      </w:r>
      <w:r>
        <w:t xml:space="preserve"> </w:t>
      </w:r>
      <w:r>
        <w:t xml:space="preserve">It is also extensively used for irrigation and aquaculture, making water quality a vital concern for local ecosystems and livelihoods.</w:t>
      </w:r>
    </w:p>
    <w:p>
      <w:pPr>
        <w:pStyle w:val="BodyText"/>
      </w:pPr>
      <w:r>
        <w:t xml:space="preserve">Lake Taihu is renowned for its recurrent</w:t>
      </w:r>
      <w:r>
        <w:t xml:space="preserve"> </w:t>
      </w:r>
      <w:r>
        <w:rPr>
          <w:i/>
          <w:iCs/>
        </w:rPr>
        <w:t xml:space="preserve">Microcystis</w:t>
      </w:r>
      <w:r>
        <w:t xml:space="preserve"> </w:t>
      </w:r>
      <w:r>
        <w:t xml:space="preserve">blooms, which have drawn significant scientific and policy attention. In response, China has implemented substantial efforts to reduce non-point source pollution, particularly nutrient loading, leading to measurable improvements in water quality in recent years. However, as nutrient concentrations have declined, shifts in algal community composition have occurred:</w:t>
      </w:r>
      <w:r>
        <w:t xml:space="preserve"> </w:t>
      </w:r>
      <w:r>
        <w:rPr>
          <w:i/>
          <w:iCs/>
        </w:rPr>
        <w:t xml:space="preserve">Microcystis</w:t>
      </w:r>
      <w:r>
        <w:t xml:space="preserve"> </w:t>
      </w:r>
      <w:r>
        <w:t xml:space="preserve">blooms have diminished, while filamentous cyanobacteria have proliferated, resulting in elevated 2-methylisoborneol (MIB) levels.</w:t>
      </w:r>
    </w:p>
    <w:p>
      <w:pPr>
        <w:pStyle w:val="BodyText"/>
      </w:pPr>
      <w:r>
        <w:t xml:space="preserve">From March 2022 to February 2023, monthly water samples were collected from 31 sampling sites distributed across the lake (Fig. S1). Given the lake’s average depth of ~2 m and well-mixed conditions, surface water samples (2 L) were collected from 0.5 m below the water surface using a Kemmerer water sampler.</w:t>
      </w:r>
    </w:p>
    <w:bookmarkEnd w:id="24"/>
    <w:bookmarkStart w:id="25" w:name="X02890b09bfb1233dc66478c007301df1abf7551"/>
    <w:p>
      <w:pPr>
        <w:pStyle w:val="Heading2"/>
      </w:pPr>
      <w:r>
        <w:t xml:space="preserve">Physicochemical Analysis and Phytoplankton Enumeration</w:t>
      </w:r>
    </w:p>
    <w:p>
      <w:pPr>
        <w:pStyle w:val="FirstParagraph"/>
      </w:pPr>
      <w:r>
        <w:rPr>
          <w:i/>
          <w:iCs/>
        </w:rPr>
        <w:t xml:space="preserve">In situ</w:t>
      </w:r>
      <w:r>
        <w:t xml:space="preserve"> </w:t>
      </w:r>
      <w:r>
        <w:t xml:space="preserve">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methods(Ministry of Environmental Protection of PRC 2007, 2009, 2012, 2013).</w:t>
      </w:r>
    </w:p>
    <w:p>
      <w:pPr>
        <w:pStyle w:val="BodyText"/>
      </w:pPr>
      <w:r>
        <w:t xml:space="preserve">For odorant analysis, subsamples (100 mL) were collected in amber glass bottles with airtight seals and preserved with 10 mg L</w:t>
      </w:r>
      <w:r>
        <w:rPr>
          <w:vertAlign w:val="superscript"/>
        </w:rPr>
        <w:t xml:space="preserve">-1</w:t>
      </w:r>
      <w:r>
        <w:t xml:space="preserve"> </w:t>
      </w:r>
      <m:oMath>
        <m:sSub>
          <m:e>
            <m:r>
              <m:rPr>
                <m:nor/>
                <m:sty m:val="p"/>
              </m:rPr>
              <m:t>HgCl</m:t>
            </m:r>
          </m:e>
          <m:sub>
            <m:r>
              <m:t>2</m:t>
            </m:r>
          </m:sub>
        </m:sSub>
      </m:oMath>
      <w:r>
        <w:t xml:space="preserve"> </w:t>
      </w:r>
      <w:r>
        <w:t xml:space="preserve">to inhibit biodegradation</w:t>
      </w:r>
      <w:r>
        <w:t xml:space="preserve"> </w:t>
      </w:r>
      <w:r>
        <w:t xml:space="preserve">[51]</w:t>
      </w:r>
      <w:r>
        <w:t xml:space="preserve">. Total MIB production potential was determined by measuring its concentration within 72 hours using solid-phase microextraction (SPME) coupled with gas chromatography-mass spectrometry (GC-MS; Agilent 6890/5975, USA), following established protocols</w:t>
      </w:r>
      <w:r>
        <w:t xml:space="preserve"> </w:t>
      </w:r>
      <w:r>
        <w:t xml:space="preserve">[16,52]</w:t>
      </w:r>
      <w:r>
        <w:t xml:space="preserve">.</w:t>
      </w:r>
    </w:p>
    <w:p>
      <w:pPr>
        <w:pStyle w:val="BodyText"/>
      </w:pPr>
      <w:r>
        <w:t xml:space="preserve">For phytoplankton enumeration, subsamples (1000 mL) were fixed with 5% Lugol’s iodine solution</w:t>
      </w:r>
      <w:r>
        <w:t xml:space="preserve"> </w:t>
      </w:r>
      <w:r>
        <w:t xml:space="preserve">[53]</w:t>
      </w:r>
      <w:r>
        <w:t xml:space="preserve">, settled for 48 hours, and pre-concentrated 20-fold before analysis. Cyanobacterial species were identified based on morphological criteria</w:t>
      </w:r>
      <w:r>
        <w:t xml:space="preserve"> </w:t>
      </w:r>
      <w:r>
        <w:t xml:space="preserve">[54]</w:t>
      </w:r>
      <w:r>
        <w:t xml:space="preserve">, with taxonomic revisions following ref</w:t>
      </w:r>
      <w:r>
        <w:t xml:space="preserve"> </w:t>
      </w:r>
      <w:r>
        <w:t xml:space="preserve">[55]</w:t>
      </w:r>
      <w:r>
        <w:t xml:space="preserve">. Cell counts were performed using an upright microscope (Olympus BX53, Japan) following the Utermöhl method</w:t>
      </w:r>
      <w:r>
        <w:t xml:space="preserve"> </w:t>
      </w:r>
      <w:r>
        <w:t xml:space="preserve">[56]</w:t>
      </w:r>
      <w:r>
        <w:t xml:space="preserve">.</w:t>
      </w:r>
    </w:p>
    <w:bookmarkEnd w:id="25"/>
    <w:bookmarkStart w:id="30" w:name="model-development"/>
    <w:p>
      <w:pPr>
        <w:pStyle w:val="Heading2"/>
      </w:pPr>
      <w:r>
        <w:t xml:space="preserve">Model Development</w:t>
      </w:r>
    </w:p>
    <w:p>
      <w:pPr>
        <w:pStyle w:val="FirstParagraph"/>
      </w:pPr>
      <w:r>
        <w:t xml:space="preserve">The logistic growth model was applied to describe changes in cell density of cultured strains (</w:t>
      </w:r>
      <w:hyperlink w:anchor="eq-nt">
        <w:r>
          <w:rPr>
            <w:rStyle w:val="Hyperlink"/>
          </w:rPr>
          <w:t xml:space="preserve">Eq. 1</w:t>
        </w:r>
      </w:hyperlink>
      <w:r>
        <w:t xml:space="preserve">):</w:t>
      </w:r>
    </w:p>
    <w:p>
      <w:pPr>
        <w:pStyle w:val="BodyText"/>
      </w:pPr>
      <w:bookmarkStart w:id="26"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6"/>
    </w:p>
    <w:p>
      <w:pPr>
        <w:pStyle w:val="FirstParagraph"/>
      </w:pPr>
      <w:r>
        <w:br/>
      </w:r>
    </w:p>
    <w:p>
      <w:pPr>
        <w:pStyle w:val="BodyText"/>
      </w:pPr>
      <w:bookmarkStart w:id="27"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7"/>
    </w:p>
    <w:p>
      <w:pPr>
        <w:pStyle w:val="FirstParagraph"/>
      </w:pPr>
      <w:r>
        <w:t xml:space="preserve">Here,</w:t>
      </w:r>
      <w:r>
        <w:t xml:space="preserve"> </w:t>
      </w:r>
      <m:oMath>
        <m:r>
          <m:t>K</m:t>
        </m:r>
      </m:oMath>
      <w:r>
        <w:t xml:space="preserve"> </w:t>
      </w:r>
      <w:r>
        <w:t xml:space="preserve">represents the environmental carrying capacity (maximum achievable cell density),</w:t>
      </w:r>
      <w:r>
        <w:t xml:space="preserve"> </w:t>
      </w:r>
      <m:oMath>
        <m:sSub>
          <m:e>
            <m:r>
              <m:t>N</m:t>
            </m:r>
          </m:e>
          <m:sub>
            <m:r>
              <m:t>0</m:t>
            </m:r>
          </m:sub>
        </m:sSub>
      </m:oMath>
      <w:r>
        <w:t xml:space="preserve"> </w:t>
      </w:r>
      <w:r>
        <w:t xml:space="preserve">is the initial cell density (</w:t>
      </w:r>
      <m:oMath>
        <m:r>
          <m:t>t</m:t>
        </m:r>
      </m:oMath>
      <w:r>
        <w:t xml:space="preserve"> </w:t>
      </w:r>
      <w:r>
        <w:t xml:space="preserve">= 0),</w:t>
      </w:r>
      <w:r>
        <w:t xml:space="preserve"> </w:t>
      </w:r>
      <m:oMath>
        <m:r>
          <m:t>r</m:t>
        </m:r>
      </m:oMath>
      <w:r>
        <w:t xml:space="preserve"> </w:t>
      </w:r>
      <w:r>
        <w:t xml:space="preserve">is the intrinsic growth rate (maximum growth rate under ideal conditions)</w:t>
      </w:r>
      <w:r>
        <w:t xml:space="preserve"> </w:t>
      </w:r>
      <w:r>
        <w:t xml:space="preserve">[48,50]</w:t>
      </w:r>
      <w:r>
        <w:t xml:space="preserve">, and</w:t>
      </w:r>
      <w:r>
        <w:t xml:space="preserve"> </w:t>
      </w:r>
      <m:oMath>
        <m:r>
          <m:t>θ</m:t>
        </m:r>
      </m:oMath>
      <w:r>
        <w:t xml:space="preserve"> </w:t>
      </w:r>
      <w:r>
        <w:t xml:space="preserve">denotes the initial growth potential.</w:t>
      </w:r>
    </w:p>
    <w:p>
      <w:pPr>
        <w:pStyle w:val="BodyText"/>
      </w:pPr>
      <w:r>
        <w:t xml:space="preserve">In aquatic systems, MIB exists in two forms: intracellular (</w:t>
      </w:r>
      <m:oMath>
        <m:sSub>
          <m:e>
            <m:r>
              <m:t>i</m:t>
            </m:r>
          </m:e>
          <m:sub>
            <m:r>
              <m:rPr>
                <m:nor/>
                <m:sty m:val="p"/>
              </m:rPr>
              <m:t>MIB</m:t>
            </m:r>
          </m:sub>
        </m:sSub>
      </m:oMath>
      <w:r>
        <w:t xml:space="preserve">) and extracellular (</w:t>
      </w:r>
      <m:oMath>
        <m:sSub>
          <m:e>
            <m:r>
              <m:t>e</m:t>
            </m:r>
          </m:e>
          <m:sub>
            <m:r>
              <m:rPr>
                <m:nor/>
                <m:sty m:val="p"/>
              </m:rPr>
              <m:t>MIB</m:t>
            </m:r>
          </m:sub>
        </m:sSub>
      </m:oMath>
      <w:r>
        <w:t xml:space="preserve">), with their sum constituting total MIB (</w:t>
      </w:r>
      <m:oMath>
        <m:sSub>
          <m:e>
            <m:r>
              <m:t>t</m:t>
            </m:r>
          </m:e>
          <m:sub>
            <m:r>
              <m:rPr>
                <m:nor/>
                <m:sty m:val="p"/>
              </m:rPr>
              <m:t>MIB</m:t>
            </m:r>
          </m:sub>
        </m:sSub>
      </m:oMath>
      <w:r>
        <w:t xml:space="preserve">). The ratio</w:t>
      </w:r>
      <w:r>
        <w:t xml:space="preserve"> </w:t>
      </w:r>
      <m:oMath>
        <m:r>
          <m:t>f</m:t>
        </m:r>
      </m:oMath>
      <w:r>
        <w:t xml:space="preserve"> </w:t>
      </w:r>
      <w:r>
        <w:t xml:space="preserve">(</w:t>
      </w:r>
      <m:oMath>
        <m:sSub>
          <m:e>
            <m:r>
              <m:t>e</m:t>
            </m:r>
          </m:e>
          <m:sub>
            <m:r>
              <m:rPr>
                <m:nor/>
                <m:sty m:val="p"/>
              </m:rPr>
              <m:t>MIB</m:t>
            </m:r>
          </m:sub>
        </m:sSub>
        <m:r>
          <m:rPr>
            <m:sty m:val="p"/>
          </m:rPr>
          <m:t>/</m:t>
        </m:r>
        <m:sSub>
          <m:e>
            <m:r>
              <m:t>t</m:t>
            </m:r>
          </m:e>
          <m:sub>
            <m:r>
              <m:rPr>
                <m:nor/>
                <m:sty m:val="p"/>
              </m:rPr>
              <m:t>MIB</m:t>
            </m:r>
          </m:sub>
        </m:sSub>
      </m:oMath>
      <w:r>
        <w:t xml:space="preserve">) serves as an odor index, reflecting the proportion of dissolved</w:t>
      </w:r>
      <w:r>
        <w:t xml:space="preserve"> </w:t>
      </w:r>
      <m:oMath>
        <m:r>
          <m:rPr>
            <m:nor/>
            <m:sty m:val="p"/>
          </m:rPr>
          <m:t>MIB</m:t>
        </m:r>
      </m:oMath>
      <w:r>
        <w:t xml:space="preserve"> </w:t>
      </w:r>
      <w:r>
        <w:t xml:space="preserve">over total MIB.</w:t>
      </w:r>
    </w:p>
    <w:p>
      <w:pPr>
        <w:pStyle w:val="BodyText"/>
      </w:pPr>
      <w:r>
        <w:t xml:space="preserve">To model temporal variations in</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produced by</w:t>
      </w:r>
      <w:r>
        <w:t xml:space="preserve"> </w:t>
      </w:r>
      <w:r>
        <w:rPr>
          <w:i/>
          <w:iCs/>
        </w:rPr>
        <w:t xml:space="preserve">Pseudanabaena cinerea</w:t>
      </w:r>
      <w:r>
        <w:t xml:space="preserve"> </w:t>
      </w:r>
      <w:r>
        <w:t xml:space="preserve">FACHB 1277 (obtained from the Freshwater Algae Culture Collection at the Institute of Hydrobiology) and</w:t>
      </w:r>
      <w:r>
        <w:t xml:space="preserve"> </w:t>
      </w:r>
      <w:r>
        <w:rPr>
          <w:i/>
          <w:iCs/>
        </w:rPr>
        <w:t xml:space="preserve">Planktothricoides raciborskii</w:t>
      </w:r>
      <w:r>
        <w:t xml:space="preserve"> </w:t>
      </w:r>
      <w:r>
        <w:t xml:space="preserve">(isolated from the FH Reservoir in Zhuhai, China</w:t>
      </w:r>
      <w:r>
        <w:t xml:space="preserve"> </w:t>
      </w:r>
      <w:r>
        <w:t xml:space="preserve">[33]</w:t>
      </w:r>
      <w:r>
        <w:t xml:space="preserve">), we developed stage-specific equations for</w:t>
      </w:r>
      <w:r>
        <w:t xml:space="preserve"> </w:t>
      </w:r>
      <m:oMath>
        <m:r>
          <m:t>f</m:t>
        </m:r>
      </m:oMath>
      <w:r>
        <w:t xml:space="preserve">. For cell densities below 80% of</w:t>
      </w:r>
      <w:r>
        <w:t xml:space="preserve"> </w:t>
      </w:r>
      <m:oMath>
        <m:r>
          <m:t>K</m:t>
        </m:r>
      </m:oMath>
      <w:r>
        <w:t xml:space="preserve"> </w:t>
      </w:r>
      <w:r>
        <w:t xml:space="preserve">(Phase I),</w:t>
      </w:r>
      <w:r>
        <w:t xml:space="preserve"> </w:t>
      </w:r>
      <m:oMath>
        <m:r>
          <m:t>f</m:t>
        </m:r>
      </m:oMath>
      <w:r>
        <w:t xml:space="preserve"> </w:t>
      </w:r>
      <w:r>
        <w:t xml:space="preserve">was derived from the logistic growth equation to capture early- to mid-growth dynamics (</w:t>
      </w:r>
      <w:hyperlink w:anchor="eq-f1">
        <w:r>
          <w:rPr>
            <w:rStyle w:val="Hyperlink"/>
          </w:rPr>
          <w:t xml:space="preserve">Eq. 3</w:t>
        </w:r>
      </w:hyperlink>
      <w:r>
        <w:t xml:space="preserve">). For densities approaching</w:t>
      </w:r>
      <w:r>
        <w:t xml:space="preserve"> </w:t>
      </w:r>
      <m:oMath>
        <m:r>
          <m:t>K</m:t>
        </m:r>
      </m:oMath>
      <w:r>
        <w:t xml:space="preserve"> </w:t>
      </w:r>
      <w:r>
        <w:t xml:space="preserve">(&gt;80%, Phase II),</w:t>
      </w:r>
      <w:r>
        <w:t xml:space="preserve"> </w:t>
      </w:r>
      <m:oMath>
        <m:r>
          <m:t>f</m:t>
        </m:r>
      </m:oMath>
      <w:r>
        <w:t xml:space="preserve"> </w:t>
      </w:r>
      <w:r>
        <w:t xml:space="preserve">was modeled using residual growth capacity to describe the stationary phase (</w:t>
      </w:r>
      <w:hyperlink w:anchor="eq-f2">
        <w:r>
          <w:rPr>
            <w:rStyle w:val="Hyperlink"/>
          </w:rPr>
          <w:t xml:space="preserve">Eq. 4</w:t>
        </w:r>
      </w:hyperlink>
      <w:r>
        <w:t xml:space="preserve">):</w:t>
      </w:r>
    </w:p>
    <w:p>
      <w:pPr>
        <w:pStyle w:val="BodyText"/>
      </w:pPr>
      <w:bookmarkStart w:id="28"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28"/>
    </w:p>
    <w:p>
      <w:pPr>
        <w:pStyle w:val="FirstParagraph"/>
      </w:pPr>
      <w:r>
        <w:br/>
      </w:r>
    </w:p>
    <w:p>
      <w:pPr>
        <w:pStyle w:val="BodyText"/>
      </w:pPr>
      <w:bookmarkStart w:id="29"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29"/>
    </w:p>
    <w:p>
      <w:pPr>
        <w:pStyle w:val="FirstParagraph"/>
      </w:pPr>
      <w:r>
        <w:t xml:space="preserve">Here,</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is the cell doubling time, and</w:t>
      </w:r>
      <w:r>
        <w:t xml:space="preserve"> </w:t>
      </w:r>
      <m:oMath>
        <m:r>
          <m:t>β</m:t>
        </m:r>
      </m:oMath>
      <w:r>
        <w:t xml:space="preserve"> </w:t>
      </w:r>
      <w:r>
        <w:t xml:space="preserve">is a correction factor for</w:t>
      </w:r>
      <w:r>
        <w:t xml:space="preserve"> </w:t>
      </w:r>
      <m:oMath>
        <m:r>
          <m:rPr>
            <m:nor/>
            <m:sty m:val="p"/>
          </m:rPr>
          <m:t>MIB</m:t>
        </m:r>
      </m:oMath>
      <w:r>
        <w:t xml:space="preserve"> </w:t>
      </w:r>
      <w:r>
        <w:t xml:space="preserve">accumulation/volatilization. Model parameters (</w:t>
      </w:r>
      <m:oMath>
        <m:sSub>
          <m:e>
            <m:r>
              <m:t>N</m:t>
            </m:r>
          </m:e>
          <m:sub>
            <m:r>
              <m:t>0</m:t>
            </m:r>
          </m:sub>
        </m:sSub>
      </m:oMath>
      <w:r>
        <w:t xml:space="preserve">,</w:t>
      </w:r>
      <w:r>
        <w:t xml:space="preserve"> </w:t>
      </w:r>
      <m:oMath>
        <m:r>
          <m:t>K</m:t>
        </m:r>
      </m:oMath>
      <w:r>
        <w:t xml:space="preserve">,</w:t>
      </w:r>
      <w:r>
        <w:t xml:space="preserve"> </w:t>
      </w:r>
      <m:oMath>
        <m:r>
          <m:t>r</m:t>
        </m:r>
      </m:oMath>
      <w:r>
        <w:t xml:space="preserve">) were estimated via logistic curve fitting, while</w:t>
      </w:r>
      <w:r>
        <w:t xml:space="preserve"> </w:t>
      </w:r>
      <m:oMath>
        <m:sSub>
          <m:e>
            <m:r>
              <m:t>α</m:t>
            </m:r>
          </m:e>
          <m:sub>
            <m:r>
              <m:t>1</m:t>
            </m:r>
          </m:sub>
        </m:sSub>
      </m:oMath>
      <w:r>
        <w:t xml:space="preserve">,</w:t>
      </w:r>
      <w:r>
        <w:t xml:space="preserve"> </w:t>
      </w:r>
      <m:oMath>
        <m:sSub>
          <m:e>
            <m:r>
              <m:t>α</m:t>
            </m:r>
          </m:e>
          <m:sub>
            <m:r>
              <m:t>2</m:t>
            </m:r>
          </m:sub>
        </m:sSub>
      </m:oMath>
      <w:r>
        <w:t xml:space="preserve">, and</w:t>
      </w:r>
      <w:r>
        <w:t xml:space="preserve"> </w:t>
      </w:r>
      <m:oMath>
        <m:r>
          <m:t>β</m:t>
        </m:r>
      </m:oMath>
      <w:r>
        <w:t xml:space="preserve"> </w:t>
      </w:r>
      <w:r>
        <w:t xml:space="preserve">were determined via linear regression. Adjusting</w:t>
      </w:r>
      <w:r>
        <w:t xml:space="preserve"> </w:t>
      </w:r>
      <m:oMath>
        <m:r>
          <m:t>r</m:t>
        </m:r>
      </m:oMath>
      <w:r>
        <w:t xml:space="preserve"> </w:t>
      </w:r>
      <w:r>
        <w:t xml:space="preserve">allowed simulation of growth and</w:t>
      </w:r>
      <w:r>
        <w:t xml:space="preserve"> </w:t>
      </w:r>
      <m:oMath>
        <m:r>
          <m:rPr>
            <m:nor/>
            <m:sty m:val="p"/>
          </m:rPr>
          <m:t>MIB</m:t>
        </m:r>
      </m:oMath>
      <w:r>
        <w:t xml:space="preserve"> </w:t>
      </w:r>
      <w:r>
        <w:t xml:space="preserve">production under varying environmental conditions.</w:t>
      </w:r>
    </w:p>
    <w:bookmarkEnd w:id="30"/>
    <w:bookmarkStart w:id="32" w:name="mib-risk-assessment"/>
    <w:p>
      <w:pPr>
        <w:pStyle w:val="Heading2"/>
      </w:pPr>
      <w:r>
        <w:t xml:space="preserve">MIB Risk Assessment</w:t>
      </w:r>
    </w:p>
    <w:p>
      <w:pPr>
        <w:pStyle w:val="FirstParagraph"/>
      </w:pPr>
      <w:r>
        <w:t xml:space="preserve">For a given</w:t>
      </w:r>
      <w:r>
        <w:t xml:space="preserve"> </w:t>
      </w:r>
      <m:oMath>
        <m:r>
          <m:t>f</m:t>
        </m:r>
      </m:oMath>
      <w:r>
        <w:t xml:space="preserve">, the cyanobacterial growth time (</w:t>
      </w:r>
      <m:oMath>
        <m:r>
          <m:t>t</m:t>
        </m:r>
      </m:oMath>
      <w:r>
        <w:t xml:space="preserve">) was derived from</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the growth stage indicator (</w:t>
      </w:r>
      <m:oMath>
        <m:r>
          <m:t>S</m:t>
        </m:r>
        <m:r>
          <m:t>t</m:t>
        </m:r>
      </m:oMath>
      <w:r>
        <w:t xml:space="preserve">) was calculated as:</w:t>
      </w:r>
    </w:p>
    <w:p>
      <w:pPr>
        <w:pStyle w:val="BodyText"/>
      </w:pPr>
      <w:bookmarkStart w:id="31" w:name="eq-st"/>
      <m:oMathPara>
        <m:oMathParaPr>
          <m:jc m:val="center"/>
        </m:oMathParaPr>
        <m:oMath>
          <m:r>
            <m:t>S</m:t>
          </m:r>
          <m:r>
            <m:t>t</m:t>
          </m:r>
          <m:r>
            <m:rPr>
              <m:sty m:val="p"/>
            </m:rPr>
            <m:t>=</m:t>
          </m:r>
          <m:f>
            <m:fPr>
              <m:type m:val="bar"/>
            </m:fPr>
            <m:num>
              <m:r>
                <m:t>t</m:t>
              </m:r>
            </m:num>
            <m:den>
              <m:r>
                <m:t>2</m:t>
              </m:r>
              <m:sSub>
                <m:e>
                  <m:r>
                    <m:t>T</m:t>
                  </m:r>
                </m:e>
                <m:sub>
                  <m:r>
                    <m:t>I</m:t>
                  </m:r>
                  <m:r>
                    <m:t>P</m:t>
                  </m:r>
                </m:sub>
              </m:sSub>
            </m:den>
          </m:f>
          <m:r>
            <m:t>  </m:t>
          </m:r>
          <m:d>
            <m:dPr>
              <m:begChr m:val="("/>
              <m:sepChr m:val=""/>
              <m:endChr m:val=")"/>
              <m:grow/>
            </m:dPr>
            <m:e>
              <m:r>
                <m:t>5</m:t>
              </m:r>
            </m:e>
          </m:d>
        </m:oMath>
      </m:oMathPara>
      <w:bookmarkEnd w:id="31"/>
    </w:p>
    <w:p>
      <w:pPr>
        <w:pStyle w:val="FirstParagraph"/>
      </w:pPr>
      <w:r>
        <w:t xml:space="preserve">where</w:t>
      </w:r>
      <w:r>
        <w:t xml:space="preserve"> </w:t>
      </w:r>
      <m:oMath>
        <m:sSub>
          <m:e>
            <m:r>
              <m:t>T</m:t>
            </m:r>
          </m:e>
          <m:sub>
            <m:r>
              <m:t>I</m:t>
            </m:r>
            <m:r>
              <m:t>P</m:t>
            </m:r>
          </m:sub>
        </m:sSub>
      </m:oMath>
      <w:r>
        <w:t xml:space="preserve"> </w:t>
      </w:r>
      <w:r>
        <w:t xml:space="preserve">(time at which</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marks the logistic curve’s inflection point. A smaller</w:t>
      </w:r>
      <w:r>
        <w:t xml:space="preserve"> </w:t>
      </w:r>
      <m:oMath>
        <m:sSub>
          <m:e>
            <m:r>
              <m:t>T</m:t>
            </m:r>
          </m:e>
          <m:sub>
            <m:r>
              <m:t>I</m:t>
            </m:r>
            <m:r>
              <m:t>P</m:t>
            </m:r>
          </m:sub>
        </m:sSub>
      </m:oMath>
      <w:r>
        <w:t xml:space="preserve"> </w:t>
      </w:r>
      <w:r>
        <w:t xml:space="preserve">value indicates faster cyanobacterial growth and stronger crowding effects, thereby increasing the likelihood of cell rupture and MIB release. By combining</w:t>
      </w:r>
      <w:r>
        <w:t xml:space="preserve"> </w:t>
      </w:r>
      <m:oMath>
        <m:r>
          <m:t>S</m:t>
        </m:r>
        <m:r>
          <m:t>t</m:t>
        </m:r>
      </m:oMath>
      <w:r>
        <w:t xml:space="preserve"> </w:t>
      </w:r>
      <w:r>
        <w:t xml:space="preserve">with field-measured</w:t>
      </w:r>
      <w:r>
        <w:t xml:space="preserve"> </w:t>
      </w:r>
      <m:oMath>
        <m:sSub>
          <m:e>
            <m:r>
              <m:t>t</m:t>
            </m:r>
          </m:e>
          <m:sub>
            <m:r>
              <m:rPr>
                <m:nor/>
                <m:sty m:val="p"/>
              </m:rPr>
              <m:t>MIB</m:t>
            </m:r>
          </m:sub>
        </m:sSub>
      </m:oMath>
      <w:r>
        <w:t xml:space="preserve"> </w:t>
      </w:r>
      <w:r>
        <w:t xml:space="preserve">concentrations, we generated a frequency distribution figure (Fig. S2) to quantify the probability of</w:t>
      </w:r>
      <w:r>
        <w:t xml:space="preserve"> </w:t>
      </w:r>
      <m:oMath>
        <m:sSub>
          <m:e>
            <m:r>
              <m:t>t</m:t>
            </m:r>
          </m:e>
          <m:sub>
            <m:r>
              <m:rPr>
                <m:nor/>
                <m:sty m:val="p"/>
              </m:rPr>
              <m:t>MIB</m:t>
            </m:r>
          </m:sub>
        </m:sSub>
      </m:oMath>
      <w:r>
        <w:t xml:space="preserve"> </w:t>
      </w:r>
      <w:r>
        <w:t xml:space="preserve">occurrence at different growth stages, enabling</w:t>
      </w:r>
      <w:r>
        <w:t xml:space="preserve"> </w:t>
      </w:r>
      <m:oMath>
        <m:r>
          <m:rPr>
            <m:nor/>
            <m:sty m:val="p"/>
          </m:rPr>
          <m:t>MIB</m:t>
        </m:r>
      </m:oMath>
      <w:r>
        <w:t xml:space="preserve"> </w:t>
      </w:r>
      <w:r>
        <w:t xml:space="preserve">risk evaluation.</w:t>
      </w:r>
    </w:p>
    <w:bookmarkEnd w:id="32"/>
    <w:bookmarkStart w:id="33" w:name="statistical-analysis-and-visualization"/>
    <w:p>
      <w:pPr>
        <w:pStyle w:val="Heading2"/>
      </w:pPr>
      <w:r>
        <w:t xml:space="preserve">Statistical Analysis and Visualization</w:t>
      </w:r>
    </w:p>
    <w:p>
      <w:pPr>
        <w:pStyle w:val="FirstParagraph"/>
      </w:pPr>
      <w:r>
        <w:t xml:space="preserve">All analyses were conducted in R 4.4.2</w:t>
      </w:r>
      <w:r>
        <w:t xml:space="preserve"> </w:t>
      </w:r>
      <w:r>
        <w:t xml:space="preserve">[57]</w:t>
      </w:r>
      <w:r>
        <w:t xml:space="preserve">. Data preprocessing and summarization used</w:t>
      </w:r>
      <w:r>
        <w:t xml:space="preserve"> </w:t>
      </w:r>
      <w:r>
        <w:rPr>
          <w:rStyle w:val="VerbatimChar"/>
        </w:rPr>
        <w:t xml:space="preserve">dplyr</w:t>
      </w:r>
      <w:r>
        <w:t xml:space="preserve"> </w:t>
      </w:r>
      <w:r>
        <w:t xml:space="preserve">[58]</w:t>
      </w:r>
      <w:r>
        <w:t xml:space="preserve">, while regression analyses (linear/generalized linear models) employed the</w:t>
      </w:r>
      <w:r>
        <w:t xml:space="preserve"> </w:t>
      </w:r>
      <w:r>
        <w:rPr>
          <w:rStyle w:val="VerbatimChar"/>
        </w:rPr>
        <w:t xml:space="preserve">stats</w:t>
      </w:r>
      <w:r>
        <w:t xml:space="preserve"> </w:t>
      </w:r>
      <w:r>
        <w:t xml:space="preserve">package. Generalized additive modeling (</w:t>
      </w:r>
      <w:r>
        <w:rPr>
          <w:rStyle w:val="VerbatimChar"/>
        </w:rPr>
        <w:t xml:space="preserve">mgcv</w:t>
      </w:r>
      <w:r>
        <w:t xml:space="preserve">;</w:t>
      </w:r>
      <w:r>
        <w:t xml:space="preserve"> </w:t>
      </w:r>
      <w:r>
        <w:t xml:space="preserve">[59]</w:t>
      </w:r>
      <w:r>
        <w:t xml:space="preserve">) and quantile regression (</w:t>
      </w:r>
      <w:r>
        <w:rPr>
          <w:rStyle w:val="VerbatimChar"/>
        </w:rPr>
        <w:t xml:space="preserve">quantreg</w:t>
      </w:r>
      <w:r>
        <w:t xml:space="preserve">;</w:t>
      </w:r>
      <w:r>
        <w:t xml:space="preserve"> </w:t>
      </w:r>
      <w:r>
        <w:t xml:space="preserve">[60]</w:t>
      </w:r>
      <w:r>
        <w:t xml:space="preserve">) were applied where appropriate. Figures were generated using</w:t>
      </w:r>
      <w:r>
        <w:t xml:space="preserve"> </w:t>
      </w:r>
      <w:r>
        <w:rPr>
          <w:rStyle w:val="VerbatimChar"/>
        </w:rPr>
        <w:t xml:space="preserve">ggplot2</w:t>
      </w:r>
      <w:r>
        <w:t xml:space="preserve"> </w:t>
      </w:r>
      <w:r>
        <w:t xml:space="preserve">[61]</w:t>
      </w:r>
      <w:r>
        <w:t xml:space="preserve">, with contour plots produced via the</w:t>
      </w:r>
      <w:r>
        <w:t xml:space="preserve"> </w:t>
      </w:r>
      <w:r>
        <w:rPr>
          <w:rStyle w:val="VerbatimChar"/>
        </w:rPr>
        <w:t xml:space="preserve">graphics</w:t>
      </w:r>
      <w:r>
        <w:t xml:space="preserve"> </w:t>
      </w:r>
      <w:r>
        <w:t xml:space="preserve">package.</w:t>
      </w:r>
    </w:p>
    <w:bookmarkEnd w:id="33"/>
    <w:bookmarkEnd w:id="34"/>
    <w:bookmarkStart w:id="63" w:name="results"/>
    <w:p>
      <w:pPr>
        <w:pStyle w:val="Heading1"/>
      </w:pPr>
      <w:r>
        <w:t xml:space="preserve">Results</w:t>
      </w:r>
    </w:p>
    <w:bookmarkStart w:id="39"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Lake Taihu (</w:t>
      </w:r>
      <w:hyperlink w:anchor="fig-taihumibalgae">
        <w:r>
          <w:rPr>
            <w:rStyle w:val="Hyperlink"/>
          </w:rPr>
          <w:t xml:space="preserve">Fig. 1</w:t>
        </w:r>
      </w:hyperlink>
      <w:r>
        <w:t xml:space="preserve">A). The outbreaks exhibited distinct seasonal patterns, with elevated MIB concentrations occurring primarily in spring (40.0 ± 77.5 ng L</w:t>
      </w:r>
      <w:r>
        <w:rPr>
          <w:vertAlign w:val="superscript"/>
        </w:rPr>
        <w:t xml:space="preserve">-1</w:t>
      </w:r>
      <w:r>
        <w:t xml:space="preserve">) and summer (107 ± 230 ng L</w:t>
      </w:r>
      <w:r>
        <w:rPr>
          <w:vertAlign w:val="superscript"/>
        </w:rPr>
        <w:t xml:space="preserve">-1</w:t>
      </w:r>
      <w:r>
        <w:t xml:space="preserve">). The highest peaks were recorded in April (66.5 ± 101 ng L</w:t>
      </w:r>
      <w:r>
        <w:rPr>
          <w:vertAlign w:val="superscript"/>
        </w:rPr>
        <w:t xml:space="preserve">-1</w:t>
      </w:r>
      <w:r>
        <w:t xml:space="preserve">) and July (232 ± 361 ng L</w:t>
      </w:r>
      <w:r>
        <w:rPr>
          <w:vertAlign w:val="superscript"/>
        </w:rPr>
        <w:t xml:space="preserve">-1</w:t>
      </w:r>
      <w:r>
        <w:t xml:space="preserve">), demonstrating statistically significant seasonality (Fig. S3,</w:t>
      </w:r>
      <w:r>
        <w:t xml:space="preserve"> </w:t>
      </w:r>
      <w:r>
        <w:rPr>
          <w:i/>
          <w:iCs/>
        </w:rPr>
        <w:t xml:space="preserve">p</w:t>
      </w:r>
      <w:r>
        <w:t xml:space="preserve"> </w:t>
      </w:r>
      <w:r>
        <w:t xml:space="preserve">&lt; 0.001). Notably, MIB concentrations across the lake were relatively low in June, between the two outbreak periods.</w:t>
      </w:r>
    </w:p>
    <w:p>
      <w:pPr>
        <w:pStyle w:val="BodyText"/>
      </w:pPr>
      <w:r>
        <w:t xml:space="preserve">Spatially, MIB distribution showed clear heterogeneity across the lake (</w:t>
      </w:r>
      <w:hyperlink w:anchor="fig-taihumibalgae">
        <w:r>
          <w:rPr>
            <w:rStyle w:val="Hyperlink"/>
          </w:rPr>
          <w:t xml:space="preserve">Fig. 1</w:t>
        </w:r>
      </w:hyperlink>
      <w:r>
        <w:t xml:space="preserve">B). The northern and southeastern regions consistently showed the highest concentrations, with the April peak centered in the northern area and the July peak affecting both northern and southeastern areas. Cluster analysis of MIB concentrations from all 31 sampling sites revealed four distinct spatial clusters that corresponded to different lake regions (Fig. S1), with the most severe outbreaks concentrated in the northern and southeastern clusters.</w:t>
      </w:r>
    </w:p>
    <w:p>
      <w:pPr>
        <w:pStyle w:val="BodyText"/>
      </w:pPr>
      <w:r>
        <w:t xml:space="preserve">Analysis of the</w:t>
      </w:r>
      <w:r>
        <w:t xml:space="preserve"> </w:t>
      </w:r>
      <m:oMath>
        <m:r>
          <m:t>f</m:t>
        </m:r>
      </m:oMath>
      <w:r>
        <w:t xml:space="preserve"> </w:t>
      </w:r>
      <w:r>
        <w:t xml:space="preserve">value variation across clusters revealed an important pattern: the lowest values during the log growth phase of</w:t>
      </w:r>
      <w:r>
        <w:t xml:space="preserve"> </w:t>
      </w:r>
      <m:oMath>
        <m:r>
          <m:t>f</m:t>
        </m:r>
      </m:oMath>
      <w:r>
        <w:t xml:space="preserve"> </w:t>
      </w:r>
      <w:r>
        <w:t xml:space="preserve">were typically followed by MIB outbreaks (</w:t>
      </w:r>
      <w:hyperlink w:anchor="fig-taihumibalgae">
        <w:r>
          <w:rPr>
            <w:rStyle w:val="Hyperlink"/>
          </w:rPr>
          <w:t xml:space="preserve">Fig. 1</w:t>
        </w:r>
      </w:hyperlink>
      <w:r>
        <w:t xml:space="preserve">C). 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though their abundances varied significantly (Fig. S4). While</w:t>
      </w:r>
      <w:r>
        <w:t xml:space="preserve"> </w:t>
      </w:r>
      <w:r>
        <w:rPr>
          <w:i/>
          <w:iCs/>
        </w:rPr>
        <w:t xml:space="preserve">Microcystis</w:t>
      </w:r>
      <w:r>
        <w:t xml:space="preserve"> </w:t>
      </w:r>
      <w:r>
        <w:t xml:space="preserve">dominated the cyanobacterial community for most of the study period (</w:t>
      </w:r>
      <w:hyperlink w:anchor="fig-taihumibalgae">
        <w:r>
          <w:rPr>
            <w:rStyle w:val="Hyperlink"/>
          </w:rPr>
          <w:t xml:space="preserve">Fig. 1</w:t>
        </w:r>
      </w:hyperlink>
      <w:r>
        <w:t xml:space="preserve">D),</w:t>
      </w:r>
      <w:r>
        <w:t xml:space="preserve"> </w:t>
      </w:r>
      <w:r>
        <w:rPr>
          <w:i/>
          <w:iCs/>
        </w:rPr>
        <w:t xml:space="preserve">Pseudanabaena</w:t>
      </w:r>
      <w:r>
        <w:t xml:space="preserve"> </w:t>
      </w:r>
      <w:r>
        <w:t xml:space="preserve">reached its peak relative abundance (31.0%) in September, coinciding with MIB production. In contrast,</w:t>
      </w:r>
      <w:r>
        <w:t xml:space="preserve"> </w:t>
      </w:r>
      <w:r>
        <w:rPr>
          <w:i/>
          <w:iCs/>
        </w:rPr>
        <w:t xml:space="preserve">Planktothricoides</w:t>
      </w:r>
      <w:r>
        <w:t xml:space="preserve"> </w:t>
      </w:r>
      <w:r>
        <w:t xml:space="preserve">remained at much lower levels (1.4%).</w:t>
      </w:r>
    </w:p>
    <w:tbl>
      <w:tblPr>
        <w:tblStyle w:val="Table"/>
        <w:tblW w:type="pct" w:w="5000"/>
        <w:tblLayout w:type="fixed"/>
        <w:tblLook w:firstRow="0" w:lastRow="0" w:firstColumn="0" w:lastColumn="0" w:noHBand="0" w:noVBand="0" w:val="0000"/>
      </w:tblPr>
      <w:tblGrid>
        <w:gridCol w:w="7920"/>
      </w:tblGrid>
      <w:tr>
        <w:tc>
          <w:tcPr/>
          <w:bookmarkStart w:id="38" w:name="fig-taihumibalgae"/>
          <w:p>
            <w:pPr>
              <w:pStyle w:val="Compact"/>
              <w:jc w:val="center"/>
            </w:pPr>
            <w:r>
              <w:drawing>
                <wp:inline>
                  <wp:extent cx="5177790" cy="5188166"/>
                  <wp:effectExtent b="0" l="0" r="0" t="0"/>
                  <wp:docPr descr="" title="" id="36" name="Picture"/>
                  <a:graphic>
                    <a:graphicData uri="http://schemas.openxmlformats.org/drawingml/2006/picture">
                      <pic:pic>
                        <pic:nvPicPr>
                          <pic:cNvPr descr="../figures/taihumibalgae_revised.png" id="37" name="Picture"/>
                          <pic:cNvPicPr>
                            <a:picLocks noChangeArrowheads="1" noChangeAspect="1"/>
                          </pic:cNvPicPr>
                        </pic:nvPicPr>
                        <pic:blipFill>
                          <a:blip r:embed="rId35"/>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bookmarkEnd w:id="38"/>
        </w:tc>
      </w:tr>
    </w:tbl>
    <w:bookmarkEnd w:id="39"/>
    <w:bookmarkStart w:id="48" w:name="X64d873ecdc7c7b5f1292b1a255ced7f906001ce"/>
    <w:p>
      <w:pPr>
        <w:pStyle w:val="Heading2"/>
      </w:pPr>
      <w:r>
        <w:t xml:space="preserve">Modeling the Relationship Between Cultured Cyanobacteria Growth and Extracellular MIB Ratio (</w:t>
      </w:r>
      <w:r>
        <w:rPr>
          <w:i/>
          <w:iCs/>
        </w:rPr>
        <w:t xml:space="preserve">f</w:t>
      </w:r>
      <w:r>
        <w:t xml:space="preserve">)</w:t>
      </w:r>
    </w:p>
    <w:p>
      <w:pPr>
        <w:pStyle w:val="FirstParagraph"/>
      </w:pPr>
      <w:r>
        <w:t xml:space="preserve">The observed</w:t>
      </w:r>
      <w:r>
        <w:t xml:space="preserve"> </w:t>
      </w:r>
      <m:oMath>
        <m:r>
          <m:t>f</m:t>
        </m:r>
      </m:oMath>
      <w:r>
        <w:t xml:space="preserve"> </w:t>
      </w:r>
      <w:r>
        <w:t xml:space="preserve">ratio in Lake Taihu water samples exhibited a characteristic temporal pattern (</w:t>
      </w:r>
      <w:hyperlink w:anchor="fig-taihumibalgae">
        <w:r>
          <w:rPr>
            <w:rStyle w:val="Hyperlink"/>
          </w:rPr>
          <w:t xml:space="preserve">Fig. 1</w:t>
        </w:r>
      </w:hyperlink>
      <w:r>
        <w:t xml:space="preserve">C). To further elucidate this pattern, we analyzed the growth and odor production dynamics of two laboratory-cultured odor-producing cyanobacteria species (</w:t>
      </w:r>
      <w:r>
        <w:rPr>
          <w:i/>
          <w:iCs/>
        </w:rPr>
        <w:t xml:space="preserve">Pseudanabaena</w:t>
      </w:r>
      <w:r>
        <w:t xml:space="preserve"> </w:t>
      </w:r>
      <w:r>
        <w:t xml:space="preserve">and</w:t>
      </w:r>
      <w:r>
        <w:t xml:space="preserve"> </w:t>
      </w:r>
      <w:r>
        <w:rPr>
          <w:i/>
          <w:iCs/>
        </w:rPr>
        <w:t xml:space="preserve">Planktothricoides</w:t>
      </w:r>
      <w:r>
        <w:t xml:space="preserve">) under varying light conditions. A logistic growth-based model was developed to characterize the dynamics of the extracellular-to-total MIB ratio (</w:t>
      </w:r>
      <m:oMath>
        <m:r>
          <m:t>f</m:t>
        </m:r>
      </m:oMath>
      <w:r>
        <w:t xml:space="preserve">) (</w:t>
      </w:r>
      <w:hyperlink w:anchor="eq-f1">
        <w:r>
          <w:rPr>
            <w:rStyle w:val="Hyperlink"/>
          </w:rPr>
          <w:t xml:space="preserve">Eq. 3</w:t>
        </w:r>
      </w:hyperlink>
      <w:r>
        <w:t xml:space="preserve">,</w:t>
      </w:r>
      <w:r>
        <w:t xml:space="preserve"> </w:t>
      </w:r>
      <w:hyperlink w:anchor="eq-f2">
        <w:r>
          <w:rPr>
            <w:rStyle w:val="Hyperlink"/>
          </w:rPr>
          <w:t xml:space="preserve">Eq. 4</w:t>
        </w:r>
      </w:hyperlink>
      <w:r>
        <w:t xml:space="preserve">). The model effectively captured the growth trajectories of both</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A,</w:t>
      </w:r>
      <w:r>
        <w:t xml:space="preserve"> </w:t>
      </w:r>
      <w:hyperlink w:anchor="fig-modelconcept">
        <w:r>
          <w:rPr>
            <w:rStyle w:val="Hyperlink"/>
          </w:rPr>
          <w:t xml:space="preserve">2</w:t>
        </w:r>
      </w:hyperlink>
      <w:r>
        <w:t xml:space="preserve">B, Fig. S5, Fig. S6). Under different light regimes, both extracellular MIB (</w:t>
      </w:r>
      <m:oMath>
        <m:sSub>
          <m:e>
            <m:r>
              <m:t>e</m:t>
            </m:r>
          </m:e>
          <m:sub>
            <m:r>
              <m:rPr>
                <m:nor/>
                <m:sty m:val="p"/>
              </m:rPr>
              <m:t>MIB</m:t>
            </m:r>
          </m:sub>
        </m:sSub>
      </m:oMath>
      <w:r>
        <w:t xml:space="preserve">) and total MIB (</w:t>
      </w:r>
      <m:oMath>
        <m:sSub>
          <m:e>
            <m:r>
              <m:t>t</m:t>
            </m:r>
          </m:e>
          <m:sub>
            <m:r>
              <m:rPr>
                <m:nor/>
                <m:sty m:val="p"/>
              </m:rPr>
              <m:t>MIB</m:t>
            </m:r>
          </m:sub>
        </m:sSub>
      </m:oMath>
      <w:r>
        <w:t xml:space="preserve">) concentrations increased during the early growth phase (</w:t>
      </w:r>
      <w:hyperlink w:anchor="fig-modelconcept">
        <w:r>
          <w:rPr>
            <w:rStyle w:val="Hyperlink"/>
          </w:rPr>
          <w:t xml:space="preserve">Fig. 2</w:t>
        </w:r>
      </w:hyperlink>
      <w:r>
        <w:t xml:space="preserve">C), in parallel with rising cell densities. MIB production peaked when cell densities approached approximately half of the environmental carrying capacity (</w:t>
      </w:r>
      <m:oMath>
        <m:r>
          <m:t>K</m:t>
        </m:r>
      </m:oMath>
      <w:r>
        <w:t xml:space="preserve">), and remained relatively stable thereafter.</w:t>
      </w:r>
    </w:p>
    <w:tbl>
      <w:tblPr>
        <w:tblStyle w:val="Table"/>
        <w:tblW w:type="pct" w:w="5000"/>
        <w:tblLayout w:type="fixed"/>
        <w:tblLook w:firstRow="0" w:lastRow="0" w:firstColumn="0" w:lastColumn="0" w:noHBand="0" w:noVBand="0" w:val="0000"/>
      </w:tblPr>
      <w:tblGrid>
        <w:gridCol w:w="7920"/>
      </w:tblGrid>
      <w:tr>
        <w:tc>
          <w:tcPr/>
          <w:bookmarkStart w:id="43" w:name="fig-modelconcept"/>
          <w:p>
            <w:pPr>
              <w:pStyle w:val="Compact"/>
              <w:jc w:val="center"/>
            </w:pPr>
            <w:r>
              <w:drawing>
                <wp:inline>
                  <wp:extent cx="4602480" cy="4475475"/>
                  <wp:effectExtent b="0" l="0" r="0" t="0"/>
                  <wp:docPr descr="" title="" id="41" name="Picture"/>
                  <a:graphic>
                    <a:graphicData uri="http://schemas.openxmlformats.org/drawingml/2006/picture">
                      <pic:pic>
                        <pic:nvPicPr>
                          <pic:cNvPr descr="../figures/culturedata.png" id="42" name="Picture"/>
                          <pic:cNvPicPr>
                            <a:picLocks noChangeArrowheads="1" noChangeAspect="1"/>
                          </pic:cNvPicPr>
                        </pic:nvPicPr>
                        <pic:blipFill>
                          <a:blip r:embed="rId40"/>
                          <a:stretch>
                            <a:fillRect/>
                          </a:stretch>
                        </pic:blipFill>
                        <pic:spPr bwMode="auto">
                          <a:xfrm>
                            <a:off x="0" y="0"/>
                            <a:ext cx="4602480" cy="4475475"/>
                          </a:xfrm>
                          <a:prstGeom prst="rect">
                            <a:avLst/>
                          </a:prstGeom>
                          <a:noFill/>
                          <a:ln w="9525">
                            <a:noFill/>
                            <a:headEnd/>
                            <a:tailEnd/>
                          </a:ln>
                        </pic:spPr>
                      </pic:pic>
                    </a:graphicData>
                  </a:graphic>
                </wp:inline>
              </w:drawing>
            </w:r>
          </w:p>
          <w:p>
            <w:pPr>
              <w:jc w:val="center"/>
            </w:pPr>
            <w:pPr>
              <w:jc w:val="start"/>
              <w:spacing w:before="200"/>
              <w:pStyle w:val="ImageCaption"/>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t xml:space="preserve"> </w:t>
            </w:r>
            <w:r>
              <w:t xml:space="preserve">[18]</w:t>
            </w:r>
            <w:r>
              <w:t xml:space="preserve"> </w:t>
            </w:r>
            <w:r>
              <w:t xml:space="preserve">and</w:t>
            </w:r>
            <w:r>
              <w:t xml:space="preserve"> </w:t>
            </w:r>
            <w:r>
              <w:t xml:space="preserve">[33]</w:t>
            </w:r>
            <w:r>
              <w:t xml:space="preserve"> </w:t>
            </w:r>
            <w:r>
              <w:t xml:space="preserve">respectively.</w:t>
            </w:r>
          </w:p>
          <w:bookmarkEnd w:id="43"/>
        </w:tc>
      </w:tr>
    </w:tbl>
    <w:p>
      <w:pPr>
        <w:pStyle w:val="BodyText"/>
      </w:pPr>
      <w:r>
        <w:t xml:space="preserve">During growth and odor production, both species showed a consistent</w:t>
      </w:r>
      <w:r>
        <w:t xml:space="preserve"> </w:t>
      </w:r>
      <m:oMath>
        <m:r>
          <m:t>f</m:t>
        </m:r>
      </m:oMath>
      <w:r>
        <w:t xml:space="preserve"> </w:t>
      </w:r>
      <w:r>
        <w:t xml:space="preserve">ratio pattern: an initial decrease reaching its minimum at approximately half of the maximum cell density, followed by a gradual increase that stabilized near 0.5. Notably, while</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during the initial phase, they rose rapidly during the subsequent phase of</w:t>
      </w:r>
      <w:r>
        <w:t xml:space="preserve"> </w:t>
      </w:r>
      <m:oMath>
        <m:r>
          <m:t>f</m:t>
        </m:r>
      </m:oMath>
      <w:r>
        <w:t xml:space="preserve"> </w:t>
      </w:r>
      <w:r>
        <w:t xml:space="preserve">ratio increase. Therefore, we formed this mechanical model as illustrated and represent in</w:t>
      </w:r>
      <w:r>
        <w:t xml:space="preserve"> </w:t>
      </w:r>
      <w:hyperlink w:anchor="fig-modelout">
        <w:r>
          <w:rPr>
            <w:rStyle w:val="Hyperlink"/>
          </w:rPr>
          <w:t xml:space="preserve">Fig. 3</w:t>
        </w:r>
      </w:hyperlink>
      <w:r>
        <w:t xml:space="preserve">A.</w:t>
      </w:r>
    </w:p>
    <w:p>
      <w:pPr>
        <w:pStyle w:val="BodyText"/>
      </w:pPr>
      <w:r>
        <w:t xml:space="preserve">Parameter estimation revealed significant interspecies differences:</w:t>
      </w:r>
      <w:r>
        <w:t xml:space="preserve"> </w:t>
      </w:r>
      <m:oMath>
        <m:sSub>
          <m:e>
            <m:r>
              <m:t>α</m:t>
            </m:r>
          </m:e>
          <m:sub>
            <m:r>
              <m:t>1</m:t>
            </m:r>
          </m:sub>
        </m:sSub>
      </m:oMath>
      <w:r>
        <w:t xml:space="preserve"> </w:t>
      </w:r>
      <w:r>
        <w:t xml:space="preserve">was substantially higher for</w:t>
      </w:r>
      <w:r>
        <w:t xml:space="preserve"> </w:t>
      </w:r>
      <w:r>
        <w:rPr>
          <w:i/>
          <w:iCs/>
        </w:rPr>
        <w:t xml:space="preserve">Pseudanabaena</w:t>
      </w:r>
      <w:r>
        <w:t xml:space="preserve"> </w:t>
      </w:r>
      <w:r>
        <w:t xml:space="preserve">than for</w:t>
      </w:r>
      <w:r>
        <w:t xml:space="preserve"> </w:t>
      </w:r>
      <w:r>
        <w:rPr>
          <w:i/>
          <w:iCs/>
        </w:rPr>
        <w:t xml:space="preserve">Planktothricoides</w:t>
      </w:r>
      <w:r>
        <w:t xml:space="preserve"> </w:t>
      </w:r>
      <w:r>
        <w:t xml:space="preserve">(</w:t>
      </w:r>
      <w:r>
        <w:rPr>
          <w:i/>
          <w:iCs/>
        </w:rPr>
        <w:t xml:space="preserve">p</w:t>
      </w:r>
      <w:r>
        <w:t xml:space="preserve"> </w:t>
      </w:r>
      <w:r>
        <w:t xml:space="preserve">&lt; 0.01), while</w:t>
      </w:r>
      <w:r>
        <w:t xml:space="preserve"> </w:t>
      </w:r>
      <m:oMath>
        <m:r>
          <m:t>β</m:t>
        </m:r>
      </m:oMath>
      <w:r>
        <w:t xml:space="preserve"> </w:t>
      </w:r>
      <w:r>
        <w:t xml:space="preserve">showed the opposite trend (</w:t>
      </w:r>
      <w:r>
        <w:rPr>
          <w:i/>
          <w:iCs/>
        </w:rPr>
        <w:t xml:space="preserve">p</w:t>
      </w:r>
      <w:r>
        <w:t xml:space="preserve"> </w:t>
      </w:r>
      <w:r>
        <w:t xml:space="preserve">&lt; 0.01) (</w:t>
      </w:r>
      <w:hyperlink w:anchor="fig-modelout">
        <w:r>
          <w:rPr>
            <w:rStyle w:val="Hyperlink"/>
          </w:rPr>
          <w:t xml:space="preserve">Fig. 3</w:t>
        </w:r>
      </w:hyperlink>
      <w:r>
        <w:t xml:space="preserve">B). The model demonstrated good overall performance, with relatively small residuals across most growth conditions (</w:t>
      </w:r>
      <w:hyperlink w:anchor="fig-modelout">
        <w:r>
          <w:rPr>
            <w:rStyle w:val="Hyperlink"/>
          </w:rPr>
          <w:t xml:space="preserve">Fig. 3</w:t>
        </w:r>
      </w:hyperlink>
      <w:r>
        <w:t xml:space="preserve">C). Under varying light conditions, the observed changes in the</w:t>
      </w:r>
      <w:r>
        <w:t xml:space="preserve"> </w:t>
      </w:r>
      <m:oMath>
        <m:r>
          <m:t>f</m:t>
        </m:r>
      </m:oMath>
      <w:r>
        <w:t xml:space="preserve"> </w:t>
      </w:r>
      <w:r>
        <w:t xml:space="preserve">values of the two cultured odor-producing cyanobacteria were well captured by the model-derived</w:t>
      </w:r>
      <w:r>
        <w:t xml:space="preserve"> </w:t>
      </w:r>
      <m:oMath>
        <m:r>
          <m:t>f</m:t>
        </m:r>
      </m:oMath>
      <w:r>
        <w:t xml:space="preserve"> </w:t>
      </w:r>
      <w:r>
        <w:t xml:space="preserve">value curves (</w:t>
      </w:r>
      <w:hyperlink w:anchor="fig-modelout">
        <w:r>
          <w:rPr>
            <w:rStyle w:val="Hyperlink"/>
          </w:rPr>
          <w:t xml:space="preserve">Fig. 3</w:t>
        </w:r>
      </w:hyperlink>
      <w:r>
        <w:t xml:space="preserve">D). Moreover, despite differences in species and experimental conditions, the</w:t>
      </w:r>
      <w:r>
        <w:t xml:space="preserve"> </w:t>
      </w:r>
      <m:oMath>
        <m:r>
          <m:t>f</m:t>
        </m:r>
      </m:oMath>
      <w:r>
        <w:t xml:space="preserve"> </w:t>
      </w:r>
      <w:r>
        <w:t xml:space="preserve">value trajectories exhibited similar patterns across treatments. Specifically, in the first phase, the</w:t>
      </w:r>
      <w:r>
        <w:t xml:space="preserve"> </w:t>
      </w:r>
      <m:oMath>
        <m:r>
          <m:t>f</m:t>
        </m:r>
      </m:oMath>
      <w:r>
        <w:t xml:space="preserve"> </w:t>
      </w:r>
      <w:r>
        <w:t xml:space="preserve">value declined and then increased, while in the second phase, it fluctuated before stabilizing at a relatively constant level. These patterns are consistent with the conceptual results (</w:t>
      </w:r>
      <w:hyperlink w:anchor="fig-modelout">
        <w:r>
          <w:rPr>
            <w:rStyle w:val="Hyperlink"/>
          </w:rPr>
          <w:t xml:space="preserve">Fig. 3</w:t>
        </w:r>
      </w:hyperlink>
      <w:r>
        <w:t xml:space="preserve">A, Fig. S7).</w:t>
      </w:r>
    </w:p>
    <w:tbl>
      <w:tblPr>
        <w:tblStyle w:val="Table"/>
        <w:tblW w:type="pct" w:w="5000"/>
        <w:tblLayout w:type="fixed"/>
        <w:tblLook w:firstRow="0" w:lastRow="0" w:firstColumn="0" w:lastColumn="0" w:noHBand="0" w:noVBand="0" w:val="0000"/>
      </w:tblPr>
      <w:tblGrid>
        <w:gridCol w:w="7920"/>
      </w:tblGrid>
      <w:tr>
        <w:tc>
          <w:tcPr/>
          <w:bookmarkStart w:id="47" w:name="fig-modelout"/>
          <w:p>
            <w:pPr>
              <w:pStyle w:val="Compact"/>
              <w:jc w:val="center"/>
            </w:pPr>
            <w:r>
              <w:drawing>
                <wp:inline>
                  <wp:extent cx="4027170" cy="4523779"/>
                  <wp:effectExtent b="0" l="0" r="0" t="0"/>
                  <wp:docPr descr="" title="" id="45" name="Picture"/>
                  <a:graphic>
                    <a:graphicData uri="http://schemas.openxmlformats.org/drawingml/2006/picture">
                      <pic:pic>
                        <pic:nvPicPr>
                          <pic:cNvPr descr="../figures/model.png" id="46" name="Picture"/>
                          <pic:cNvPicPr>
                            <a:picLocks noChangeArrowheads="1" noChangeAspect="1"/>
                          </pic:cNvPicPr>
                        </pic:nvPicPr>
                        <pic:blipFill>
                          <a:blip r:embed="rId44"/>
                          <a:stretch>
                            <a:fillRect/>
                          </a:stretch>
                        </pic:blipFill>
                        <pic:spPr bwMode="auto">
                          <a:xfrm>
                            <a:off x="0" y="0"/>
                            <a:ext cx="4027170" cy="4523779"/>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bookmarkEnd w:id="47"/>
        </w:tc>
      </w:tr>
    </w:tbl>
    <w:bookmarkEnd w:id="48"/>
    <w:bookmarkStart w:id="57" w:name="Xed6d8c1f4d8b1391431a40c68150cb8928cc594"/>
    <w:p>
      <w:pPr>
        <w:pStyle w:val="Heading2"/>
      </w:pPr>
      <w:r>
        <w:t xml:space="preserve">Spatiotemporal Variation of Odor-Producing Cyanobacteria Growth Stages in Lake Taihu</w:t>
      </w:r>
    </w:p>
    <w:p>
      <w:pPr>
        <w:pStyle w:val="FirstParagraph"/>
      </w:pPr>
      <w:r>
        <w:t xml:space="preserve">The dominant odor-producing cyanobacterium</w:t>
      </w:r>
      <w:r>
        <w:t xml:space="preserve"> </w:t>
      </w:r>
      <w:r>
        <w:rPr>
          <w:i/>
          <w:iCs/>
        </w:rPr>
        <w:t xml:space="preserve">Pseudanabaena</w:t>
      </w:r>
      <w:r>
        <w:t xml:space="preserve"> </w:t>
      </w:r>
      <w:r>
        <w:t xml:space="preserve">in Lake Taihu exhibited high cell densities from July to October, followed by a significant decline starting in November (Fig. S8). Among all regions, the northern and southeastern parts of the lake consistently showed higher</w:t>
      </w:r>
      <w:r>
        <w:t xml:space="preserve"> </w:t>
      </w:r>
      <w:r>
        <w:rPr>
          <w:i/>
          <w:iCs/>
        </w:rPr>
        <w:t xml:space="preserve">Pseudanabaena</w:t>
      </w:r>
      <w:r>
        <w:t xml:space="preserve"> </w:t>
      </w:r>
      <w:r>
        <w:t xml:space="preserve">cell densities. Notably, some sites in the northern region still recorded cell densities exceeding 10</w:t>
      </w:r>
      <w:r>
        <w:rPr>
          <w:vertAlign w:val="superscript"/>
        </w:rPr>
        <w:t xml:space="preserve">5</w:t>
      </w:r>
      <w:r>
        <w:t xml:space="preserve"> </w:t>
      </w:r>
      <w:r>
        <w:t xml:space="preserve">cells L</w:t>
      </w:r>
      <w:r>
        <w:rPr>
          <w:vertAlign w:val="superscript"/>
        </w:rPr>
        <w:t xml:space="preserve">-1</w:t>
      </w:r>
      <w:r>
        <w:t xml:space="preserve"> </w:t>
      </w:r>
      <w:r>
        <w:t xml:space="preserve">as late as December and the following January.</w:t>
      </w:r>
    </w:p>
    <w:p>
      <w:pPr>
        <w:pStyle w:val="BodyText"/>
      </w:pPr>
      <w:r>
        <w:t xml:space="preserve">The cultivation-based model was successfully applied to field data from sampling locations throughout Lake Taihu to characterize growth parameters and determine</w:t>
      </w:r>
      <w:r>
        <w:t xml:space="preserve"> </w:t>
      </w:r>
      <m:oMath>
        <m:r>
          <m:t>S</m:t>
        </m:r>
        <m:r>
          <m:t>t</m:t>
        </m:r>
      </m:oMath>
      <w:r>
        <w:t xml:space="preserve"> </w:t>
      </w:r>
      <w:r>
        <w:t xml:space="preserve">values for odor-producing cyanobacteria. Analysis revealed two distinct seasonal growth patterns across the lake. A primary growth phase developed from May through November as water temperatures increased, followed by a secondary, smaller-scale growth phase (</w:t>
      </w:r>
      <m:oMath>
        <m:r>
          <m:t>S</m:t>
        </m:r>
        <m:r>
          <m:t>t</m:t>
        </m:r>
      </m:oMath>
      <w:r>
        <w:t xml:space="preserve">) occurring between December and April after winter production (</w:t>
      </w:r>
      <w:hyperlink w:anchor="fig-period">
        <w:r>
          <w:rPr>
            <w:rStyle w:val="Hyperlink"/>
          </w:rPr>
          <w:t xml:space="preserve">Fig. 4</w:t>
        </w:r>
      </w:hyperlink>
      <w:r>
        <w:t xml:space="preserve">A).</w:t>
      </w:r>
    </w:p>
    <w:p>
      <w:pPr>
        <w:pStyle w:val="BodyText"/>
      </w:pPr>
      <w:r>
        <w:t xml:space="preserve">These alternating growth phases directly corresponded with the two annual peaks in MIB concentrations observed in the lake. Examination of algal growth stages across different cluster regions demonstrated strong synchronization between cyanobacterial growth dynamics and MIB outbreak events (</w:t>
      </w:r>
      <w:hyperlink w:anchor="fig-period">
        <w:r>
          <w:rPr>
            <w:rStyle w:val="Hyperlink"/>
          </w:rPr>
          <w:t xml:space="preserve">Fig. 4</w:t>
        </w:r>
      </w:hyperlink>
      <w:r>
        <w:t xml:space="preserve">B). The</w:t>
      </w:r>
      <w:r>
        <w:t xml:space="preserve"> </w:t>
      </w:r>
      <m:oMath>
        <m:r>
          <m:t>S</m:t>
        </m:r>
        <m:r>
          <m:t>t</m:t>
        </m:r>
      </m:oMath>
      <w:r>
        <w:t xml:space="preserve"> </w:t>
      </w:r>
      <w:r>
        <w:t xml:space="preserve">values proved particularly informative, as values approaching 0.5 reliably indicated when populations reached the inflection point of logarithmic growth - a critical threshold associated with elevated risk of substantial MIB release.</w:t>
      </w:r>
    </w:p>
    <w:tbl>
      <w:tblPr>
        <w:tblStyle w:val="Table"/>
        <w:tblW w:type="pct" w:w="5000"/>
        <w:tblLayout w:type="fixed"/>
        <w:tblLook w:firstRow="0" w:lastRow="0" w:firstColumn="0" w:lastColumn="0" w:noHBand="0" w:noVBand="0" w:val="0000"/>
      </w:tblPr>
      <w:tblGrid>
        <w:gridCol w:w="7920"/>
      </w:tblGrid>
      <w:tr>
        <w:tc>
          <w:tcPr/>
          <w:bookmarkStart w:id="52" w:name="fig-period"/>
          <w:p>
            <w:pPr>
              <w:pStyle w:val="Compact"/>
              <w:jc w:val="center"/>
            </w:pPr>
            <w:r>
              <w:drawing>
                <wp:inline>
                  <wp:extent cx="4602480" cy="4820503"/>
                  <wp:effectExtent b="0" l="0" r="0" t="0"/>
                  <wp:docPr descr="" title="" id="50" name="Picture"/>
                  <a:graphic>
                    <a:graphicData uri="http://schemas.openxmlformats.org/drawingml/2006/picture">
                      <pic:pic>
                        <pic:nvPicPr>
                          <pic:cNvPr descr="../figures/period_revised.png" id="51" name="Picture"/>
                          <pic:cNvPicPr>
                            <a:picLocks noChangeArrowheads="1" noChangeAspect="1"/>
                          </pic:cNvPicPr>
                        </pic:nvPicPr>
                        <pic:blipFill>
                          <a:blip r:embed="rId49"/>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of odor-producing cyanobacteria determined by the</w:t>
            </w:r>
            <w:r>
              <w:t xml:space="preserve"> </w:t>
            </w:r>
            <m:oMath>
              <m:r>
                <m:t>f</m:t>
              </m:r>
            </m:oMath>
            <w:r>
              <w:t xml:space="preserve"> </w:t>
            </w:r>
            <w:r>
              <w:t xml:space="preserve">model in the Lake Taihu (A) and different subregions (B).</w:t>
            </w:r>
          </w:p>
          <w:bookmarkEnd w:id="52"/>
        </w:tc>
      </w:tr>
    </w:tbl>
    <w:p>
      <w:pPr>
        <w:pStyle w:val="BodyText"/>
      </w:pPr>
      <w:r>
        <w:t xml:space="preserve">To enable broader application of the model across Lake Taihu, we compiled data on water temperature, solar radiation, and odor-producing cyanobacteria growth patterns under various conditions from multiple sources (Table S1, Fig. S9, Fig. S10). By analyzing these monthly variations, we established relationships between environmental factors (temperature and light intensity) and the intrinsic growth rate (</w:t>
      </w:r>
      <m:oMath>
        <m:r>
          <m:t>r</m:t>
        </m:r>
      </m:oMath>
      <w:r>
        <w:t xml:space="preserve">) of cyanobacteria. Our analysis revealed clear seasonal differences in the distribution of cyanobacterial growth stages (</w:t>
      </w:r>
      <w:hyperlink w:anchor="fig-periodandrisk">
        <w:r>
          <w:rPr>
            <w:rStyle w:val="Hyperlink"/>
          </w:rPr>
          <w:t xml:space="preserve">Fig. 5</w:t>
        </w:r>
      </w:hyperlink>
      <w:r>
        <w:t xml:space="preserve">A). From spring (March 2022) 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pPr>
        <w:pStyle w:val="BodyText"/>
      </w:pPr>
      <w:r>
        <w:t xml:space="preserve">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 This spatiotemporal progression of growth stages aligned closely with the observed patterns of MIB production throughout the study period.</w:t>
      </w:r>
    </w:p>
    <w:tbl>
      <w:tblPr>
        <w:tblStyle w:val="Table"/>
        <w:tblW w:type="pct" w:w="5000"/>
        <w:tblLayout w:type="fixed"/>
        <w:tblLook w:firstRow="0" w:lastRow="0" w:firstColumn="0" w:lastColumn="0" w:noHBand="0" w:noVBand="0" w:val="0000"/>
      </w:tblPr>
      <w:tblGrid>
        <w:gridCol w:w="7920"/>
      </w:tblGrid>
      <w:tr>
        <w:tc>
          <w:tcPr/>
          <w:bookmarkStart w:id="56" w:name="fig-periodandrisk"/>
          <w:p>
            <w:pPr>
              <w:pStyle w:val="Compact"/>
              <w:jc w:val="center"/>
            </w:pPr>
            <w:r>
              <w:drawing>
                <wp:inline>
                  <wp:extent cx="5753100" cy="5227075"/>
                  <wp:effectExtent b="0" l="0" r="0" t="0"/>
                  <wp:docPr descr="" title="" id="54" name="Picture"/>
                  <a:graphic>
                    <a:graphicData uri="http://schemas.openxmlformats.org/drawingml/2006/picture">
                      <pic:pic>
                        <pic:nvPicPr>
                          <pic:cNvPr descr="../figures/periodandrisk.png" id="55" name="Picture"/>
                          <pic:cNvPicPr>
                            <a:picLocks noChangeArrowheads="1" noChangeAspect="1"/>
                          </pic:cNvPicPr>
                        </pic:nvPicPr>
                        <pic:blipFill>
                          <a:blip r:embed="rId53"/>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Spatiotemporal distribution of (A) modeled growth stages of odor-producing cyanobacteria and (B) the risk of MIB occurrence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 in Lake Taihu.</w:t>
            </w:r>
          </w:p>
          <w:bookmarkEnd w:id="56"/>
        </w:tc>
      </w:tr>
    </w:tbl>
    <w:p>
      <w:pPr>
        <w:pStyle w:val="BodyText"/>
      </w:pPr>
      <w:r>
        <w:t xml:space="preserve">The relationship between odor-producing cyanobacteria growth stage (</w:t>
      </w:r>
      <m:oMath>
        <m:r>
          <m:t>S</m:t>
        </m:r>
        <m:r>
          <m:t>t</m:t>
        </m:r>
      </m:oMath>
      <w:r>
        <w:t xml:space="preserve">) and total MIB concentration (</w:t>
      </w:r>
      <m:oMath>
        <m:sSub>
          <m:e>
            <m:r>
              <m:t>t</m:t>
            </m:r>
          </m:e>
          <m:sub>
            <m:r>
              <m:rPr>
                <m:nor/>
                <m:sty m:val="p"/>
              </m:rPr>
              <m:t>MIB</m:t>
            </m:r>
          </m:sub>
        </m:sSub>
      </m:oMath>
      <w:r>
        <w:t xml:space="preserve">) was further analyzed to assess annual odor risk distribution in Lake Taihu (</w:t>
      </w:r>
      <w:hyperlink w:anchor="fig-periodandrisk">
        <w:r>
          <w:rPr>
            <w:rStyle w:val="Hyperlink"/>
          </w:rPr>
          <w:t xml:space="preserve">Fig. 5</w:t>
        </w:r>
      </w:hyperlink>
      <w:r>
        <w:t xml:space="preserve">B, Fig. S11). The analysis revealed similar spatial patterns for the probability of MIB exceeding both 10 ng L</w:t>
      </w:r>
      <w:r>
        <w:rPr>
          <w:vertAlign w:val="superscript"/>
        </w:rPr>
        <w:t xml:space="preserve">-1</w:t>
      </w:r>
      <w:r>
        <w:t xml:space="preserve"> </w:t>
      </w:r>
      <w:r>
        <w:t xml:space="preserve">and 50 ng L</w:t>
      </w:r>
      <w:r>
        <w:rPr>
          <w:vertAlign w:val="superscript"/>
        </w:rPr>
        <w:t xml:space="preserve">-1</w:t>
      </w:r>
      <w:r>
        <w:t xml:space="preserve"> </w:t>
      </w:r>
      <w:r>
        <w:t xml:space="preserve">thresholds, with the higher threshold’s probability typically being half that of the lower threshold.</w:t>
      </w:r>
    </w:p>
    <w:p>
      <w:pPr>
        <w:pStyle w:val="BodyText"/>
      </w:pPr>
      <w:r>
        <w:t xml:space="preserve">Seasonal risk patterns showed elevated MIB concentrations occurring during two main periods: spring (March-May) and late summer through autumn (July-October). June represented a transitional period between these two risk episodes, while from November to February, most of the lake showed minimal risk except for localized areas in the northern and southeastern regions.</w:t>
      </w:r>
    </w:p>
    <w:p>
      <w:pPr>
        <w:pStyle w:val="BodyText"/>
      </w:pPr>
      <w:r>
        <w:t xml:space="preserve">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bookmarkEnd w:id="57"/>
    <w:bookmarkStart w:id="62" w:name="X7f11efe20242f426365f47eb2d22c2af80164c2"/>
    <w:p>
      <w:pPr>
        <w:pStyle w:val="Heading2"/>
      </w:pPr>
      <w:r>
        <w:t xml:space="preserve">High-risk conditions for rapid MIB-producer growth and crowding-induced release</w:t>
      </w:r>
    </w:p>
    <w:p>
      <w:pPr>
        <w:pStyle w:val="FirstParagraph"/>
      </w:pPr>
      <w:r>
        <w:t xml:space="preserve">Understanding the environmental conditions that promote rapid growth and crowding of odor-producing cyanobacteria is essential for predicting MIB risk dynamics in source waters. Our analysis reveals that the inflection point time (</w:t>
      </w:r>
      <m:oMath>
        <m:sSub>
          <m:e>
            <m:r>
              <m:t>T</m:t>
            </m:r>
          </m:e>
          <m:sub>
            <m:r>
              <m:t>I</m:t>
            </m:r>
            <m:r>
              <m:t>P</m:t>
            </m:r>
          </m:sub>
        </m:sSub>
      </m:oMath>
      <w:r>
        <w:t xml:space="preserve">) from logistic growth modeling serves as a robust indicator of when cyanobacterial populations reach critical densities associated with elevated MIB release risk. Shorter</w:t>
      </w:r>
      <w:r>
        <w:t xml:space="preserve"> </w:t>
      </w:r>
      <m:oMath>
        <m:sSub>
          <m:e>
            <m:r>
              <m:t>T</m:t>
            </m:r>
          </m:e>
          <m:sub>
            <m:r>
              <m:t>I</m:t>
            </m:r>
            <m:r>
              <m:t>P</m:t>
            </m:r>
          </m:sub>
        </m:sSub>
      </m:oMath>
      <w:r>
        <w:t xml:space="preserve"> </w:t>
      </w:r>
      <w:r>
        <w:t xml:space="preserve">values indicate faster growth rates and earlier onset of crowding effects, ultimately leading to MIB release and higher extracellular concentrations.</w:t>
      </w:r>
    </w:p>
    <w:p>
      <w:pPr>
        <w:pStyle w:val="BodyText"/>
      </w:pPr>
      <w:r>
        <w:t xml:space="preserve">Field observations from Lake Taihu demonstrate that</w:t>
      </w:r>
      <w:r>
        <w:t xml:space="preserve"> </w:t>
      </w:r>
      <m:oMath>
        <m:sSub>
          <m:e>
            <m:r>
              <m:t>T</m:t>
            </m:r>
          </m:e>
          <m:sub>
            <m:r>
              <m:t>I</m:t>
            </m:r>
            <m:r>
              <m:t>P</m:t>
            </m:r>
          </m:sub>
        </m:sSub>
      </m:oMath>
      <w:r>
        <w:t xml:space="preserve"> </w:t>
      </w:r>
      <w:r>
        <w:t xml:space="preserve">shows consistent negative correlations with three key environmental factors: initial cell density, light availability, and temperature within typical lake conditions (15-35°C; 0.1-0.4 mol m</w:t>
      </w:r>
      <w:r>
        <w:rPr>
          <w:vertAlign w:val="superscript"/>
        </w:rPr>
        <w:t xml:space="preserve">-2</w:t>
      </w:r>
      <w:r>
        <w:t xml:space="preserve"> </w:t>
      </w:r>
      <w:r>
        <w:t xml:space="preserve">d</w:t>
      </w:r>
      <w:r>
        <w:rPr>
          <w:vertAlign w:val="superscript"/>
        </w:rPr>
        <w:t xml:space="preserve">-1</w:t>
      </w:r>
      <w:r>
        <w:t xml:space="preserve"> </w:t>
      </w:r>
      <w:r>
        <w:t xml:space="preserve">underwater light,</w:t>
      </w:r>
      <w:r>
        <w:t xml:space="preserve"> </w:t>
      </w:r>
      <w:hyperlink w:anchor="fig-lighttemp">
        <w:r>
          <w:rPr>
            <w:rStyle w:val="Hyperlink"/>
          </w:rPr>
          <w:t xml:space="preserve">Fig. 6</w:t>
        </w:r>
      </w:hyperlink>
      <w:r>
        <w:t xml:space="preserve">A). When carrying capacity remains stable, higher initial cell densities substantially shorten the growth stage duration, accelerating the progression to crowding conditions. Similar acceleration occurs under favorable light and temperature conditions, where increased light intensity and warmer temperatures enhance growth rates, reducing</w:t>
      </w:r>
      <w:r>
        <w:t xml:space="preserve"> </w:t>
      </w:r>
      <m:oMath>
        <m:sSub>
          <m:e>
            <m:r>
              <m:t>T</m:t>
            </m:r>
          </m:e>
          <m:sub>
            <m:r>
              <m:t>I</m:t>
            </m:r>
            <m:r>
              <m:t>P</m:t>
            </m:r>
          </m:sub>
        </m:sSub>
      </m:oMath>
      <w:r>
        <w:t xml:space="preserve"> </w:t>
      </w:r>
      <w:r>
        <w:t xml:space="preserve">and promoting earlier cell lysis and odor compound release.</w:t>
      </w:r>
    </w:p>
    <w:p>
      <w:pPr>
        <w:pStyle w:val="BodyText"/>
      </w:pPr>
      <w:r>
        <w:t xml:space="preserve">These relationships explain the characteristic bimodal pattern of MIB events in Lake Taihu, with risk peaks occurring at approximately 15°C and above 30°C under moderate light conditions (</w:t>
      </w:r>
      <w:hyperlink w:anchor="fig-lighttemp">
        <w:r>
          <w:rPr>
            <w:rStyle w:val="Hyperlink"/>
          </w:rPr>
          <w:t xml:space="preserve">Fig. 6</w:t>
        </w:r>
      </w:hyperlink>
      <w:r>
        <w:t xml:space="preserve">B). The model outputs confirm that temperature-mediated changes in cyanobacterial growth dynamics represent the primary driver of seasonal MIB risk variations, matching historical patterns of spring and summer odor outbreaks in the lake.</w:t>
      </w:r>
    </w:p>
    <w:tbl>
      <w:tblPr>
        <w:tblStyle w:val="Table"/>
        <w:tblW w:type="pct" w:w="5000"/>
        <w:tblLayout w:type="fixed"/>
        <w:tblLook w:firstRow="0" w:lastRow="0" w:firstColumn="0" w:lastColumn="0" w:noHBand="0" w:noVBand="0" w:val="0000"/>
      </w:tblPr>
      <w:tblGrid>
        <w:gridCol w:w="7920"/>
      </w:tblGrid>
      <w:tr>
        <w:tc>
          <w:tcPr/>
          <w:bookmarkStart w:id="61" w:name="fig-lighttemp"/>
          <w:p>
            <w:pPr>
              <w:pStyle w:val="Compact"/>
              <w:jc w:val="center"/>
            </w:pPr>
            <w:r>
              <w:drawing>
                <wp:inline>
                  <wp:extent cx="4602480" cy="3076117"/>
                  <wp:effectExtent b="0" l="0" r="0" t="0"/>
                  <wp:docPr descr="" title="" id="59" name="Picture"/>
                  <a:graphic>
                    <a:graphicData uri="http://schemas.openxmlformats.org/drawingml/2006/picture">
                      <pic:pic>
                        <pic:nvPicPr>
                          <pic:cNvPr descr="../figures/taihualgaerisk_revised.png" id="60" name="Picture"/>
                          <pic:cNvPicPr>
                            <a:picLocks noChangeArrowheads="1" noChangeAspect="1"/>
                          </pic:cNvPicPr>
                        </pic:nvPicPr>
                        <pic:blipFill>
                          <a:blip r:embed="rId58"/>
                          <a:stretch>
                            <a:fillRect/>
                          </a:stretch>
                        </pic:blipFill>
                        <pic:spPr bwMode="auto">
                          <a:xfrm>
                            <a:off x="0" y="0"/>
                            <a:ext cx="4602480" cy="3076117"/>
                          </a:xfrm>
                          <a:prstGeom prst="rect">
                            <a:avLst/>
                          </a:prstGeom>
                          <a:noFill/>
                          <a:ln w="9525">
                            <a:noFill/>
                            <a:headEnd/>
                            <a:tailEnd/>
                          </a:ln>
                        </pic:spPr>
                      </pic:pic>
                    </a:graphicData>
                  </a:graphic>
                </wp:inline>
              </w:drawing>
            </w:r>
          </w:p>
          <w:p>
            <w:pPr>
              <w:jc w:val="center"/>
            </w:pPr>
            <w:pPr>
              <w:jc w:val="start"/>
              <w:spacing w:before="200"/>
              <w:pStyle w:val="ImageCaption"/>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bookmarkEnd w:id="61"/>
        </w:tc>
      </w:tr>
    </w:tbl>
    <w:bookmarkEnd w:id="62"/>
    <w:bookmarkEnd w:id="63"/>
    <w:bookmarkStart w:id="70" w:name="discussion"/>
    <w:p>
      <w:pPr>
        <w:pStyle w:val="Heading1"/>
      </w:pPr>
      <w:r>
        <w:t xml:space="preserve">Discussion</w:t>
      </w:r>
    </w:p>
    <w:bookmarkStart w:id="68"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t xml:space="preserve"> </w:t>
      </w:r>
      <w:r>
        <w:t xml:space="preserve">[62,63]</w:t>
      </w:r>
      <w:r>
        <w:t xml:space="preserve">. In this study, we introduce the ratio</w:t>
      </w:r>
      <w:r>
        <w:t xml:space="preserve"> </w:t>
      </w:r>
      <m:oMath>
        <m:r>
          <m:t>f</m:t>
        </m:r>
      </m:oMath>
      <w:r>
        <w:t xml:space="preserve"> </w:t>
      </w:r>
      <w:r>
        <w:t xml:space="preserve">(</w:t>
      </w:r>
      <m:oMath>
        <m:sSub>
          <m:e>
            <m:r>
              <m:t>e</m:t>
            </m:r>
          </m:e>
          <m:sub>
            <m:r>
              <m:t>M</m:t>
            </m:r>
            <m:r>
              <m:t>I</m:t>
            </m:r>
            <m:r>
              <m:t>B</m:t>
            </m:r>
          </m:sub>
        </m:sSub>
        <m:r>
          <m:rPr>
            <m:sty m:val="p"/>
          </m:rPr>
          <m:t>/</m:t>
        </m:r>
        <m:sSub>
          <m:e>
            <m:r>
              <m:t>t</m:t>
            </m:r>
          </m:e>
          <m:sub>
            <m:r>
              <m:t>M</m:t>
            </m:r>
            <m:r>
              <m:t>I</m:t>
            </m:r>
            <m:r>
              <m:t>B</m:t>
            </m:r>
          </m:sub>
        </m:sSub>
      </m:oMath>
      <w:r>
        <w:t xml:space="preserve">) as an key indicator to represent the distribution pattern of MIB. Our findings show that</w:t>
      </w:r>
      <w:r>
        <w:t xml:space="preserve"> </w:t>
      </w:r>
      <m:oMath>
        <m:r>
          <m:t>f</m:t>
        </m:r>
      </m:oMath>
      <w:r>
        <w:t xml:space="preserve"> </w:t>
      </w:r>
      <w:r>
        <w:t xml:space="preserve">is not a constant, but follows a specific dynamic trend, which is mainly attributed to cell crowding effects (</w:t>
      </w:r>
      <w:hyperlink w:anchor="fig-sketch">
        <w:r>
          <w:rPr>
            <w:rStyle w:val="Hyperlink"/>
          </w:rPr>
          <w:t xml:space="preserve">Fig. 7</w:t>
        </w:r>
      </w:hyperlink>
      <w:r>
        <w:t xml:space="preserve">). After synthesis, MIB is primarily bound to cytoplasmic and soluble protein fractions within cyanobacterial cells</w:t>
      </w:r>
      <w:r>
        <w:t xml:space="preserve"> </w:t>
      </w:r>
      <w:r>
        <w:t xml:space="preserve">[64]</w:t>
      </w:r>
      <w:r>
        <w:t xml:space="preserve">. The major mechanism of MIB release is cell lysis, occurring either through programmed cell death or mechanical rupture of the cell wall</w:t>
      </w:r>
      <w:r>
        <w:t xml:space="preserve"> </w:t>
      </w:r>
      <w:r>
        <w:t xml:space="preserve">[25,27,28,36]</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As cell growth progresses toward the stationary phase, environmental cell density increases, leading to intensified crowding effects. These conditions exacerbate cell damage and apoptosis, causing a larger proportion of MIB to be released into the surrounding water</w:t>
      </w:r>
      <w:r>
        <w:t xml:space="preserve"> </w:t>
      </w:r>
      <w:r>
        <w:t xml:space="preserve">[65]</w:t>
      </w:r>
      <w:r>
        <w:t xml:space="preserve">.</w:t>
      </w:r>
    </w:p>
    <w:tbl>
      <w:tblPr>
        <w:tblStyle w:val="Table"/>
        <w:tblW w:type="pct" w:w="5000"/>
        <w:tblLayout w:type="fixed"/>
        <w:tblLook w:firstRow="0" w:lastRow="0" w:firstColumn="0" w:lastColumn="0" w:noHBand="0" w:noVBand="0" w:val="0000"/>
      </w:tblPr>
      <w:tblGrid>
        <w:gridCol w:w="7920"/>
      </w:tblGrid>
      <w:tr>
        <w:tc>
          <w:tcPr/>
          <w:bookmarkStart w:id="67" w:name="fig-sketch"/>
          <w:p>
            <w:pPr>
              <w:pStyle w:val="Compact"/>
              <w:jc w:val="center"/>
            </w:pPr>
            <w:r>
              <w:drawing>
                <wp:inline>
                  <wp:extent cx="4602480" cy="2314640"/>
                  <wp:effectExtent b="0" l="0" r="0" t="0"/>
                  <wp:docPr descr="" title="" id="65" name="Picture"/>
                  <a:graphic>
                    <a:graphicData uri="http://schemas.openxmlformats.org/drawingml/2006/picture">
                      <pic:pic>
                        <pic:nvPicPr>
                          <pic:cNvPr descr="../figures/sketch.png" id="66" name="Picture"/>
                          <pic:cNvPicPr>
                            <a:picLocks noChangeArrowheads="1" noChangeAspect="1"/>
                          </pic:cNvPicPr>
                        </pic:nvPicPr>
                        <pic:blipFill>
                          <a:blip r:embed="rId64"/>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7"/>
        </w:tc>
      </w:tr>
    </w:tbl>
    <w:p>
      <w:pPr>
        <w:pStyle w:val="BodyText"/>
      </w:pPr>
      <w:r>
        <w:t xml:space="preserve">Our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log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log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w:t>
      </w:r>
      <w:r>
        <w:t xml:space="preserve"> </w:t>
      </w:r>
      <m:oMath>
        <m:sSub>
          <m:e>
            <m:r>
              <m:t>e</m:t>
            </m:r>
          </m:e>
          <m:sub>
            <m:r>
              <m:rPr>
                <m:nor/>
                <m:sty m:val="p"/>
              </m:rPr>
              <m:t>MIB</m:t>
            </m:r>
          </m:sub>
        </m:sSub>
      </m:oMath>
      <w:r>
        <w:t xml:space="preserve"> </w:t>
      </w:r>
      <w:r>
        <w:t xml:space="preserve">in the environment. This trend is consistent with observations reported in previous studies</w:t>
      </w:r>
      <w:r>
        <w:t xml:space="preserve"> </w:t>
      </w:r>
      <w:r>
        <w:t xml:space="preserve">[25,27]</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bookmarkEnd w:id="68"/>
    <w:bookmarkStart w:id="69" w:name="Xbf386708ce9083d7e74d087101d82064fff5aed"/>
    <w:p>
      <w:pPr>
        <w:pStyle w:val="Heading2"/>
      </w:pPr>
      <w:r>
        <w:t xml:space="preserve">Field-Based Analysis of MIB Dynamics in Relation to Cyanobacterial Growth in Lake Taihu</w:t>
      </w:r>
    </w:p>
    <w:p>
      <w:pPr>
        <w:pStyle w:val="FirstParagraph"/>
      </w:pPr>
      <w:r>
        <w:t xml:space="preserve">Analysis of intracellular and extracellular MIB distribution patterns, influenced by cell crowding effects, provides insights into the growth dynamics and odor production processes of MIB-producing cyanobacteria in Lake Taihu. Lake-wide distribution of</w:t>
      </w:r>
      <w:r>
        <w:t xml:space="preserve"> </w:t>
      </w:r>
      <m:oMath>
        <m:r>
          <m:t>S</m:t>
        </m:r>
        <m:r>
          <m:t>t</m:t>
        </m:r>
      </m:oMath>
      <w:r>
        <w:t xml:space="preserve"> </w:t>
      </w:r>
      <w:r>
        <w:t xml:space="preserve">values revealed that cyanobacterial growth initiates during the winter-spring transition in specific areas, beginning with slow early-phase growth that continues until early summer, followed by accelerated growth through late autumn. This bimodal MIB pattern shows temporal variations across years. For example, monitoring data from 2019 and 2021 documented smaller May peaks (predominantly in the southeastern region) alongside major August peaks</w:t>
      </w:r>
      <w:r>
        <w:t xml:space="preserve"> </w:t>
      </w:r>
      <w:r>
        <w:t xml:space="preserve">[66,67]</w:t>
      </w:r>
      <w:r>
        <w:t xml:space="preserve">. Temperature and light availability emerge as the principal environmental regulators of this pattern. Summer conditions typically optimize growth for</w:t>
      </w:r>
      <w:r>
        <w:t xml:space="preserve"> </w:t>
      </w:r>
      <w:r>
        <w:rPr>
          <w:i/>
          <w:iCs/>
        </w:rPr>
        <w:t xml:space="preserve">Pseudanabaena</w:t>
      </w:r>
      <w:r>
        <w:t xml:space="preserve">, a key filamentous MIB producer</w:t>
      </w:r>
      <w:r>
        <w:t xml:space="preserve"> </w:t>
      </w:r>
      <w:r>
        <w:t xml:space="preserve">[67–70]</w:t>
      </w:r>
      <w:r>
        <w:t xml:space="preserve">. When surface water temperatures exceed 20°C in April-May, MIB-producing cyanobacteria achieve substantial growth rates</w:t>
      </w:r>
      <w:r>
        <w:t xml:space="preserve"> </w:t>
      </w:r>
      <w:r>
        <w:t xml:space="preserve">[71–73]</w:t>
      </w:r>
      <w:r>
        <w:t xml:space="preserve">, benefiting from minimal competition and resulting in spring MIB peaks. Subsequent</w:t>
      </w:r>
      <w:r>
        <w:t xml:space="preserve"> </w:t>
      </w:r>
      <w:r>
        <w:rPr>
          <w:i/>
          <w:iCs/>
        </w:rPr>
        <w:t xml:space="preserve">Microcystis</w:t>
      </w:r>
      <w:r>
        <w:t xml:space="preserve"> </w:t>
      </w:r>
      <w:r>
        <w:t xml:space="preserve">blooms (May-July) reduce light availability in subsurface layers where filamentous MIB producers reside, temporarily suppressing their growth</w:t>
      </w:r>
      <w:r>
        <w:t xml:space="preserve"> </w:t>
      </w:r>
      <w:r>
        <w:t xml:space="preserve">[70,74]</w:t>
      </w:r>
      <w:r>
        <w:t xml:space="preserve">. This ecological succession aligns with observed microcystin concentration trends</w:t>
      </w:r>
      <w:r>
        <w:t xml:space="preserve"> </w:t>
      </w:r>
      <w:r>
        <w:t xml:space="preserve">[66]</w:t>
      </w:r>
      <w:r>
        <w:t xml:space="preserve"> </w:t>
      </w:r>
      <w:r>
        <w:t xml:space="preserve">and documented phytoplankton community shifts</w:t>
      </w:r>
      <w:r>
        <w:t xml:space="preserve"> </w:t>
      </w:r>
      <w:r>
        <w:t xml:space="preserve">[75]</w:t>
      </w:r>
      <w:r>
        <w:t xml:space="preserve">.</w:t>
      </w:r>
    </w:p>
    <w:p>
      <w:pPr>
        <w:pStyle w:val="BodyText"/>
      </w:pPr>
      <w:r>
        <w:t xml:space="preserve">High-risk zone analysis reveals distinct spatiotemporal patterns between northern and southeastern regions. The southeastern zone showed modest April increases followed by July peaks persisting through September, while the northern region exhibited stronger spring peaks with sustained MIB levels (&gt;10 ng L</w:t>
      </w:r>
      <w:r>
        <w:rPr>
          <w:vertAlign w:val="superscript"/>
        </w:rPr>
        <w:t xml:space="preserve">-1</w:t>
      </w:r>
      <w:r>
        <w:t xml:space="preserve">) between major outbreaks. These differences reflect contrasting cyanobacterial growth dynamics: southeastern populations transitioned from late-growth phase in March to early growth by April, suggesting significant cell mortality and limited MIB production potential, whereas northern populations maintained log-phase growth through spring with correspondingly higher production potential. The observed north-to-south progression of odor risk zones represents a previously unreported spatial-temporal pattern in Lake Taihu’s MIB dynamics.</w:t>
      </w:r>
    </w:p>
    <w:p>
      <w:pPr>
        <w:pStyle w:val="BodyText"/>
      </w:pPr>
      <w:r>
        <w:t xml:space="preserve">Species-specific analyses demonstrate considerable variation in growth and MIB production characteristics. Model parameterization revealed significant interspecies differences (</w:t>
      </w:r>
      <w:hyperlink w:anchor="fig-modelconcept">
        <w:r>
          <w:rPr>
            <w:rStyle w:val="Hyperlink"/>
          </w:rPr>
          <w:t xml:space="preserve">Fig. 2</w:t>
        </w:r>
      </w:hyperlink>
      <w:r>
        <w:t xml:space="preserve">E), attributable to variations in intrinsic growth rates and MIB production efficiencies. Comparative studies show</w:t>
      </w:r>
      <w:r>
        <w:t xml:space="preserve"> </w:t>
      </w:r>
      <w:r>
        <w:rPr>
          <w:i/>
          <w:iCs/>
        </w:rPr>
        <w:t xml:space="preserve">Pseudanabaena</w:t>
      </w:r>
      <w:r>
        <w:t xml:space="preserve"> </w:t>
      </w:r>
      <w:r>
        <w:t xml:space="preserve">achieves maximum cellular MIB yields of 0.15 ± 0.04 pg cell</w:t>
      </w:r>
      <w:r>
        <w:rPr>
          <w:vertAlign w:val="superscript"/>
        </w:rPr>
        <w:t xml:space="preserve">-1</w:t>
      </w:r>
      <w:r>
        <w:t xml:space="preserve"> </w:t>
      </w:r>
      <w:r>
        <w:t xml:space="preserve">under 85 μmol photons m</w:t>
      </w:r>
      <w:r>
        <w:rPr>
          <w:vertAlign w:val="superscript"/>
        </w:rPr>
        <w:t xml:space="preserve">-2</w:t>
      </w:r>
      <w:r>
        <w:t xml:space="preserve"> </w:t>
      </w:r>
      <w:r>
        <w:t xml:space="preserve">s</w:t>
      </w:r>
      <w:r>
        <w:rPr>
          <w:vertAlign w:val="superscript"/>
        </w:rPr>
        <w:t xml:space="preserve">-1</w:t>
      </w:r>
      <w:r>
        <w:t xml:space="preserve"> </w:t>
      </w:r>
      <w:r>
        <w:t xml:space="preserve">[18]</w:t>
      </w:r>
      <w:r>
        <w:t xml:space="preserve">, while</w:t>
      </w:r>
      <w:r>
        <w:t xml:space="preserve"> </w:t>
      </w:r>
      <w:r>
        <w:rPr>
          <w:i/>
          <w:iCs/>
        </w:rPr>
        <w:t xml:space="preserve">Planktothricoides</w:t>
      </w:r>
      <w:r>
        <w:t xml:space="preserve"> </w:t>
      </w:r>
      <w:r>
        <w:t xml:space="preserve">reaches 0.22 ± 0.02 pg cell</w:t>
      </w:r>
      <w:r>
        <w:rPr>
          <w:vertAlign w:val="superscript"/>
        </w:rPr>
        <w:t xml:space="preserve">-1</w:t>
      </w:r>
      <w:r>
        <w:t xml:space="preserve"> </w:t>
      </w:r>
      <w:r>
        <w:t xml:space="preserve">under similar conditions</w:t>
      </w:r>
      <w:r>
        <w:t xml:space="preserve"> </w:t>
      </w:r>
      <w:r>
        <w:t xml:space="preserve">[33]</w:t>
      </w:r>
      <w:r>
        <w:t xml:space="preserve">. These physiological differences, combined with variations in population growth inflection points (</w:t>
      </w:r>
      <m:oMath>
        <m:sSub>
          <m:e>
            <m:r>
              <m:t>T</m:t>
            </m:r>
          </m:e>
          <m:sub>
            <m:r>
              <m:t>I</m:t>
            </m:r>
            <m:r>
              <m:t>P</m:t>
            </m:r>
          </m:sub>
        </m:sSub>
      </m:oMath>
      <w:r>
        <w:t xml:space="preserve">) across studies (Fig. S12), contribute to species-specific impacts on odor event dynamics.</w:t>
      </w:r>
    </w:p>
    <w:bookmarkEnd w:id="69"/>
    <w:bookmarkEnd w:id="70"/>
    <w:bookmarkStart w:id="71"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bookmarkEnd w:id="71"/>
    <w:bookmarkStart w:id="72" w:name="environmental-implication"/>
    <w:p>
      <w:pPr>
        <w:pStyle w:val="Heading1"/>
      </w:pPr>
      <w:r>
        <w:t xml:space="preserve">Environmental Implication</w:t>
      </w:r>
    </w:p>
    <w:p>
      <w:pPr>
        <w:pStyle w:val="FirstParagraph"/>
      </w:pPr>
      <w:r>
        <w:t xml:space="preserve">This study presents a mechanistic model linking cyanobacterial growth stages with the release and partitioning of 2-methylisoborneol (MIB) into intracellular and extracellular fractions. Applied to Lake Taihu, the model enables spatial prediction of odor risk and informs targeted water treatment strategies. By distinguishing dominant MIB forms, it supports the selection of appropriate control measures—coagulation-based cell removal or advanced oxidation for dissolved MIB. This framework enhances early warning capability and provides actionable guidance for managing taste and odor issues in freshwater systems affected by cyanobacterial blooms.</w:t>
      </w:r>
    </w:p>
    <w:p>
      <w:r>
        <w:br w:type="page"/>
      </w:r>
    </w:p>
    <w:bookmarkEnd w:id="72"/>
    <w:bookmarkStart w:id="73" w:name="credit-authorship-contribution-statement"/>
    <w:p>
      <w:pPr>
        <w:pStyle w:val="Heading1"/>
      </w:pPr>
      <w:r>
        <w:t xml:space="preserve">CRediT authorship contribution statement</w:t>
      </w:r>
    </w:p>
    <w:p>
      <w:pPr>
        <w:pStyle w:val="FirstParagraph"/>
      </w:pPr>
      <w:r>
        <w:rPr>
          <w:b/>
          <w:bCs/>
        </w:rPr>
        <w:t xml:space="preserve">Yufan Ai:</w:t>
      </w:r>
      <w:r>
        <w:t xml:space="preserve"> </w:t>
      </w:r>
      <w:r>
        <w:t xml:space="preserve">Conceptualization, Methodology, Data curation, Formal analysis, Writing – original draft, Writing – review &amp; editing.</w:t>
      </w:r>
      <w:r>
        <w:t xml:space="preserve"> </w:t>
      </w:r>
      <w:r>
        <w:rPr>
          <w:b/>
          <w:bCs/>
        </w:rPr>
        <w:t xml:space="preserve">Yongnian Wu:</w:t>
      </w:r>
      <w:r>
        <w:t xml:space="preserve"> </w:t>
      </w:r>
      <w:r>
        <w:t xml:space="preserve">Methodology, Data curation, Writing – original draft, Writing – review &amp; editing.</w:t>
      </w:r>
      <w:r>
        <w:t xml:space="preserve"> </w:t>
      </w:r>
      <w:r>
        <w:rPr>
          <w:b/>
          <w:bCs/>
        </w:rPr>
        <w:t xml:space="preserve">Ming Su:</w:t>
      </w:r>
      <w:r>
        <w:t xml:space="preserve"> </w:t>
      </w:r>
      <w:r>
        <w:t xml:space="preserve">Conceptualization, Formal analysis, Project administration, Supervision, Visualization, Writing – original draft, Writing – review &amp; editing.</w:t>
      </w:r>
      <w:r>
        <w:t xml:space="preserve"> </w:t>
      </w:r>
      <w:r>
        <w:rPr>
          <w:b/>
          <w:bCs/>
        </w:rPr>
        <w:t xml:space="preserve">Yuying Gui:</w:t>
      </w:r>
      <w:r>
        <w:t xml:space="preserve"> </w:t>
      </w:r>
      <w:r>
        <w:t xml:space="preserve">Methodology, Formal analysis.</w:t>
      </w:r>
      <w:r>
        <w:t xml:space="preserve"> </w:t>
      </w:r>
      <w:r>
        <w:rPr>
          <w:b/>
          <w:bCs/>
        </w:rPr>
        <w:t xml:space="preserve">Yifan Du:</w:t>
      </w:r>
      <w:r>
        <w:t xml:space="preserve"> </w:t>
      </w:r>
      <w:r>
        <w:t xml:space="preserve">Methodology, Formal analysis.</w:t>
      </w:r>
      <w:r>
        <w:t xml:space="preserve"> </w:t>
      </w:r>
      <w:r>
        <w:rPr>
          <w:b/>
          <w:bCs/>
        </w:rPr>
        <w:t xml:space="preserve">Jiao Fang:</w:t>
      </w:r>
      <w:r>
        <w:t xml:space="preserve"> </w:t>
      </w:r>
      <w:r>
        <w:t xml:space="preserve">Methodology, Formal analysis.</w:t>
      </w:r>
      <w:r>
        <w:t xml:space="preserve"> </w:t>
      </w:r>
      <w:r>
        <w:rPr>
          <w:b/>
          <w:bCs/>
        </w:rPr>
        <w:t xml:space="preserve">Tengxin Cao:</w:t>
      </w:r>
      <w:r>
        <w:t xml:space="preserve"> </w:t>
      </w:r>
      <w:r>
        <w:t xml:space="preserve">Methodology, Formal analysis.</w:t>
      </w:r>
      <w:r>
        <w:t xml:space="preserve"> </w:t>
      </w:r>
      <w:r>
        <w:rPr>
          <w:b/>
          <w:bCs/>
        </w:rPr>
        <w:t xml:space="preserve">Min Yang:</w:t>
      </w:r>
      <w:r>
        <w:t xml:space="preserve"> </w:t>
      </w:r>
      <w:r>
        <w:t xml:space="preserve">Conceptualization, Supervision, Validation, Project administration, Resources.</w:t>
      </w:r>
    </w:p>
    <w:bookmarkEnd w:id="73"/>
    <w:bookmarkStart w:id="74" w:name="declaration-of-competing-interest"/>
    <w:p>
      <w:pPr>
        <w:pStyle w:val="Heading1"/>
      </w:pPr>
      <w:r>
        <w:t xml:space="preserve">Declaration of competing interest</w:t>
      </w:r>
    </w:p>
    <w:p>
      <w:pPr>
        <w:pStyle w:val="FirstParagraph"/>
      </w:pPr>
      <w:r>
        <w:t xml:space="preserve">The authors declare no competing financial interest.</w:t>
      </w:r>
    </w:p>
    <w:bookmarkEnd w:id="74"/>
    <w:bookmarkStart w:id="75" w:name="acknowledgments"/>
    <w:p>
      <w:pPr>
        <w:pStyle w:val="Heading1"/>
      </w:pPr>
      <w:r>
        <w:t xml:space="preserve">Acknowledgments</w:t>
      </w:r>
    </w:p>
    <w:p>
      <w:pPr>
        <w:pStyle w:val="FirstParagraph"/>
      </w:pPr>
      <w:r>
        <w:t xml:space="preserve">This work was financially supported by the National Natural Science Foundation of China (52030002, W2412156, 51878649) and the National Key R&amp;D Program of China (2023YFC3207804, 2022YFC3203603), Shanghai Municipal Investment (Group) Corporation (CTKY‑ZDZX‑2023‑004).</w:t>
      </w:r>
    </w:p>
    <w:bookmarkEnd w:id="75"/>
    <w:bookmarkStart w:id="76" w:name="supplementary-materials"/>
    <w:p>
      <w:pPr>
        <w:pStyle w:val="Heading1"/>
      </w:pPr>
      <w:r>
        <w:t xml:space="preserve">Supplementary materials</w:t>
      </w:r>
    </w:p>
    <w:p>
      <w:pPr>
        <w:pStyle w:val="FirstParagraph"/>
      </w:pPr>
      <w:r>
        <w:t xml:space="preserve">Supplementary material associated with this article can be found, in the online version, at doi:XXX.</w:t>
      </w:r>
    </w:p>
    <w:bookmarkEnd w:id="76"/>
    <w:bookmarkStart w:id="78" w:name="data-availability"/>
    <w:p>
      <w:pPr>
        <w:pStyle w:val="Heading1"/>
      </w:pPr>
      <w:r>
        <w:t xml:space="preserve">Data availability</w:t>
      </w:r>
    </w:p>
    <w:p>
      <w:pPr>
        <w:pStyle w:val="FirstParagraph"/>
      </w:pPr>
      <w:r>
        <w:t xml:space="preserve">Data used for analysis will be made available on request. The R scripts for analyses of this study is available on</w:t>
      </w:r>
      <w:r>
        <w:t xml:space="preserve"> </w:t>
      </w:r>
      <w:hyperlink r:id="rId77">
        <w:r>
          <w:rPr>
            <w:rStyle w:val="Hyperlink"/>
          </w:rPr>
          <w:t xml:space="preserve">https://git.drwater.net/codes/ai2025cyanobacterial.git</w:t>
        </w:r>
      </w:hyperlink>
    </w:p>
    <w:p>
      <w:r>
        <w:br w:type="page"/>
      </w:r>
    </w:p>
    <w:bookmarkEnd w:id="78"/>
    <w:bookmarkStart w:id="221" w:name="references"/>
    <w:p>
      <w:pPr>
        <w:pStyle w:val="Heading1"/>
      </w:pPr>
      <w:r>
        <w:t xml:space="preserve">References</w:t>
      </w:r>
    </w:p>
    <w:bookmarkStart w:id="220" w:name="refs"/>
    <w:bookmarkStart w:id="79" w:name="ref-who2011guidelines"/>
    <w:p>
      <w:pPr>
        <w:pStyle w:val="Bibliography"/>
      </w:pPr>
      <w:r>
        <w:t xml:space="preserve">[1]</w:t>
      </w:r>
      <w:r>
        <w:t xml:space="preserve"> </w:t>
      </w:r>
      <w:r>
        <w:t xml:space="preserve">	</w:t>
      </w:r>
      <w:r>
        <w:t xml:space="preserve">W.H.O. WHO, Guidelines for</w:t>
      </w:r>
      <w:r>
        <w:t xml:space="preserve"> </w:t>
      </w:r>
      <w:r>
        <w:t xml:space="preserve">Drinking</w:t>
      </w:r>
      <w:r>
        <w:t xml:space="preserve">-</w:t>
      </w:r>
      <w:r>
        <w:t xml:space="preserve">Water Quality</w:t>
      </w:r>
      <w:r>
        <w:t xml:space="preserve">,</w:t>
      </w:r>
      <w:r>
        <w:t xml:space="preserve"> </w:t>
      </w:r>
      <w:r>
        <w:t xml:space="preserve">World Health Organization</w:t>
      </w:r>
      <w:r>
        <w:t xml:space="preserve">, Geneva, Switzerland, 2011.</w:t>
      </w:r>
    </w:p>
    <w:bookmarkEnd w:id="79"/>
    <w:bookmarkStart w:id="81" w:name="ref-devi2021quantitative"/>
    <w:p>
      <w:pPr>
        <w:pStyle w:val="Bibliography"/>
      </w:pPr>
      <w:r>
        <w:t xml:space="preserve">[2]</w:t>
      </w:r>
      <w:r>
        <w:t xml:space="preserve"> </w:t>
      </w:r>
      <w:r>
        <w:t xml:space="preserve">	</w:t>
      </w:r>
      <w:r>
        <w:t xml:space="preserve">A. Devi, Y.-T. Chiu, H.-T. Hsueh, T.-F. Lin, Quantitative PCR based detection system for cyanobacterial geosmin/2-methylisoborneol (2-</w:t>
      </w:r>
      <w:r>
        <w:t xml:space="preserve">MIB</w:t>
      </w:r>
      <w:r>
        <w:t xml:space="preserve">) events in drinking water sources: Current status and challenges, Water Research 188 (2021) 116478. https://doi.org/</w:t>
      </w:r>
      <w:hyperlink r:id="rId80">
        <w:r>
          <w:rPr>
            <w:rStyle w:val="Hyperlink"/>
          </w:rPr>
          <w:t xml:space="preserve">10.1016/j.watres.2020.116478</w:t>
        </w:r>
      </w:hyperlink>
      <w:r>
        <w:t xml:space="preserve">.</w:t>
      </w:r>
    </w:p>
    <w:bookmarkEnd w:id="81"/>
    <w:bookmarkStart w:id="83" w:name="ref-suurnakki2015identification"/>
    <w:p>
      <w:pPr>
        <w:pStyle w:val="Bibliography"/>
      </w:pPr>
      <w:r>
        <w:t xml:space="preserve">[3]</w:t>
      </w:r>
      <w:r>
        <w:t xml:space="preserve"> </w:t>
      </w:r>
      <w:r>
        <w:t xml:space="preserve">	</w:t>
      </w:r>
      <w:r>
        <w:t xml:space="preserve">S. Suurnäkki, G.V. Gomez-saez, A. Rantala-ylinen, J. Jokela, D.P. Fewer, K. Sivonen, Identification of geosmin and 2-methylisoborneol in cyanobacteria and molecular detection methods for the producers of these compounds, Water Research 68 (2015) 56–66. https://doi.org/</w:t>
      </w:r>
      <w:hyperlink r:id="rId82">
        <w:r>
          <w:rPr>
            <w:rStyle w:val="Hyperlink"/>
          </w:rPr>
          <w:t xml:space="preserve">10.1016/j.watres.2014.09.037</w:t>
        </w:r>
      </w:hyperlink>
      <w:r>
        <w:t xml:space="preserve">.</w:t>
      </w:r>
    </w:p>
    <w:bookmarkEnd w:id="83"/>
    <w:bookmarkStart w:id="85" w:name="ref-izaguirre2004a"/>
    <w:p>
      <w:pPr>
        <w:pStyle w:val="Bibliography"/>
      </w:pPr>
      <w:r>
        <w:t xml:space="preserve">[4]</w:t>
      </w:r>
      <w:r>
        <w:t xml:space="preserve"> </w:t>
      </w:r>
      <w:r>
        <w:t xml:space="preserve">	</w:t>
      </w:r>
      <w:r>
        <w:t xml:space="preserve">G. Izaguirre, W.D. Taylor, A guide to geosmin- and MIB-producing cyanobacteria in the united states, Water Science and Technology 49 (2004) 19–24. https://doi.org/</w:t>
      </w:r>
      <w:hyperlink r:id="rId84">
        <w:r>
          <w:rPr>
            <w:rStyle w:val="Hyperlink"/>
          </w:rPr>
          <w:t xml:space="preserve">10.2166/wst.2004.0524</w:t>
        </w:r>
      </w:hyperlink>
      <w:r>
        <w:t xml:space="preserve">.</w:t>
      </w:r>
    </w:p>
    <w:bookmarkEnd w:id="85"/>
    <w:bookmarkStart w:id="87" w:name="ref-wang2023risk"/>
    <w:p>
      <w:pPr>
        <w:pStyle w:val="Bibliography"/>
      </w:pPr>
      <w:r>
        <w:t xml:space="preserve">[5]</w:t>
      </w:r>
      <w:r>
        <w:t xml:space="preserve"> </w:t>
      </w:r>
      <w:r>
        <w:t xml:space="preserve">	</w:t>
      </w:r>
      <w:r>
        <w:t xml:space="preserve">C. Wang, W. An, Y. Zhao, A.M. Dietrich, D.L. Gallagher, Y. Zhang, Y. Qian, J. Yu, M. Yang, Risk assessment for 2-MIB odor complaint in drinking water based on zero-inflated log-normal model, ACS ES&amp;T Water 4 (2023) 146–154. https://doi.org/</w:t>
      </w:r>
      <w:hyperlink r:id="rId86">
        <w:r>
          <w:rPr>
            <w:rStyle w:val="Hyperlink"/>
          </w:rPr>
          <w:t xml:space="preserve">10.1021/acsestwater.3c00477</w:t>
        </w:r>
      </w:hyperlink>
      <w:r>
        <w:t xml:space="preserve">.</w:t>
      </w:r>
    </w:p>
    <w:bookmarkEnd w:id="87"/>
    <w:bookmarkStart w:id="89" w:name="ref-suffet1999drinking"/>
    <w:p>
      <w:pPr>
        <w:pStyle w:val="Bibliography"/>
      </w:pPr>
      <w:r>
        <w:t xml:space="preserve">[6]</w:t>
      </w:r>
      <w:r>
        <w:t xml:space="preserve"> </w:t>
      </w:r>
      <w:r>
        <w:t xml:space="preserve">	</w:t>
      </w:r>
      <w:r>
        <w:t xml:space="preserve">I.h. (mel) Suffet, D. Khiari, A. Bruchet, The drinking water taste and odor wheel for the millennium: Beyond geosmin and 2-methylisoborneol, Water Science and Technology 40 (1999) 1–13. https://doi.org/</w:t>
      </w:r>
      <w:hyperlink r:id="rId88">
        <w:r>
          <w:rPr>
            <w:rStyle w:val="Hyperlink"/>
          </w:rPr>
          <w:t xml:space="preserve">10.1016/s0273-1223(99)00531-4</w:t>
        </w:r>
      </w:hyperlink>
      <w:r>
        <w:t xml:space="preserve">.</w:t>
      </w:r>
    </w:p>
    <w:bookmarkEnd w:id="89"/>
    <w:bookmarkStart w:id="91" w:name="ref-gillogly1999a"/>
    <w:p>
      <w:pPr>
        <w:pStyle w:val="Bibliography"/>
      </w:pPr>
      <w:r>
        <w:t xml:space="preserve">[7]</w:t>
      </w:r>
      <w:r>
        <w:t xml:space="preserve"> </w:t>
      </w:r>
      <w:r>
        <w:t xml:space="preserve">	</w:t>
      </w:r>
      <w:r>
        <w:t xml:space="preserve">T.E.T. Gillogly, V.L. Snoeyink, G. Newcombe, J.R. Elarde, A simplified method to determine the powdered activated carbon dose required to remove methylisoborneol, Water Science and Technology 40 (1999) 59–64. https://doi.org/</w:t>
      </w:r>
      <w:hyperlink r:id="rId90">
        <w:r>
          <w:rPr>
            <w:rStyle w:val="Hyperlink"/>
          </w:rPr>
          <w:t xml:space="preserve">10.1016/S0273-1223(99)00538-7</w:t>
        </w:r>
      </w:hyperlink>
      <w:r>
        <w:t xml:space="preserve">.</w:t>
      </w:r>
    </w:p>
    <w:bookmarkEnd w:id="91"/>
    <w:bookmarkStart w:id="93" w:name="ref-wang2020projecting"/>
    <w:p>
      <w:pPr>
        <w:pStyle w:val="Bibliography"/>
      </w:pPr>
      <w:r>
        <w:t xml:space="preserve">[8]</w:t>
      </w:r>
      <w:r>
        <w:t xml:space="preserve"> </w:t>
      </w:r>
      <w:r>
        <w:t xml:space="preserve">	</w:t>
      </w:r>
      <w:r>
        <w:t xml:space="preserve">Q. Wang, F. Zietzschmann, J. Yu, R. Hofman, W. An, M. Yang, L.C. Rietveld, Projecting competition between 2-methylisoborneol and natural organic matter in adsorption onto activated carbon from ozonated source waters, Water Research 173 (2020) 115574. https://doi.org/</w:t>
      </w:r>
      <w:hyperlink r:id="rId92">
        <w:r>
          <w:rPr>
            <w:rStyle w:val="Hyperlink"/>
          </w:rPr>
          <w:t xml:space="preserve">10.1016/j.watres.2020.115574</w:t>
        </w:r>
      </w:hyperlink>
      <w:r>
        <w:t xml:space="preserve">.</w:t>
      </w:r>
    </w:p>
    <w:bookmarkEnd w:id="93"/>
    <w:bookmarkStart w:id="95" w:name="ref-li2019variation"/>
    <w:p>
      <w:pPr>
        <w:pStyle w:val="Bibliography"/>
      </w:pPr>
      <w:r>
        <w:t xml:space="preserve">[9]</w:t>
      </w:r>
      <w:r>
        <w:t xml:space="preserve"> </w:t>
      </w:r>
      <w:r>
        <w:t xml:space="preserve">	</w:t>
      </w:r>
      <w:r>
        <w:t xml:space="preserve">L. Li, S. Yang, S. Yu, Y. Zhang,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 Water Research 162 (2019) 180–189. https://doi.org/</w:t>
      </w:r>
      <w:hyperlink r:id="rId94">
        <w:r>
          <w:rPr>
            <w:rStyle w:val="Hyperlink"/>
          </w:rPr>
          <w:t xml:space="preserve">10.1016/j.watres.2019.06.066</w:t>
        </w:r>
      </w:hyperlink>
      <w:r>
        <w:t xml:space="preserve">.</w:t>
      </w:r>
    </w:p>
    <w:bookmarkEnd w:id="95"/>
    <w:bookmarkStart w:id="96" w:name="ref-american2010algae"/>
    <w:p>
      <w:pPr>
        <w:pStyle w:val="Bibliography"/>
      </w:pPr>
      <w:r>
        <w:t xml:space="preserve">[10]</w:t>
      </w:r>
      <w:r>
        <w:t xml:space="preserve"> </w:t>
      </w:r>
      <w:r>
        <w:t xml:space="preserve">	</w:t>
      </w:r>
      <w:r>
        <w:t xml:space="preserve">A.W.W.A. AWWA, Algae: Source to treatment, American Water Works Association, 2010.</w:t>
      </w:r>
    </w:p>
    <w:bookmarkEnd w:id="96"/>
    <w:bookmarkStart w:id="97" w:name="ref-gerber1969a"/>
    <w:p>
      <w:pPr>
        <w:pStyle w:val="Bibliography"/>
      </w:pPr>
      <w:r>
        <w:t xml:space="preserve">[11]</w:t>
      </w:r>
      <w:r>
        <w:t xml:space="preserve"> </w:t>
      </w:r>
      <w:r>
        <w:t xml:space="preserve">	</w:t>
      </w:r>
      <w:r>
        <w:t xml:space="preserve">N.N. Gerber, A volatile metabolite of actinomycetes, 2-methylisoborneol, Antibiotics 22 (1969) 508–509.</w:t>
      </w:r>
    </w:p>
    <w:bookmarkEnd w:id="97"/>
    <w:bookmarkStart w:id="99" w:name="ref-tabachek1976isolation"/>
    <w:p>
      <w:pPr>
        <w:pStyle w:val="Bibliography"/>
      </w:pPr>
      <w:r>
        <w:t xml:space="preserve">[12]</w:t>
      </w:r>
      <w:r>
        <w:t xml:space="preserve"> </w:t>
      </w:r>
      <w:r>
        <w:t xml:space="preserve">	</w:t>
      </w:r>
      <w:r>
        <w:t xml:space="preserve">J.L. Tabachek, M. Yurkowski, Isolation and identification of blue-green algae producing muddy odor metabolites, geosmin, and 2-methylisoborneol, in saline lakes in</w:t>
      </w:r>
      <w:r>
        <w:t xml:space="preserve"> </w:t>
      </w:r>
      <w:r>
        <w:t xml:space="preserve">Manitoba</w:t>
      </w:r>
      <w:r>
        <w:t xml:space="preserve">, Journal of the Fisheries Research Board of Canada 33 (1976) 25–35. https://doi.org/</w:t>
      </w:r>
      <w:hyperlink r:id="rId98">
        <w:r>
          <w:rPr>
            <w:rStyle w:val="Hyperlink"/>
          </w:rPr>
          <w:t xml:space="preserve">10.1139/f76-004</w:t>
        </w:r>
      </w:hyperlink>
      <w:r>
        <w:t xml:space="preserve">.</w:t>
      </w:r>
    </w:p>
    <w:bookmarkEnd w:id="99"/>
    <w:bookmarkStart w:id="101" w:name="ref-yamada2014terpene"/>
    <w:p>
      <w:pPr>
        <w:pStyle w:val="Bibliography"/>
      </w:pPr>
      <w:r>
        <w:t xml:space="preserve">[13]</w:t>
      </w:r>
      <w:r>
        <w:t xml:space="preserve"> </w:t>
      </w:r>
      <w:r>
        <w:t xml:space="preserve">	</w:t>
      </w:r>
      <w:r>
        <w:t xml:space="preserve">Y. Yamada, T. Kuzuyama, M. Komatsu, K. Shin-ya, S. Omura, D.E. Cane, H. Ikeda, Terpene synthases are widely distributed in bacteria, Proceedings of the National Academy of Sciences 112 (2014) 857–862. https://doi.org/</w:t>
      </w:r>
      <w:hyperlink r:id="rId100">
        <w:r>
          <w:rPr>
            <w:rStyle w:val="Hyperlink"/>
          </w:rPr>
          <w:t xml:space="preserve">10.1073/pnas.1422108112</w:t>
        </w:r>
      </w:hyperlink>
      <w:r>
        <w:t xml:space="preserve">.</w:t>
      </w:r>
    </w:p>
    <w:bookmarkEnd w:id="101"/>
    <w:bookmarkStart w:id="103" w:name="ref-dickschat2007biosynthesis"/>
    <w:p>
      <w:pPr>
        <w:pStyle w:val="Bibliography"/>
      </w:pPr>
      <w:r>
        <w:t xml:space="preserve">[14]</w:t>
      </w:r>
      <w:r>
        <w:t xml:space="preserve"> </w:t>
      </w:r>
      <w:r>
        <w:t xml:space="preserve">	</w:t>
      </w:r>
      <w:r>
        <w:t xml:space="preserve">Jeroen s. Dickschat, T. Nawrath, V. Thiel, B. Kunze, R. Müller, S. Schulz, Biosynthesis of the off-flavor 2-methylisoborneol by the myxobacterium nannocystis exedens, Angewandte Chemie International Edition 46 (2007) 8287–8290. https://doi.org/</w:t>
      </w:r>
      <w:hyperlink r:id="rId102">
        <w:r>
          <w:rPr>
            <w:rStyle w:val="Hyperlink"/>
          </w:rPr>
          <w:t xml:space="preserve">10.1002/anie.200702496</w:t>
        </w:r>
      </w:hyperlink>
      <w:r>
        <w:t xml:space="preserve">.</w:t>
      </w:r>
    </w:p>
    <w:bookmarkEnd w:id="103"/>
    <w:bookmarkStart w:id="105" w:name="ref-su2021ecological"/>
    <w:p>
      <w:pPr>
        <w:pStyle w:val="Bibliography"/>
      </w:pPr>
      <w:r>
        <w:t xml:space="preserve">[15]</w:t>
      </w:r>
      <w:r>
        <w:t xml:space="preserve"> </w:t>
      </w:r>
      <w:r>
        <w:t xml:space="preserve">	</w:t>
      </w:r>
      <w:r>
        <w:t xml:space="preserve">M. Su, MD. Suruzzaman, Y. Zhu, J. Lu, J. Yu, Y. Zhang, M. Yang, Ecological niche and in-situ control of</w:t>
      </w:r>
      <w:r>
        <w:t xml:space="preserve"> </w:t>
      </w:r>
      <w:r>
        <w:t xml:space="preserve">MIB</w:t>
      </w:r>
      <w:r>
        <w:t xml:space="preserve"> </w:t>
      </w:r>
      <w:r>
        <w:t xml:space="preserve">producers in source water, Journal of Environmental Sciences 110 (2021) 119–128. https://doi.org/</w:t>
      </w:r>
      <w:hyperlink r:id="rId104">
        <w:r>
          <w:rPr>
            <w:rStyle w:val="Hyperlink"/>
          </w:rPr>
          <w:t xml:space="preserve">10.1016/j.jes.2021.03.026</w:t>
        </w:r>
      </w:hyperlink>
      <w:r>
        <w:t xml:space="preserve">.</w:t>
      </w:r>
    </w:p>
    <w:bookmarkEnd w:id="105"/>
    <w:bookmarkStart w:id="107" w:name="ref-su2015mib"/>
    <w:p>
      <w:pPr>
        <w:pStyle w:val="Bibliography"/>
      </w:pPr>
      <w:r>
        <w:t xml:space="preserve">[16]</w:t>
      </w:r>
      <w:r>
        <w:t xml:space="preserve"> </w:t>
      </w:r>
      <w:r>
        <w:t xml:space="preserve">	</w:t>
      </w:r>
      <w:r>
        <w:t xml:space="preserve">M. Su, J. Yu, J. Zhang, H. Chen, W. An, R.D. Vogt, T. Andersen, D. Jia, J. Wang, M. Yang,</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(2015) 444–453. https://doi.org/</w:t>
      </w:r>
      <w:hyperlink r:id="rId106">
        <w:r>
          <w:rPr>
            <w:rStyle w:val="Hyperlink"/>
          </w:rPr>
          <w:t xml:space="preserve">10.1016/j.watres.2014.09.038</w:t>
        </w:r>
      </w:hyperlink>
      <w:r>
        <w:t xml:space="preserve">.</w:t>
      </w:r>
    </w:p>
    <w:bookmarkEnd w:id="107"/>
    <w:bookmarkStart w:id="109" w:name="ref-lu2023mibderived"/>
    <w:p>
      <w:pPr>
        <w:pStyle w:val="Bibliography"/>
      </w:pPr>
      <w:r>
        <w:t xml:space="preserve">[17]</w:t>
      </w:r>
      <w:r>
        <w:t xml:space="preserve"> </w:t>
      </w:r>
      <w:r>
        <w:t xml:space="preserve">	</w:t>
      </w:r>
      <w:r>
        <w:t xml:space="preserve">J. Lu, M. Su, Y. Su, J. Fang, M. Burch, T. Cao, B. Wu, J. Yu, M. Yang,</w:t>
      </w:r>
      <w:r>
        <w:t xml:space="preserve"> </w:t>
      </w:r>
      <w:r>
        <w:t xml:space="preserve">MIB</w:t>
      </w:r>
      <w:r>
        <w:t xml:space="preserve">-derived odor management based upon hydraulic regulation in small drinking water reservoirs: Principle and application, Water Research 244 (2023) 120485. https://doi.org/</w:t>
      </w:r>
      <w:hyperlink r:id="rId108">
        <w:r>
          <w:rPr>
            <w:rStyle w:val="Hyperlink"/>
          </w:rPr>
          <w:t xml:space="preserve">10.1016/j.watres.2023.120485</w:t>
        </w:r>
      </w:hyperlink>
      <w:r>
        <w:t xml:space="preserve">.</w:t>
      </w:r>
    </w:p>
    <w:bookmarkEnd w:id="109"/>
    <w:bookmarkStart w:id="111" w:name="ref-cao2023early"/>
    <w:p>
      <w:pPr>
        <w:pStyle w:val="Bibliography"/>
      </w:pPr>
      <w:r>
        <w:t xml:space="preserve">[18]</w:t>
      </w:r>
      <w:r>
        <w:t xml:space="preserve"> </w:t>
      </w:r>
      <w:r>
        <w:t xml:space="preserve">	</w:t>
      </w:r>
      <w:r>
        <w:t xml:space="preserve">T. Cao, J. Fang, Z. Jia, Y. Zhu, M. Su, Q. Zhang, Y. Song, J. Yu, M. Yang, Early warning of MIB episode based on gene abundance and expression in drinking water reservoirs, Water Research 231 (2023) 119667. https://doi.org/</w:t>
      </w:r>
      <w:hyperlink r:id="rId110">
        <w:r>
          <w:rPr>
            <w:rStyle w:val="Hyperlink"/>
          </w:rPr>
          <w:t xml:space="preserve">https://doi.org/10.1016/j.watres.2023.119667</w:t>
        </w:r>
      </w:hyperlink>
      <w:r>
        <w:t xml:space="preserve">.</w:t>
      </w:r>
    </w:p>
    <w:bookmarkEnd w:id="111"/>
    <w:bookmarkStart w:id="113" w:name="ref-izaguirre2007benthic"/>
    <w:p>
      <w:pPr>
        <w:pStyle w:val="Bibliography"/>
      </w:pPr>
      <w:r>
        <w:t xml:space="preserve">[19]</w:t>
      </w:r>
      <w:r>
        <w:t xml:space="preserve"> </w:t>
      </w:r>
      <w:r>
        <w:t xml:space="preserve">	</w:t>
      </w:r>
      <w:r>
        <w:t xml:space="preserve">G. Izaguirre, A. Jungblut, B.A. Neilan, Benthic cyanobacteria (oscillatoriaceae) that produce microcystin-</w:t>
      </w:r>
      <w:r>
        <w:t xml:space="preserve">LR</w:t>
      </w:r>
      <w:r>
        <w:t xml:space="preserve">, isolated from four reservoirs in</w:t>
      </w:r>
      <w:r>
        <w:t xml:space="preserve"> </w:t>
      </w:r>
      <w:r>
        <w:t xml:space="preserve">Southern California</w:t>
      </w:r>
      <w:r>
        <w:t xml:space="preserve">, Water Research 41 (2007) 492–498. https://doi.org/</w:t>
      </w:r>
      <w:hyperlink r:id="rId112">
        <w:r>
          <w:rPr>
            <w:rStyle w:val="Hyperlink"/>
          </w:rPr>
          <w:t xml:space="preserve">10.1016/j.watres.2006.10.012</w:t>
        </w:r>
      </w:hyperlink>
      <w:r>
        <w:t xml:space="preserve">.</w:t>
      </w:r>
    </w:p>
    <w:bookmarkEnd w:id="113"/>
    <w:bookmarkStart w:id="115" w:name="ref-vanderploeg1995biology"/>
    <w:p>
      <w:pPr>
        <w:pStyle w:val="Bibliography"/>
      </w:pPr>
      <w:r>
        <w:t xml:space="preserve">[20]</w:t>
      </w:r>
      <w:r>
        <w:t xml:space="preserve"> </w:t>
      </w:r>
      <w:r>
        <w:t xml:space="preserve">	</w:t>
      </w:r>
      <w:r>
        <w:t xml:space="preserve">M. Van Der Ploeg, M. Dennis, M. De Regt,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 Water Science and Technology 31 (1995) 173–180. https://doi.org/</w:t>
      </w:r>
      <w:hyperlink r:id="rId114">
        <w:r>
          <w:rPr>
            <w:rStyle w:val="Hyperlink"/>
          </w:rPr>
          <w:t xml:space="preserve">10.1016/0273-1223(95)00473-Z</w:t>
        </w:r>
      </w:hyperlink>
      <w:r>
        <w:t xml:space="preserve">.</w:t>
      </w:r>
    </w:p>
    <w:bookmarkEnd w:id="115"/>
    <w:bookmarkStart w:id="117" w:name="ref-zhang2009effects"/>
    <w:p>
      <w:pPr>
        <w:pStyle w:val="Bibliography"/>
      </w:pPr>
      <w:r>
        <w:t xml:space="preserve">[21]</w:t>
      </w:r>
      <w:r>
        <w:t xml:space="preserve"> </w:t>
      </w:r>
      <w:r>
        <w:t xml:space="preserve">	</w:t>
      </w:r>
      <w:r>
        <w:t xml:space="preserve">T. Zhang, L. Li, L. Song, W. Chen, Effects of temperature and light on the growth and geosmin production of</w:t>
      </w:r>
      <w:r>
        <w:t xml:space="preserve"> </w:t>
      </w:r>
      <w:r>
        <w:rPr>
          <w:i/>
          <w:iCs/>
        </w:rPr>
        <w:t xml:space="preserve">Lyngbya kuetzingii</w:t>
      </w:r>
      <w:r>
        <w:t xml:space="preserve"> </w:t>
      </w:r>
      <w:r>
        <w:t xml:space="preserve">(cyanophyta), Journal of Applied Phycology 21 (2009) 279–285. https://doi.org/</w:t>
      </w:r>
      <w:hyperlink r:id="rId116">
        <w:r>
          <w:rPr>
            <w:rStyle w:val="Hyperlink"/>
          </w:rPr>
          <w:t xml:space="preserve">10.1007/s10811-008-9363-z</w:t>
        </w:r>
      </w:hyperlink>
      <w:r>
        <w:t xml:space="preserve">.</w:t>
      </w:r>
    </w:p>
    <w:bookmarkEnd w:id="117"/>
    <w:bookmarkStart w:id="118" w:name="ref-bentley1981geosmin"/>
    <w:p>
      <w:pPr>
        <w:pStyle w:val="Bibliography"/>
      </w:pPr>
      <w:r>
        <w:t xml:space="preserve">[22]</w:t>
      </w:r>
      <w:r>
        <w:t xml:space="preserve"> </w:t>
      </w:r>
      <w:r>
        <w:t xml:space="preserve">	</w:t>
      </w:r>
      <w:r>
        <w:t xml:space="preserve">R. Bentley, R. Meganathan, Geosmin and methylisoborneol biosynthesis in streptomycetes. Evidence for an isoprenoid pathway and its absence in non-differentiating isolates., FEBS Letters 125 (1981) 220.</w:t>
      </w:r>
    </w:p>
    <w:bookmarkEnd w:id="118"/>
    <w:bookmarkStart w:id="120" w:name="ref-wu1988differential"/>
    <w:p>
      <w:pPr>
        <w:pStyle w:val="Bibliography"/>
      </w:pPr>
      <w:r>
        <w:t xml:space="preserve">[23]</w:t>
      </w:r>
      <w:r>
        <w:t xml:space="preserve"> </w:t>
      </w:r>
      <w:r>
        <w:t xml:space="preserve">	</w:t>
      </w:r>
      <w:r>
        <w:t xml:space="preserve">J. Wu, F. Jüttner, Differential partitioning of geosmin and 2-methylisoborneol between cellular constituents in</w:t>
      </w:r>
      <w:r>
        <w:t xml:space="preserve"> </w:t>
      </w:r>
      <w:r>
        <w:rPr>
          <w:i/>
          <w:iCs/>
        </w:rPr>
        <w:t xml:space="preserve">Oscillatoria tenuis</w:t>
      </w:r>
      <w:r>
        <w:t xml:space="preserve">, Archives of Microbiology 150 (1988) 580–583. https://doi.org/</w:t>
      </w:r>
      <w:hyperlink r:id="rId119">
        <w:r>
          <w:rPr>
            <w:rStyle w:val="Hyperlink"/>
          </w:rPr>
          <w:t xml:space="preserve">10.1007/bf00408253</w:t>
        </w:r>
      </w:hyperlink>
      <w:r>
        <w:t xml:space="preserve">.</w:t>
      </w:r>
    </w:p>
    <w:bookmarkEnd w:id="120"/>
    <w:bookmarkStart w:id="122" w:name="ref-rashash1995influence"/>
    <w:p>
      <w:pPr>
        <w:pStyle w:val="Bibliography"/>
      </w:pPr>
      <w:r>
        <w:t xml:space="preserve">[24]</w:t>
      </w:r>
      <w:r>
        <w:t xml:space="preserve"> </w:t>
      </w:r>
      <w:r>
        <w:t xml:space="preserve">	</w:t>
      </w:r>
      <w:r>
        <w:t xml:space="preserve">D.m.C. Rashash, A.m. Dietrich, R.c. Hoehn, B.c. Parker, The influence of growth conditions on odor-compound production by two chrysophytes and two cyanobacteria, Water Science and Technology 31 (1995) 165–172. https://doi.org/</w:t>
      </w:r>
      <w:hyperlink r:id="rId121">
        <w:r>
          <w:rPr>
            <w:rStyle w:val="Hyperlink"/>
          </w:rPr>
          <w:t xml:space="preserve">10.1016/0273-1223(95)00472-y</w:t>
        </w:r>
      </w:hyperlink>
      <w:r>
        <w:t xml:space="preserve">.</w:t>
      </w:r>
    </w:p>
    <w:bookmarkEnd w:id="122"/>
    <w:bookmarkStart w:id="124" w:name="ref-zhang2016methylisoborneol"/>
    <w:p>
      <w:pPr>
        <w:pStyle w:val="Bibliography"/>
      </w:pPr>
      <w:r>
        <w:t xml:space="preserve">[25]</w:t>
      </w:r>
      <w:r>
        <w:t xml:space="preserve"> </w:t>
      </w:r>
      <w:r>
        <w:t xml:space="preserve">	</w:t>
      </w:r>
      <w:r>
        <w:t xml:space="preserve">T. Zhang, L. Zheng, L. Li, L. Song,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 Journal of Applied Phycology (2016) 1–10. https://doi.org/</w:t>
      </w:r>
      <w:hyperlink r:id="rId123">
        <w:r>
          <w:rPr>
            <w:rStyle w:val="Hyperlink"/>
          </w:rPr>
          <w:t xml:space="preserve">10.1007/s10811-016-0864-x</w:t>
        </w:r>
      </w:hyperlink>
      <w:r>
        <w:t xml:space="preserve">.</w:t>
      </w:r>
    </w:p>
    <w:bookmarkEnd w:id="124"/>
    <w:bookmarkStart w:id="126" w:name="ref-oh2017effects"/>
    <w:p>
      <w:pPr>
        <w:pStyle w:val="Bibliography"/>
      </w:pPr>
      <w:r>
        <w:t xml:space="preserve">[26]</w:t>
      </w:r>
      <w:r>
        <w:t xml:space="preserve"> </w:t>
      </w:r>
      <w:r>
        <w:t xml:space="preserve">	</w:t>
      </w:r>
      <w:r>
        <w:t xml:space="preserve">H.-S. Oh, C.S. Lee, A. Srivastava, H.-M. Oh, C.-Y. Ahn, Effects of environmental factors on cyanobacterial production of odorous compounds: Geosmin and 2-methylisoborneol, Journal of Microbiology and Biotechnology 27 (2017) 1316–1323. https://doi.org/</w:t>
      </w:r>
      <w:hyperlink r:id="rId125">
        <w:r>
          <w:rPr>
            <w:rStyle w:val="Hyperlink"/>
          </w:rPr>
          <w:t xml:space="preserve">10.4014/jmb.1702.02069</w:t>
        </w:r>
      </w:hyperlink>
      <w:r>
        <w:t xml:space="preserve">.</w:t>
      </w:r>
    </w:p>
    <w:bookmarkEnd w:id="126"/>
    <w:bookmarkStart w:id="128" w:name="ref-wang2024production"/>
    <w:p>
      <w:pPr>
        <w:pStyle w:val="Bibliography"/>
      </w:pPr>
      <w:r>
        <w:t xml:space="preserve">[27]</w:t>
      </w:r>
      <w:r>
        <w:t xml:space="preserve"> </w:t>
      </w:r>
      <w:r>
        <w:t xml:space="preserve">	</w:t>
      </w:r>
      <w:r>
        <w:t xml:space="preserve">H. Wang, L. Li, S. Cheng, L. Chen, H. Zhang, X. Zhang, Production and release of 2-MIB in pseudanabaena: Effects of growth phases on cell characteristics and 2-MIB yield, Ecotoxicology and Environmental Safety 274 (2024) 116198. https://doi.org/</w:t>
      </w:r>
      <w:hyperlink r:id="rId127">
        <w:r>
          <w:rPr>
            <w:rStyle w:val="Hyperlink"/>
          </w:rPr>
          <w:t xml:space="preserve">10.1016/j.ecoenv.2024.116198</w:t>
        </w:r>
      </w:hyperlink>
      <w:r>
        <w:t xml:space="preserve">.</w:t>
      </w:r>
    </w:p>
    <w:bookmarkEnd w:id="128"/>
    <w:bookmarkStart w:id="130" w:name="ref-alghanmi2018effect"/>
    <w:p>
      <w:pPr>
        <w:pStyle w:val="Bibliography"/>
      </w:pPr>
      <w:r>
        <w:t xml:space="preserve">[28]</w:t>
      </w:r>
      <w:r>
        <w:t xml:space="preserve"> </w:t>
      </w:r>
      <w:r>
        <w:t xml:space="preserve">	</w:t>
      </w:r>
      <w:r>
        <w:t xml:space="preserve">H.A. Alghanmi, F.M. Alkam, M.M. AL-Taee, Effect of light and temperature on new cyanobacteria producers for geosmin and 2-methylisoborneol, Journal of Applied Phycology 30 (2018) 319–328. https://doi.org/</w:t>
      </w:r>
      <w:hyperlink r:id="rId129">
        <w:r>
          <w:rPr>
            <w:rStyle w:val="Hyperlink"/>
          </w:rPr>
          <w:t xml:space="preserve">10.1007/s10811-017-1233-0</w:t>
        </w:r>
      </w:hyperlink>
      <w:r>
        <w:t xml:space="preserve">.</w:t>
      </w:r>
    </w:p>
    <w:bookmarkEnd w:id="130"/>
    <w:bookmarkStart w:id="132" w:name="ref-giglio2011biosynthesis"/>
    <w:p>
      <w:pPr>
        <w:pStyle w:val="Bibliography"/>
      </w:pPr>
      <w:r>
        <w:t xml:space="preserve">[29]</w:t>
      </w:r>
      <w:r>
        <w:t xml:space="preserve"> </w:t>
      </w:r>
      <w:r>
        <w:t xml:space="preserve">	</w:t>
      </w:r>
      <w:r>
        <w:t xml:space="preserve">S. Giglio, W.K.W. Chou, H. Ikeda, D.E. Cane, P.T. Monis, Biosynthesis of 2-methylisoborneol in cyanobacteria, Environmental Science &amp; Technology 45 (2011) 992–998. https://doi.org/</w:t>
      </w:r>
      <w:hyperlink r:id="rId131">
        <w:r>
          <w:rPr>
            <w:rStyle w:val="Hyperlink"/>
          </w:rPr>
          <w:t xml:space="preserve">10.1021/es102992p</w:t>
        </w:r>
      </w:hyperlink>
      <w:r>
        <w:t xml:space="preserve">.</w:t>
      </w:r>
    </w:p>
    <w:bookmarkEnd w:id="132"/>
    <w:bookmarkStart w:id="134" w:name="ref-wang2011genes"/>
    <w:p>
      <w:pPr>
        <w:pStyle w:val="Bibliography"/>
      </w:pPr>
      <w:r>
        <w:t xml:space="preserve">[30]</w:t>
      </w:r>
      <w:r>
        <w:t xml:space="preserve"> </w:t>
      </w:r>
      <w:r>
        <w:t xml:space="preserve">	</w:t>
      </w:r>
      <w:r>
        <w:t xml:space="preserve">Z. Wang, Y. Xu, J. Shao, J. Wang, R. Li, Genes associated with 2-methylisoborneol biosynthesis in cyanobacteria: Isolation, characterization, and expression in response to light, Plos One 6 (2011) E18665. https://doi.org/</w:t>
      </w:r>
      <w:hyperlink r:id="rId133">
        <w:r>
          <w:rPr>
            <w:rStyle w:val="Hyperlink"/>
          </w:rPr>
          <w:t xml:space="preserve">10.1371/journal.pone.0018665</w:t>
        </w:r>
      </w:hyperlink>
      <w:r>
        <w:t xml:space="preserve">.</w:t>
      </w:r>
    </w:p>
    <w:bookmarkEnd w:id="134"/>
    <w:bookmarkStart w:id="136" w:name="ref-komatsu2008identification"/>
    <w:p>
      <w:pPr>
        <w:pStyle w:val="Bibliography"/>
      </w:pPr>
      <w:r>
        <w:t xml:space="preserve">[31]</w:t>
      </w:r>
      <w:r>
        <w:t xml:space="preserve"> </w:t>
      </w:r>
      <w:r>
        <w:t xml:space="preserve">	</w:t>
      </w:r>
      <w:r>
        <w:t xml:space="preserve">M. Komatsu, M. Tsuda, S. omura, H. Oikawa, H. Ikeda, Identification and functional analysis of genes controlling biosynthesis of 2-methylisoborneol, Proceedings of the National Academy of Sciences 105 (2008) 7422–7427. https://doi.org/</w:t>
      </w:r>
      <w:hyperlink r:id="rId135">
        <w:r>
          <w:rPr>
            <w:rStyle w:val="Hyperlink"/>
          </w:rPr>
          <w:t xml:space="preserve">10.1073/pnas.0802312105</w:t>
        </w:r>
      </w:hyperlink>
      <w:r>
        <w:t xml:space="preserve">.</w:t>
      </w:r>
    </w:p>
    <w:bookmarkEnd w:id="136"/>
    <w:bookmarkStart w:id="138" w:name="ref-andreas2024the"/>
    <w:p>
      <w:pPr>
        <w:pStyle w:val="Bibliography"/>
      </w:pPr>
      <w:r>
        <w:t xml:space="preserve">[32]</w:t>
      </w:r>
      <w:r>
        <w:t xml:space="preserve"> </w:t>
      </w:r>
      <w:r>
        <w:t xml:space="preserve">	</w:t>
      </w:r>
      <w:r>
        <w:t xml:space="preserve">M.P. Andreas, T.W. Giessen, The biosynthesis of the odorant 2-methylisoborneol is compartmentalized inside a protein shell, Nature Communications 15 (2024). https://doi.org/</w:t>
      </w:r>
      <w:hyperlink r:id="rId137">
        <w:r>
          <w:rPr>
            <w:rStyle w:val="Hyperlink"/>
          </w:rPr>
          <w:t xml:space="preserve">10.1038/s41467-024-54175-4</w:t>
        </w:r>
      </w:hyperlink>
      <w:r>
        <w:t xml:space="preserve">.</w:t>
      </w:r>
    </w:p>
    <w:bookmarkEnd w:id="138"/>
    <w:bookmarkStart w:id="140" w:name="ref-lu2022driving"/>
    <w:p>
      <w:pPr>
        <w:pStyle w:val="Bibliography"/>
      </w:pPr>
      <w:r>
        <w:t xml:space="preserve">[33]</w:t>
      </w:r>
      <w:r>
        <w:t xml:space="preserve"> </w:t>
      </w:r>
      <w:r>
        <w:t xml:space="preserve">	</w:t>
      </w:r>
      <w:r>
        <w:t xml:space="preserve">J. Lu, M. Su, Y. Su, B. Wu, T. Cao, J. Fang, J. Yu, H. Zhang, M. Yang, Driving forces for the growth of MIB-producing</w:t>
      </w:r>
      <w:r>
        <w:t xml:space="preserve"> </w:t>
      </w:r>
      <w:r>
        <w:rPr>
          <w:i/>
          <w:iCs/>
        </w:rPr>
        <w:t xml:space="preserve">Planktothricoides raciborskii</w:t>
      </w:r>
      <w:r>
        <w:t xml:space="preserve"> </w:t>
      </w:r>
      <w:r>
        <w:t xml:space="preserve">in a low-latitude reservoir, Water Research (2022) 118670. https://doi.org/</w:t>
      </w:r>
      <w:hyperlink r:id="rId139">
        <w:r>
          <w:rPr>
            <w:rStyle w:val="Hyperlink"/>
          </w:rPr>
          <w:t xml:space="preserve">10.1016/j.watres.2022.118670</w:t>
        </w:r>
      </w:hyperlink>
      <w:r>
        <w:t xml:space="preserve">.</w:t>
      </w:r>
    </w:p>
    <w:bookmarkEnd w:id="140"/>
    <w:bookmarkStart w:id="142" w:name="ref-jia2019light"/>
    <w:p>
      <w:pPr>
        <w:pStyle w:val="Bibliography"/>
      </w:pPr>
      <w:r>
        <w:t xml:space="preserve">[34]</w:t>
      </w:r>
      <w:r>
        <w:t xml:space="preserve"> </w:t>
      </w:r>
      <w:r>
        <w:t xml:space="preserve">	</w:t>
      </w:r>
      <w:r>
        <w:t xml:space="preserve">Z. Jia, M. Su, T. Liu, Q. Guo, Q. Wang, M. Burch, J. Yu, M. Yang,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 Harmful Algae 88 (2019) 101658. https://doi.org/</w:t>
      </w:r>
      <w:hyperlink r:id="rId141">
        <w:r>
          <w:rPr>
            <w:rStyle w:val="Hyperlink"/>
          </w:rPr>
          <w:t xml:space="preserve">10.1016/j.hal.2019.101658</w:t>
        </w:r>
      </w:hyperlink>
      <w:r>
        <w:t xml:space="preserve">.</w:t>
      </w:r>
    </w:p>
    <w:bookmarkEnd w:id="142"/>
    <w:bookmarkStart w:id="144" w:name="ref-wang2015effects"/>
    <w:p>
      <w:pPr>
        <w:pStyle w:val="Bibliography"/>
      </w:pPr>
      <w:r>
        <w:t xml:space="preserve">[35]</w:t>
      </w:r>
      <w:r>
        <w:t xml:space="preserve"> </w:t>
      </w:r>
      <w:r>
        <w:t xml:space="preserve">	</w:t>
      </w:r>
      <w:r>
        <w:t xml:space="preserve">Z. Wang, R. Li,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 Biochemical Systematics and Ecology 58 (2015) 219–226. https://doi.org/</w:t>
      </w:r>
      <w:hyperlink r:id="rId143">
        <w:r>
          <w:rPr>
            <w:rStyle w:val="Hyperlink"/>
          </w:rPr>
          <w:t xml:space="preserve">10.1016/j.bse.2014.12.013</w:t>
        </w:r>
      </w:hyperlink>
      <w:r>
        <w:t xml:space="preserve">.</w:t>
      </w:r>
    </w:p>
    <w:bookmarkEnd w:id="144"/>
    <w:bookmarkStart w:id="146" w:name="ref-zimba1999evaluating"/>
    <w:p>
      <w:pPr>
        <w:pStyle w:val="Bibliography"/>
      </w:pPr>
      <w:r>
        <w:t xml:space="preserve">[36]</w:t>
      </w:r>
      <w:r>
        <w:t xml:space="preserve"> </w:t>
      </w:r>
      <w:r>
        <w:t xml:space="preserve">	</w:t>
      </w:r>
      <w:r>
        <w:t xml:space="preserve">P.V. Zimba, C.P. Dionigi, D.F. Millie, Evaluating the relationship between photopigment synthesis and 2-methylisoborneol accumulation in cyanobacteria, Journal of Phycology 35 (1999) 1422–1429. https://doi.org/</w:t>
      </w:r>
      <w:hyperlink r:id="rId145">
        <w:r>
          <w:rPr>
            <w:rStyle w:val="Hyperlink"/>
          </w:rPr>
          <w:t xml:space="preserve">10.1046/j.1529-8817.1999.3561422.x</w:t>
        </w:r>
      </w:hyperlink>
      <w:r>
        <w:t xml:space="preserve">.</w:t>
      </w:r>
    </w:p>
    <w:bookmarkEnd w:id="146"/>
    <w:bookmarkStart w:id="148" w:name="ref-eisenhoffer2013bringing"/>
    <w:p>
      <w:pPr>
        <w:pStyle w:val="Bibliography"/>
      </w:pPr>
      <w:r>
        <w:t xml:space="preserve">[37]</w:t>
      </w:r>
      <w:r>
        <w:t xml:space="preserve"> </w:t>
      </w:r>
      <w:r>
        <w:t xml:space="preserve">	</w:t>
      </w:r>
      <w:r>
        <w:t xml:space="preserve">G.T. Eisenhoffer, J. Rosenblatt, Bringing balance by force: Live cell extrusion controls epithelial cell numbers, Trends in Cell Biology 23 (2013) 185–192. https://doi.org/</w:t>
      </w:r>
      <w:hyperlink r:id="rId147">
        <w:r>
          <w:rPr>
            <w:rStyle w:val="Hyperlink"/>
          </w:rPr>
          <w:t xml:space="preserve">10.1016/j.tcb.2012.11.006</w:t>
        </w:r>
      </w:hyperlink>
      <w:r>
        <w:t xml:space="preserve">.</w:t>
      </w:r>
    </w:p>
    <w:bookmarkEnd w:id="148"/>
    <w:bookmarkStart w:id="150" w:name="ref-bermudez2024cell"/>
    <w:p>
      <w:pPr>
        <w:pStyle w:val="Bibliography"/>
      </w:pPr>
      <w:r>
        <w:t xml:space="preserve">[38]</w:t>
      </w:r>
      <w:r>
        <w:t xml:space="preserve"> </w:t>
      </w:r>
      <w:r>
        <w:t xml:space="preserve">	</w:t>
      </w:r>
      <w:r>
        <w:t xml:space="preserve">A.G. Bermudez, Z. Latham, J. Hu, N. Lin, Cell crowding-induced geometric constraint regulates chromatin organizations, Biophysical Journal 123 (2024) 407a. https://doi.org/</w:t>
      </w:r>
      <w:hyperlink r:id="rId149">
        <w:r>
          <w:rPr>
            <w:rStyle w:val="Hyperlink"/>
          </w:rPr>
          <w:t xml:space="preserve">10.1016/j.bpj.2023.11.2493</w:t>
        </w:r>
      </w:hyperlink>
      <w:r>
        <w:t xml:space="preserve">.</w:t>
      </w:r>
    </w:p>
    <w:bookmarkEnd w:id="150"/>
    <w:bookmarkStart w:id="152" w:name="ref-yang2024etv4"/>
    <w:p>
      <w:pPr>
        <w:pStyle w:val="Bibliography"/>
      </w:pPr>
      <w:r>
        <w:t xml:space="preserve">[39]</w:t>
      </w:r>
      <w:r>
        <w:t xml:space="preserve"> </w:t>
      </w:r>
      <w:r>
        <w:t xml:space="preserve">	</w:t>
      </w:r>
      <w:r>
        <w:t xml:space="preserve">S. Yang, M. Golkaram, S. Oh, Y. Oh, Y. Cho, J. Yoe, S. Ju, M.A. Lalli, S.-Y. Park, Y. Lee, J. Jang, ETV4 is a mechanical transducer linking cell crowding dynamics to lineage specification, Nature Cell Biology 26 (2024) 903–916. https://doi.org/</w:t>
      </w:r>
      <w:hyperlink r:id="rId151">
        <w:r>
          <w:rPr>
            <w:rStyle w:val="Hyperlink"/>
          </w:rPr>
          <w:t xml:space="preserve">10.1038/s41556-024-01415-w</w:t>
        </w:r>
      </w:hyperlink>
      <w:r>
        <w:t xml:space="preserve">.</w:t>
      </w:r>
    </w:p>
    <w:bookmarkEnd w:id="152"/>
    <w:bookmarkStart w:id="154" w:name="ref-lawsonkeister2021jamming"/>
    <w:p>
      <w:pPr>
        <w:pStyle w:val="Bibliography"/>
      </w:pPr>
      <w:r>
        <w:t xml:space="preserve">[40]</w:t>
      </w:r>
      <w:r>
        <w:t xml:space="preserve"> </w:t>
      </w:r>
      <w:r>
        <w:t xml:space="preserve">	</w:t>
      </w:r>
      <w:r>
        <w:t xml:space="preserve">E. Lawson-Keister, M.L. Manning, Jamming and arrest of cell motion in biological tissues, Current Opinion in Cell Biology 72 (2021) 146–155. https://doi.org/</w:t>
      </w:r>
      <w:hyperlink r:id="rId153">
        <w:r>
          <w:rPr>
            <w:rStyle w:val="Hyperlink"/>
          </w:rPr>
          <w:t xml:space="preserve">10.1016/j.ceb.2021.07.011</w:t>
        </w:r>
      </w:hyperlink>
      <w:r>
        <w:t xml:space="preserve">.</w:t>
      </w:r>
    </w:p>
    <w:bookmarkEnd w:id="154"/>
    <w:bookmarkStart w:id="156" w:name="ref-drewinko1984cultured"/>
    <w:p>
      <w:pPr>
        <w:pStyle w:val="Bibliography"/>
      </w:pPr>
      <w:r>
        <w:t xml:space="preserve">[41]</w:t>
      </w:r>
      <w:r>
        <w:t xml:space="preserve"> </w:t>
      </w:r>
      <w:r>
        <w:t xml:space="preserve">	</w:t>
      </w:r>
      <w:r>
        <w:t xml:space="preserve">B. Drewinko, L.Y. Yang, B. Barlogie, J.M. Trujillo, Cultured human tumour cells may be arrested in all stages of the cycle during stationary phase: Demonstration of quiescent cells in G1, s and G2 phase, Cell Proliferation 17 (1984) 453–463. https://doi.org/</w:t>
      </w:r>
      <w:hyperlink r:id="rId155">
        <w:r>
          <w:rPr>
            <w:rStyle w:val="Hyperlink"/>
          </w:rPr>
          <w:t xml:space="preserve">10.1111/j.1365-2184.1984.tb00604.x</w:t>
        </w:r>
      </w:hyperlink>
      <w:r>
        <w:t xml:space="preserve">.</w:t>
      </w:r>
    </w:p>
    <w:bookmarkEnd w:id="156"/>
    <w:bookmarkStart w:id="158" w:name="ref-eisenhoffer2012crowding"/>
    <w:p>
      <w:pPr>
        <w:pStyle w:val="Bibliography"/>
      </w:pPr>
      <w:r>
        <w:t xml:space="preserve">[42]</w:t>
      </w:r>
      <w:r>
        <w:t xml:space="preserve"> </w:t>
      </w:r>
      <w:r>
        <w:t xml:space="preserve">	</w:t>
      </w:r>
      <w:r>
        <w:t xml:space="preserve">G.T. Eisenhoffer, P.D. Loftus, M. Yoshigi, H. Otsuna, C.-B. Chien, P.A. Morcos, J. Rosenblatt, Crowding induces live cell extrusion to maintain homeostatic cell numbers in epithelia, Nature 484 (2012) 546–549. https://doi.org/</w:t>
      </w:r>
      <w:hyperlink r:id="rId157">
        <w:r>
          <w:rPr>
            <w:rStyle w:val="Hyperlink"/>
          </w:rPr>
          <w:t xml:space="preserve">10.1038/nature10999</w:t>
        </w:r>
      </w:hyperlink>
      <w:r>
        <w:t xml:space="preserve">.</w:t>
      </w:r>
    </w:p>
    <w:bookmarkEnd w:id="158"/>
    <w:bookmarkStart w:id="160" w:name="ref-bar2004attenuation"/>
    <w:p>
      <w:pPr>
        <w:pStyle w:val="Bibliography"/>
      </w:pPr>
      <w:r>
        <w:t xml:space="preserve">[43]</w:t>
      </w:r>
      <w:r>
        <w:t xml:space="preserve"> </w:t>
      </w:r>
      <w:r>
        <w:t xml:space="preserve">	</w:t>
      </w:r>
      <w:r>
        <w:t xml:space="preserve">J. Bar, E. Cohen-Noyman, B. Geiger, M. Oren, Attenuation of the p53 response to DNA damage by high cell density, Oncogene 23 (2004) 2128–2137. https://doi.org/</w:t>
      </w:r>
      <w:hyperlink r:id="rId159">
        <w:r>
          <w:rPr>
            <w:rStyle w:val="Hyperlink"/>
          </w:rPr>
          <w:t xml:space="preserve">10.1038/sj.onc.1207325</w:t>
        </w:r>
      </w:hyperlink>
      <w:r>
        <w:t xml:space="preserve">.</w:t>
      </w:r>
    </w:p>
    <w:bookmarkEnd w:id="160"/>
    <w:bookmarkStart w:id="162" w:name="ref-nishio2017hippo"/>
    <w:p>
      <w:pPr>
        <w:pStyle w:val="Bibliography"/>
      </w:pPr>
      <w:r>
        <w:t xml:space="preserve">[44]</w:t>
      </w:r>
      <w:r>
        <w:t xml:space="preserve"> </w:t>
      </w:r>
      <w:r>
        <w:t xml:space="preserve">	</w:t>
      </w:r>
      <w:r>
        <w:t xml:space="preserve">M. Nishio, T. Maehama, H. Goto, K. Nakatani, W. Kato, H. Omori, Y. Miyachi, H. Togashi, Y. Shimono, A. Suzuki, Hippo vs. Crab: Tissue‐specific functions of the mammalian hippo pathway, Genes to Cells 22 (2017) 6–31. https://doi.org/</w:t>
      </w:r>
      <w:hyperlink r:id="rId161">
        <w:r>
          <w:rPr>
            <w:rStyle w:val="Hyperlink"/>
          </w:rPr>
          <w:t xml:space="preserve">10.1111/gtc.12461</w:t>
        </w:r>
      </w:hyperlink>
      <w:r>
        <w:t xml:space="preserve">.</w:t>
      </w:r>
    </w:p>
    <w:bookmarkEnd w:id="162"/>
    <w:bookmarkStart w:id="164" w:name="ref-sheridan1981studies"/>
    <w:p>
      <w:pPr>
        <w:pStyle w:val="Bibliography"/>
      </w:pPr>
      <w:r>
        <w:t xml:space="preserve">[45]</w:t>
      </w:r>
      <w:r>
        <w:t xml:space="preserve"> </w:t>
      </w:r>
      <w:r>
        <w:t xml:space="preserve">	</w:t>
      </w:r>
      <w:r>
        <w:t xml:space="preserve">J.W. Sheridan, R.J. Simmons, Studies on a human melanoma cell line: Effect of cell crowding and nutrient depletion on the biophysical and kinetic characteristics of the cells, Journal of Cellular Physiology 107 (1981) 85–100. https://doi.org/</w:t>
      </w:r>
      <w:hyperlink r:id="rId163">
        <w:r>
          <w:rPr>
            <w:rStyle w:val="Hyperlink"/>
          </w:rPr>
          <w:t xml:space="preserve">10.1002/jcp.1041070111</w:t>
        </w:r>
      </w:hyperlink>
      <w:r>
        <w:t xml:space="preserve">.</w:t>
      </w:r>
    </w:p>
    <w:bookmarkEnd w:id="164"/>
    <w:bookmarkStart w:id="166" w:name="ref-tjørve2017the"/>
    <w:p>
      <w:pPr>
        <w:pStyle w:val="Bibliography"/>
      </w:pPr>
      <w:r>
        <w:t xml:space="preserve">[46]</w:t>
      </w:r>
      <w:r>
        <w:t xml:space="preserve"> </w:t>
      </w:r>
      <w:r>
        <w:t xml:space="preserve">	</w:t>
      </w:r>
      <w:r>
        <w:t xml:space="preserve">K.M.C. Tjørve, E. Tjørve, The use of gompertz models in growth analyses, and new gompertz-model approach: An addition to the unified-richards family, PLOS ONE 12 (2017) e0178691. https://doi.org/</w:t>
      </w:r>
      <w:hyperlink r:id="rId165">
        <w:r>
          <w:rPr>
            <w:rStyle w:val="Hyperlink"/>
          </w:rPr>
          <w:t xml:space="preserve">10.1371/journal.pone.0178691</w:t>
        </w:r>
      </w:hyperlink>
      <w:r>
        <w:t xml:space="preserve">.</w:t>
      </w:r>
    </w:p>
    <w:bookmarkEnd w:id="166"/>
    <w:bookmarkStart w:id="168" w:name="ref-lv2015stability"/>
    <w:p>
      <w:pPr>
        <w:pStyle w:val="Bibliography"/>
      </w:pPr>
      <w:r>
        <w:t xml:space="preserve">[47]</w:t>
      </w:r>
      <w:r>
        <w:t xml:space="preserve"> </w:t>
      </w:r>
      <w:r>
        <w:t xml:space="preserve">	</w:t>
      </w:r>
      <w:r>
        <w:t xml:space="preserve">J. Lv, K. Wang, J. Jiao, Stability of stochastic richards growth model, Applied Mathematical Modelling 39 (2015) 4821–4827. https://doi.org/</w:t>
      </w:r>
      <w:hyperlink r:id="rId167">
        <w:r>
          <w:rPr>
            <w:rStyle w:val="Hyperlink"/>
          </w:rPr>
          <w:t xml:space="preserve">10.1016/j.apm.2015.04.016</w:t>
        </w:r>
      </w:hyperlink>
      <w:r>
        <w:t xml:space="preserve">.</w:t>
      </w:r>
    </w:p>
    <w:bookmarkEnd w:id="168"/>
    <w:bookmarkStart w:id="170" w:name="ref-peleg1998reinterpretation"/>
    <w:p>
      <w:pPr>
        <w:pStyle w:val="Bibliography"/>
      </w:pPr>
      <w:r>
        <w:t xml:space="preserve">[48]</w:t>
      </w:r>
      <w:r>
        <w:t xml:space="preserve"> </w:t>
      </w:r>
      <w:r>
        <w:t xml:space="preserve">	</w:t>
      </w:r>
      <w:r>
        <w:t xml:space="preserve">M. Peleg, M.B. Cole, Reinterpretation of microbial survival curves, Critical Reviews in Food Science and Nutrition 38 (1998) 353–380. https://doi.org/</w:t>
      </w:r>
      <w:hyperlink r:id="rId169">
        <w:r>
          <w:rPr>
            <w:rStyle w:val="Hyperlink"/>
          </w:rPr>
          <w:t xml:space="preserve">10.1080/10408699891274246</w:t>
        </w:r>
      </w:hyperlink>
      <w:r>
        <w:t xml:space="preserve">.</w:t>
      </w:r>
    </w:p>
    <w:bookmarkEnd w:id="170"/>
    <w:bookmarkStart w:id="172" w:name="ref-wang2023cell"/>
    <w:p>
      <w:pPr>
        <w:pStyle w:val="Bibliography"/>
      </w:pPr>
      <w:r>
        <w:t xml:space="preserve">[49]</w:t>
      </w:r>
      <w:r>
        <w:t xml:space="preserve"> </w:t>
      </w:r>
      <w:r>
        <w:t xml:space="preserve">	</w:t>
      </w:r>
      <w:r>
        <w:t xml:space="preserve">Y. Wang, J.X. Zhou, E. Pedrini, I. Rubin, M. Khalil, R. Taramelli, H. Qian, S. Huang, Cell population growth kinetics in the presence of stochastic heterogeneity of cell phenotype, Journal of Theoretical Biology 575 (2023) 111645. https://doi.org/</w:t>
      </w:r>
      <w:hyperlink r:id="rId171">
        <w:r>
          <w:rPr>
            <w:rStyle w:val="Hyperlink"/>
          </w:rPr>
          <w:t xml:space="preserve">10.1016/j.jtbi.2023.111645</w:t>
        </w:r>
      </w:hyperlink>
      <w:r>
        <w:t xml:space="preserve">.</w:t>
      </w:r>
    </w:p>
    <w:bookmarkEnd w:id="172"/>
    <w:bookmarkStart w:id="174" w:name="ref-karim2023random"/>
    <w:p>
      <w:pPr>
        <w:pStyle w:val="Bibliography"/>
      </w:pPr>
      <w:r>
        <w:t xml:space="preserve">[50]</w:t>
      </w:r>
      <w:r>
        <w:t xml:space="preserve"> </w:t>
      </w:r>
      <w:r>
        <w:t xml:space="preserve">	</w:t>
      </w:r>
      <w:r>
        <w:t xml:space="preserve">M.A.U. Karim, V. Aithal, A.R. Bhowmick, Random variation in model parameters: A comprehensive review of stochastic logistic growth equation, Ecological Modelling 484 (2023) 110475. https://doi.org/</w:t>
      </w:r>
      <w:hyperlink r:id="rId173">
        <w:r>
          <w:rPr>
            <w:rStyle w:val="Hyperlink"/>
          </w:rPr>
          <w:t xml:space="preserve">10.1016/j.ecolmodel.2023.110475</w:t>
        </w:r>
      </w:hyperlink>
      <w:r>
        <w:t xml:space="preserve">.</w:t>
      </w:r>
    </w:p>
    <w:bookmarkEnd w:id="174"/>
    <w:bookmarkStart w:id="176" w:name="ref-li2010cyanobacterial"/>
    <w:p>
      <w:pPr>
        <w:pStyle w:val="Bibliography"/>
      </w:pPr>
      <w:r>
        <w:t xml:space="preserve">[51]</w:t>
      </w:r>
      <w:r>
        <w:t xml:space="preserve"> </w:t>
      </w:r>
      <w:r>
        <w:t xml:space="preserve">	</w:t>
      </w:r>
      <w:r>
        <w:t xml:space="preserve">Z. Li, J. Yu, M. Yang, J. Zhang, M.D. Burch, W. Han, Cyanobacterial population and harmful metabolites dynamics during a bloom in yanghe reservoir, north</w:t>
      </w:r>
      <w:r>
        <w:t xml:space="preserve"> </w:t>
      </w:r>
      <w:r>
        <w:t xml:space="preserve">China</w:t>
      </w:r>
      <w:r>
        <w:t xml:space="preserve">, Harmful Algae 9 (2010) 481–488. https://doi.org/</w:t>
      </w:r>
      <w:hyperlink r:id="rId175">
        <w:r>
          <w:rPr>
            <w:rStyle w:val="Hyperlink"/>
          </w:rPr>
          <w:t xml:space="preserve">10.1016/j.hal.2010.03.003</w:t>
        </w:r>
      </w:hyperlink>
      <w:r>
        <w:t xml:space="preserve">.</w:t>
      </w:r>
    </w:p>
    <w:bookmarkEnd w:id="176"/>
    <w:bookmarkStart w:id="178" w:name="ref-liang2005removal"/>
    <w:p>
      <w:pPr>
        <w:pStyle w:val="Bibliography"/>
      </w:pPr>
      <w:r>
        <w:t xml:space="preserve">[52]</w:t>
      </w:r>
      <w:r>
        <w:t xml:space="preserve"> </w:t>
      </w:r>
      <w:r>
        <w:t xml:space="preserve">	</w:t>
      </w:r>
      <w:r>
        <w:t xml:space="preserve">C. Liang, D. Wang, M. Yang, W. Sun, S. Zhang, Removal of eathy-must odorants in drinking water by powdered activated carbon, Journal of Environmental Science and Health 40 (2005) 767–778. https://doi.org/</w:t>
      </w:r>
      <w:hyperlink r:id="rId177">
        <w:r>
          <w:rPr>
            <w:rStyle w:val="Hyperlink"/>
          </w:rPr>
          <w:t xml:space="preserve">10.1081/ese-200048262</w:t>
        </w:r>
      </w:hyperlink>
      <w:r>
        <w:t xml:space="preserve">.</w:t>
      </w:r>
    </w:p>
    <w:bookmarkEnd w:id="178"/>
    <w:bookmarkStart w:id="179" w:name="ref-sherr1993preservation"/>
    <w:p>
      <w:pPr>
        <w:pStyle w:val="Bibliography"/>
      </w:pPr>
      <w:r>
        <w:t xml:space="preserve">[53]</w:t>
      </w:r>
      <w:r>
        <w:t xml:space="preserve"> </w:t>
      </w:r>
      <w:r>
        <w:t xml:space="preserve">	</w:t>
      </w:r>
      <w:r>
        <w:t xml:space="preserve">E.B. Sherr, B.F. Sherr, Preservation and storage of samples for enumeration of heterotrophic protists, Handbook of Methods in Aquatic Microbial Ecology. Lewis Publishers, Boca Raton (1993) 207–212.</w:t>
      </w:r>
    </w:p>
    <w:bookmarkEnd w:id="179"/>
    <w:bookmarkStart w:id="180" w:name="ref-komarek1998cyanoprokaryota"/>
    <w:p>
      <w:pPr>
        <w:pStyle w:val="Bibliography"/>
      </w:pPr>
      <w:r>
        <w:t xml:space="preserve">[54]</w:t>
      </w:r>
      <w:r>
        <w:t xml:space="preserve"> </w:t>
      </w:r>
      <w:r>
        <w:t xml:space="preserve">	</w:t>
      </w:r>
      <w:r>
        <w:t xml:space="preserve">J. Komárek, K. Anagnostidis, Cyanoprokaryota 1, Deu, 1998.</w:t>
      </w:r>
    </w:p>
    <w:bookmarkEnd w:id="180"/>
    <w:bookmarkStart w:id="181" w:name="ref-komarek2014taxonomic"/>
    <w:p>
      <w:pPr>
        <w:pStyle w:val="Bibliography"/>
      </w:pPr>
      <w:r>
        <w:t xml:space="preserve">[55]</w:t>
      </w:r>
      <w:r>
        <w:t xml:space="preserve"> </w:t>
      </w:r>
      <w:r>
        <w:t xml:space="preserve">	</w:t>
      </w:r>
      <w:r>
        <w:t xml:space="preserve">J. Komarek, J. Kastovsky, J. Mares, J.R. Johansen, Taxonomic classification of cyanoprokaryotes (cyanobacterial genera) 2014, using a polyphasic approach, Preslia 86 (2014) 295–335.</w:t>
      </w:r>
    </w:p>
    <w:bookmarkEnd w:id="181"/>
    <w:bookmarkStart w:id="182" w:name="ref-utermohl1958vervollkommnung"/>
    <w:p>
      <w:pPr>
        <w:pStyle w:val="Bibliography"/>
      </w:pPr>
      <w:r>
        <w:t xml:space="preserve">[56]</w:t>
      </w:r>
      <w:r>
        <w:t xml:space="preserve"> </w:t>
      </w:r>
      <w:r>
        <w:t xml:space="preserve">	</w:t>
      </w:r>
      <w:r>
        <w:t xml:space="preserve">H. Utermöhl, Zur vervollkommnung der quantitativen phytoplankton-methodik, Mitteilungen Internationale Vereinigung Für Theoretische Und Angewandte Limnologie 9 (1958) 1–38.</w:t>
      </w:r>
    </w:p>
    <w:bookmarkEnd w:id="182"/>
    <w:bookmarkStart w:id="184" w:name="ref-r2021r"/>
    <w:p>
      <w:pPr>
        <w:pStyle w:val="Bibliography"/>
      </w:pPr>
      <w:r>
        <w:t xml:space="preserve">[57]</w:t>
      </w:r>
      <w:r>
        <w:t xml:space="preserve"> </w:t>
      </w:r>
      <w:r>
        <w:t xml:space="preserve">	</w:t>
      </w:r>
      <w:r>
        <w:t xml:space="preserve">R Core Team,</w:t>
      </w:r>
      <w:r>
        <w:t xml:space="preserve"> </w:t>
      </w:r>
      <w:r>
        <w:t xml:space="preserve">R</w:t>
      </w:r>
      <w:r>
        <w:t xml:space="preserve">: A language and environment for statistical computing, R Foundation for Statistical Computing, Vienna, Austria, 2021.</w:t>
      </w:r>
      <w:r>
        <w:t xml:space="preserve"> </w:t>
      </w:r>
      <w:hyperlink r:id="rId183">
        <w:r>
          <w:rPr>
            <w:rStyle w:val="Hyperlink"/>
          </w:rPr>
          <w:t xml:space="preserve">https://www.r-project.org/</w:t>
        </w:r>
      </w:hyperlink>
      <w:r>
        <w:t xml:space="preserve">.</w:t>
      </w:r>
    </w:p>
    <w:bookmarkEnd w:id="184"/>
    <w:bookmarkStart w:id="186" w:name="ref-timbers2022r"/>
    <w:p>
      <w:pPr>
        <w:pStyle w:val="Bibliography"/>
      </w:pPr>
      <w:r>
        <w:t xml:space="preserve">[58]</w:t>
      </w:r>
      <w:r>
        <w:t xml:space="preserve"> </w:t>
      </w:r>
      <w:r>
        <w:t xml:space="preserve">	</w:t>
      </w:r>
      <w:r>
        <w:t xml:space="preserve">T. Timbers, T. Campbell, M. Lee, R and the tidyverse, in: Data Science, Chapman; Hall/CRC, 2022: pp. 1–26. https://doi.org/</w:t>
      </w:r>
      <w:hyperlink r:id="rId185">
        <w:r>
          <w:rPr>
            <w:rStyle w:val="Hyperlink"/>
          </w:rPr>
          <w:t xml:space="preserve">10.1201/9781003080978-1</w:t>
        </w:r>
      </w:hyperlink>
      <w:r>
        <w:t xml:space="preserve">.</w:t>
      </w:r>
    </w:p>
    <w:bookmarkEnd w:id="186"/>
    <w:bookmarkStart w:id="187" w:name="ref-wood2017generalized"/>
    <w:p>
      <w:pPr>
        <w:pStyle w:val="Bibliography"/>
      </w:pPr>
      <w:r>
        <w:t xml:space="preserve">[59]</w:t>
      </w:r>
      <w:r>
        <w:t xml:space="preserve"> </w:t>
      </w:r>
      <w:r>
        <w:t xml:space="preserve">	</w:t>
      </w:r>
      <w:r>
        <w:t xml:space="preserve">S.N. Wood, Generalized</w:t>
      </w:r>
      <w:r>
        <w:t xml:space="preserve"> </w:t>
      </w:r>
      <w:r>
        <w:t xml:space="preserve">A</w:t>
      </w:r>
      <w:r>
        <w:t xml:space="preserve">dditive</w:t>
      </w:r>
      <w:r>
        <w:t xml:space="preserve"> </w:t>
      </w:r>
      <w:r>
        <w:t xml:space="preserve">M</w:t>
      </w:r>
      <w:r>
        <w:t xml:space="preserve">odels: An introduction with</w:t>
      </w:r>
      <w:r>
        <w:t xml:space="preserve"> </w:t>
      </w:r>
      <w:r>
        <w:t xml:space="preserve">R</w:t>
      </w:r>
      <w:r>
        <w:t xml:space="preserve">, 2nd ed., Chapman; Hall/CRC, 2017.</w:t>
      </w:r>
    </w:p>
    <w:bookmarkEnd w:id="187"/>
    <w:bookmarkStart w:id="189" w:name="ref-koenker2017handbook"/>
    <w:p>
      <w:pPr>
        <w:pStyle w:val="Bibliography"/>
      </w:pPr>
      <w:r>
        <w:t xml:space="preserve">[60]</w:t>
      </w:r>
      <w:r>
        <w:t xml:space="preserve"> </w:t>
      </w:r>
      <w:r>
        <w:t xml:space="preserve">	</w:t>
      </w:r>
      <w:r>
        <w:t xml:space="preserve">R. Koenker, V. Chernozhukov, X. He, L. Peng, eds., Handbook of quantile regression, 1st ed., Chapman; Hall/CRC, 2017. https://doi.org/</w:t>
      </w:r>
      <w:hyperlink r:id="rId188">
        <w:r>
          <w:rPr>
            <w:rStyle w:val="Hyperlink"/>
          </w:rPr>
          <w:t xml:space="preserve">10.1201/9781315120256</w:t>
        </w:r>
      </w:hyperlink>
      <w:r>
        <w:t xml:space="preserve">.</w:t>
      </w:r>
    </w:p>
    <w:bookmarkEnd w:id="189"/>
    <w:bookmarkStart w:id="191" w:name="ref-wickham2009ggplot"/>
    <w:p>
      <w:pPr>
        <w:pStyle w:val="Bibliography"/>
      </w:pPr>
      <w:r>
        <w:t xml:space="preserve">[61]</w:t>
      </w:r>
      <w:r>
        <w:t xml:space="preserve"> </w:t>
      </w:r>
      <w:r>
        <w:t xml:space="preserve">	</w:t>
      </w:r>
      <w:r>
        <w:t xml:space="preserve">H. Wickham, Introduction, in:</w:t>
      </w:r>
      <w:r>
        <w:t xml:space="preserve"> </w:t>
      </w:r>
      <w:r>
        <w:t xml:space="preserve">ggplot2</w:t>
      </w:r>
      <w:r>
        <w:t xml:space="preserve">, Springer New York, 2009: pp. 1–7. https://doi.org/</w:t>
      </w:r>
      <w:hyperlink r:id="rId190">
        <w:r>
          <w:rPr>
            <w:rStyle w:val="Hyperlink"/>
          </w:rPr>
          <w:t xml:space="preserve">10.1007/978-0-387-98141-3_1</w:t>
        </w:r>
      </w:hyperlink>
      <w:r>
        <w:t xml:space="preserve">.</w:t>
      </w:r>
    </w:p>
    <w:bookmarkEnd w:id="191"/>
    <w:bookmarkStart w:id="193" w:name="ref-liu2019production"/>
    <w:p>
      <w:pPr>
        <w:pStyle w:val="Bibliography"/>
      </w:pPr>
      <w:r>
        <w:t xml:space="preserve">[62]</w:t>
      </w:r>
      <w:r>
        <w:t xml:space="preserve"> </w:t>
      </w:r>
      <w:r>
        <w:t xml:space="preserve">	</w:t>
      </w:r>
      <w:r>
        <w:t xml:space="preserve">T. Liu, J. Yu, M. Su, Z. Jia, C. Wang, Y. Zhang, C. Dou, M. Burch, M. Yang, Production and fate of fishy odorants produced by two freshwater chrysophyte species under different temperature and light conditions, Water Research 157 (2019) 529–534. https://doi.org/</w:t>
      </w:r>
      <w:hyperlink r:id="rId192">
        <w:r>
          <w:rPr>
            <w:rStyle w:val="Hyperlink"/>
          </w:rPr>
          <w:t xml:space="preserve">10.1016/j.watres.2019.04.004</w:t>
        </w:r>
      </w:hyperlink>
      <w:r>
        <w:t xml:space="preserve">.</w:t>
      </w:r>
    </w:p>
    <w:bookmarkEnd w:id="193"/>
    <w:bookmarkStart w:id="195" w:name="ref-perkins2019managing"/>
    <w:p>
      <w:pPr>
        <w:pStyle w:val="Bibliography"/>
      </w:pPr>
      <w:r>
        <w:t xml:space="preserve">[63]</w:t>
      </w:r>
      <w:r>
        <w:t xml:space="preserve"> </w:t>
      </w:r>
      <w:r>
        <w:t xml:space="preserve">	</w:t>
      </w:r>
      <w:r>
        <w:t xml:space="preserve">R.G. Perkins, E.I. Slavin, T.M.C. Andrade, C. Blenkinsopp, P. Pearson, T. Froggatt, G. Godwin, J. Parslow, S. Hurley, R. Luckwell, D.J. Wain, Managing taste and odour metabolite production in drinking water reservoirs: The importance of ammonium as a key nutrient trigger, Journal of Environmental Management 244 (2019) 276–284. https://doi.org/</w:t>
      </w:r>
      <w:hyperlink r:id="rId194">
        <w:r>
          <w:rPr>
            <w:rStyle w:val="Hyperlink"/>
          </w:rPr>
          <w:t xml:space="preserve">10.1016/j.jenvman.2019.04.123</w:t>
        </w:r>
      </w:hyperlink>
      <w:r>
        <w:t xml:space="preserve">.</w:t>
      </w:r>
    </w:p>
    <w:bookmarkEnd w:id="195"/>
    <w:bookmarkStart w:id="197" w:name="ref-bafford1993intracellular"/>
    <w:p>
      <w:pPr>
        <w:pStyle w:val="Bibliography"/>
      </w:pPr>
      <w:r>
        <w:t xml:space="preserve">[64]</w:t>
      </w:r>
      <w:r>
        <w:t xml:space="preserve"> </w:t>
      </w:r>
      <w:r>
        <w:t xml:space="preserve">	</w:t>
      </w:r>
      <w:r>
        <w:t xml:space="preserve">R.A. Bafford, R.W. Seagull, S. Chung, D.F. Millie, INTRACELLULAR LOCALIZATION OF THE TASTE/ODOR METABOLITE 2‐METHYLISOBORNEOL IN OSCILLATORIA LIMOSA (CYANOPHYTA)1, Journal of Phycology 29 (1993) 91–95. https://doi.org/</w:t>
      </w:r>
      <w:hyperlink r:id="rId196">
        <w:r>
          <w:rPr>
            <w:rStyle w:val="Hyperlink"/>
          </w:rPr>
          <w:t xml:space="preserve">10.1111/j.1529-8817.1993.tb00285.x</w:t>
        </w:r>
      </w:hyperlink>
      <w:r>
        <w:t xml:space="preserve">.</w:t>
      </w:r>
    </w:p>
    <w:bookmarkEnd w:id="197"/>
    <w:bookmarkStart w:id="199" w:name="ref-pavel2018contact"/>
    <w:p>
      <w:pPr>
        <w:pStyle w:val="Bibliography"/>
      </w:pPr>
      <w:r>
        <w:t xml:space="preserve">[65]</w:t>
      </w:r>
      <w:r>
        <w:t xml:space="preserve"> </w:t>
      </w:r>
      <w:r>
        <w:t xml:space="preserve">	</w:t>
      </w:r>
      <w:r>
        <w:t xml:space="preserve">M. Pavel, M. Renna, S.J. Park, F.M. Menzies, T. Ricketts, J. Füllgrabe, A. Ashkenazi, R.A. Frake, A.C. Lombarte, C.F. Bento, K. Franze, D.C. Rubinsztein, Contact inhibition controls cell survival and proliferation via YAP/TAZ-autophagy axis, Nature Communications 9 (2018). https://doi.org/</w:t>
      </w:r>
      <w:hyperlink r:id="rId198">
        <w:r>
          <w:rPr>
            <w:rStyle w:val="Hyperlink"/>
          </w:rPr>
          <w:t xml:space="preserve">10.1038/s41467-018-05388-x</w:t>
        </w:r>
      </w:hyperlink>
      <w:r>
        <w:t xml:space="preserve">.</w:t>
      </w:r>
    </w:p>
    <w:bookmarkEnd w:id="199"/>
    <w:bookmarkStart w:id="201" w:name="ref-li2022cooccurrence"/>
    <w:p>
      <w:pPr>
        <w:pStyle w:val="Bibliography"/>
      </w:pPr>
      <w:r>
        <w:t xml:space="preserve">[66]</w:t>
      </w:r>
      <w:r>
        <w:t xml:space="preserve"> </w:t>
      </w:r>
      <w:r>
        <w:t xml:space="preserve">	</w:t>
      </w:r>
      <w:r>
        <w:t xml:space="preserve">H. Li, X. Gu, H. Chen, Z. Mao, R. Shen, Q. Zeng, Y. Ge, Co-occurrence of multiple cyanotoxins and taste-and-odor compounds in the large eutrophic lake taihu, china: Dynamics, driving factors, and challenges for risk assessment, Environmental Pollution 294 (2022) 118594. https://doi.org/</w:t>
      </w:r>
      <w:hyperlink r:id="rId200">
        <w:r>
          <w:rPr>
            <w:rStyle w:val="Hyperlink"/>
          </w:rPr>
          <w:t xml:space="preserve">10.1016/j.envpol.2021.118594</w:t>
        </w:r>
      </w:hyperlink>
      <w:r>
        <w:t xml:space="preserve">.</w:t>
      </w:r>
    </w:p>
    <w:bookmarkEnd w:id="201"/>
    <w:bookmarkStart w:id="203" w:name="ref-shi2023distribution"/>
    <w:p>
      <w:pPr>
        <w:pStyle w:val="Bibliography"/>
      </w:pPr>
      <w:r>
        <w:t xml:space="preserve">[67]</w:t>
      </w:r>
      <w:r>
        <w:t xml:space="preserve"> </w:t>
      </w:r>
      <w:r>
        <w:t xml:space="preserve">	</w:t>
      </w:r>
      <w:r>
        <w:t xml:space="preserve">X. Shi, Q. Huang, X. Shen, J. Wu, J. Nan, J. Li, H. Lu, C. Yang, Distribution, driving forces, and risk assessment of 2-MIB and its producer in a drinking water source-oriented shallow lake, Environmental Science and Pollution Research 30 (2023) 71194–71208. https://doi.org/</w:t>
      </w:r>
      <w:hyperlink r:id="rId202">
        <w:r>
          <w:rPr>
            <w:rStyle w:val="Hyperlink"/>
          </w:rPr>
          <w:t xml:space="preserve">10.1007/s11356-023-27506-z</w:t>
        </w:r>
      </w:hyperlink>
      <w:r>
        <w:t xml:space="preserve">.</w:t>
      </w:r>
    </w:p>
    <w:bookmarkEnd w:id="203"/>
    <w:bookmarkStart w:id="205" w:name="ref-qi2020characterization"/>
    <w:p>
      <w:pPr>
        <w:pStyle w:val="Bibliography"/>
      </w:pPr>
      <w:r>
        <w:t xml:space="preserve">[68]</w:t>
      </w:r>
      <w:r>
        <w:t xml:space="preserve"> </w:t>
      </w:r>
      <w:r>
        <w:t xml:space="preserve">	</w:t>
      </w:r>
      <w:r>
        <w:t xml:space="preserve">C. Qi, J. Fang, G. Wang, H. Huang, Z. Wang, Z. Si, L. Zhang, Characterization of odorants in contrasting ecotypes of lake taihu: Algae-dominated versus macrophyte-dominated zones, Environmental Science and Pollution Research 27 (2020) 42221–42229. https://doi.org/</w:t>
      </w:r>
      <w:hyperlink r:id="rId204">
        <w:r>
          <w:rPr>
            <w:rStyle w:val="Hyperlink"/>
          </w:rPr>
          <w:t xml:space="preserve">10.1007/s11356-020-07896-0</w:t>
        </w:r>
      </w:hyperlink>
      <w:r>
        <w:t xml:space="preserve">.</w:t>
      </w:r>
    </w:p>
    <w:bookmarkEnd w:id="205"/>
    <w:bookmarkStart w:id="207" w:name="ref-rong2018source"/>
    <w:p>
      <w:pPr>
        <w:pStyle w:val="Bibliography"/>
      </w:pPr>
      <w:r>
        <w:t xml:space="preserve">[69]</w:t>
      </w:r>
      <w:r>
        <w:t xml:space="preserve"> </w:t>
      </w:r>
      <w:r>
        <w:t xml:space="preserve">	</w:t>
      </w:r>
      <w:r>
        <w:t xml:space="preserve">C. Rong, D. Liu, Y. Li, K. Yang, X. Han, J. Yu, B. Pan, J. Zhang, M. Yang, Source water odor in one reservoir in hot and humid areas of southern</w:t>
      </w:r>
      <w:r>
        <w:t xml:space="preserve"> </w:t>
      </w:r>
      <w:r>
        <w:t xml:space="preserve">China</w:t>
      </w:r>
      <w:r>
        <w:t xml:space="preserve">: Occurrence, diagnosis and possible mitigation measures, Environmental Sciences Europe 30 (2018). https://doi.org/</w:t>
      </w:r>
      <w:hyperlink r:id="rId206">
        <w:r>
          <w:rPr>
            <w:rStyle w:val="Hyperlink"/>
          </w:rPr>
          <w:t xml:space="preserve">10.1186/s12302-018-0175-8</w:t>
        </w:r>
      </w:hyperlink>
      <w:r>
        <w:t xml:space="preserve">.</w:t>
      </w:r>
    </w:p>
    <w:bookmarkEnd w:id="207"/>
    <w:bookmarkStart w:id="209" w:name="ref-su2022lightdominated"/>
    <w:p>
      <w:pPr>
        <w:pStyle w:val="Bibliography"/>
      </w:pPr>
      <w:r>
        <w:t xml:space="preserve">[70]</w:t>
      </w:r>
      <w:r>
        <w:t xml:space="preserve"> </w:t>
      </w:r>
      <w:r>
        <w:t xml:space="preserve">	</w:t>
      </w:r>
      <w:r>
        <w:t xml:space="preserve">M. Su, Y. Zhu, T. Andersen, X. Wang, Z. Yu, J. Lu, Y. Song, T. Cao, J. Yu, Y. Zhang, M. Yang, Light-dominated selection shaping filamentous cyanobacterial assemblages drives odor problem in a drinking water reservoir, Npj Clean Water 5 (2022) 37. https://doi.org/</w:t>
      </w:r>
      <w:hyperlink r:id="rId208">
        <w:r>
          <w:rPr>
            <w:rStyle w:val="Hyperlink"/>
          </w:rPr>
          <w:t xml:space="preserve">10.1038/s41545-022-00181-2</w:t>
        </w:r>
      </w:hyperlink>
      <w:r>
        <w:t xml:space="preserve">.</w:t>
      </w:r>
    </w:p>
    <w:bookmarkEnd w:id="209"/>
    <w:bookmarkStart w:id="211" w:name="ref-nan2021enclosure"/>
    <w:p>
      <w:pPr>
        <w:pStyle w:val="Bibliography"/>
      </w:pPr>
      <w:r>
        <w:t xml:space="preserve">[71]</w:t>
      </w:r>
      <w:r>
        <w:t xml:space="preserve"> </w:t>
      </w:r>
      <w:r>
        <w:t xml:space="preserve">	</w:t>
      </w:r>
      <w:r>
        <w:t xml:space="preserve">J. Nan, C. Yang, H. Yu, X. Shi, Q. Huang, J. Huang, J. Li, Enclosure culture ban and its effects on water quality and phytoplankton community in a subtropical shallow lake, Aquaculture Research 53 (2021) 221–231. https://doi.org/</w:t>
      </w:r>
      <w:hyperlink r:id="rId210">
        <w:r>
          <w:rPr>
            <w:rStyle w:val="Hyperlink"/>
          </w:rPr>
          <w:t xml:space="preserve">10.1111/are.15568</w:t>
        </w:r>
      </w:hyperlink>
      <w:r>
        <w:t xml:space="preserve">.</w:t>
      </w:r>
    </w:p>
    <w:bookmarkEnd w:id="211"/>
    <w:bookmarkStart w:id="213" w:name="ref-wang2019causality"/>
    <w:p>
      <w:pPr>
        <w:pStyle w:val="Bibliography"/>
      </w:pPr>
      <w:r>
        <w:t xml:space="preserve">[72]</w:t>
      </w:r>
      <w:r>
        <w:t xml:space="preserve"> </w:t>
      </w:r>
      <w:r>
        <w:t xml:space="preserve">	</w:t>
      </w:r>
      <w:r>
        <w:t xml:space="preserve">M. Wang, C. Yoshimura, A. Allam, F. Kimura, T. Honma, Causality analysis and prediction of 2-methylisoborneol production in a reservoir using empirical dynamic modeling, Water Research 163 (2019) 114864. https://doi.org/</w:t>
      </w:r>
      <w:hyperlink r:id="rId212">
        <w:r>
          <w:rPr>
            <w:rStyle w:val="Hyperlink"/>
          </w:rPr>
          <w:t xml:space="preserve">10.1016/j.watres.2019.114864</w:t>
        </w:r>
      </w:hyperlink>
      <w:r>
        <w:t xml:space="preserve">.</w:t>
      </w:r>
    </w:p>
    <w:bookmarkEnd w:id="213"/>
    <w:bookmarkStart w:id="215" w:name="ref-yu2019taste"/>
    <w:p>
      <w:pPr>
        <w:pStyle w:val="Bibliography"/>
      </w:pPr>
      <w:r>
        <w:t xml:space="preserve">[73]</w:t>
      </w:r>
      <w:r>
        <w:t xml:space="preserve"> </w:t>
      </w:r>
      <w:r>
        <w:t xml:space="preserve">	</w:t>
      </w:r>
      <w:r>
        <w:t xml:space="preserve">C. Yu, C. Shi, M. Ji, X. Xu, Z. Zhang, J. Ma, G. Wang, Taste and odor compounds associated with aquatic plants in taihu lake: Distribution and producing potential, Environmental Science and Pollution Research 26 (2019) 34510–34520. https://doi.org/</w:t>
      </w:r>
      <w:hyperlink r:id="rId214">
        <w:r>
          <w:rPr>
            <w:rStyle w:val="Hyperlink"/>
          </w:rPr>
          <w:t xml:space="preserve">10.1007/s11356-019-06188-6</w:t>
        </w:r>
      </w:hyperlink>
      <w:r>
        <w:t xml:space="preserve">.</w:t>
      </w:r>
    </w:p>
    <w:bookmarkEnd w:id="215"/>
    <w:bookmarkStart w:id="217" w:name="ref-su2019succession"/>
    <w:p>
      <w:pPr>
        <w:pStyle w:val="Bibliography"/>
      </w:pPr>
      <w:r>
        <w:t xml:space="preserve">[74]</w:t>
      </w:r>
      <w:r>
        <w:t xml:space="preserve"> </w:t>
      </w:r>
      <w:r>
        <w:t xml:space="preserve">	</w:t>
      </w:r>
      <w:r>
        <w:t xml:space="preserve">M. Su, T. Andersen, M. Burch, Z. Jia, W. An, J. Yu, M. Yang, Succession and interaction of surface and subsurface cyanobacterial blooms in oligotrophic/mesotrophic reservoirs: A case study in</w:t>
      </w:r>
      <w:r>
        <w:t xml:space="preserve"> </w:t>
      </w:r>
      <w:r>
        <w:t xml:space="preserve">Miyun Reservoir</w:t>
      </w:r>
      <w:r>
        <w:t xml:space="preserve">, Science of the Total Environment 649 (2019) 1553–1562. https://doi.org/</w:t>
      </w:r>
      <w:hyperlink r:id="rId216">
        <w:r>
          <w:rPr>
            <w:rStyle w:val="Hyperlink"/>
          </w:rPr>
          <w:t xml:space="preserve">J.scitotenv.2018.08.307</w:t>
        </w:r>
      </w:hyperlink>
      <w:r>
        <w:t xml:space="preserve">.</w:t>
      </w:r>
    </w:p>
    <w:bookmarkEnd w:id="217"/>
    <w:bookmarkStart w:id="219" w:name="ref-deng2019the"/>
    <w:p>
      <w:pPr>
        <w:pStyle w:val="Bibliography"/>
      </w:pPr>
      <w:r>
        <w:t xml:space="preserve">[75]</w:t>
      </w:r>
      <w:r>
        <w:t xml:space="preserve"> </w:t>
      </w:r>
      <w:r>
        <w:t xml:space="preserve">	</w:t>
      </w:r>
      <w:r>
        <w:t xml:space="preserve">X. Deng, M. Qi, R. Ren, J. Liu, X. Sun, P. Xie, J. Chen, The relationships between odors and environmental factors at bloom and non-bloom area in lake taihu, china, Chemosphere 218 (2019) 569–576. https://doi.org/</w:t>
      </w:r>
      <w:hyperlink r:id="rId218">
        <w:r>
          <w:rPr>
            <w:rStyle w:val="Hyperlink"/>
          </w:rPr>
          <w:t xml:space="preserve">10.1016/j.chemosphere.2018.11.121</w:t>
        </w:r>
      </w:hyperlink>
      <w:r>
        <w:t xml:space="preserve">.</w:t>
      </w:r>
    </w:p>
    <w:bookmarkEnd w:id="219"/>
    <w:bookmarkEnd w:id="220"/>
    <w:bookmarkEnd w:id="221"/>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jou"/>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0" Target="media/rId40.png" /><Relationship Type="http://schemas.openxmlformats.org/officeDocument/2006/relationships/image" Id="rId44" Target="media/rId44.png" /><Relationship Type="http://schemas.openxmlformats.org/officeDocument/2006/relationships/image" Id="rId49" Target="media/rId49.png" /><Relationship Type="http://schemas.openxmlformats.org/officeDocument/2006/relationships/image" Id="rId53" Target="media/rId53.png" /><Relationship Type="http://schemas.openxmlformats.org/officeDocument/2006/relationships/image" Id="rId64" Target="media/rId64.png" /><Relationship Type="http://schemas.openxmlformats.org/officeDocument/2006/relationships/image" Id="rId58" Target="media/rId58.png" /><Relationship Type="http://schemas.openxmlformats.org/officeDocument/2006/relationships/image" Id="rId35" Target="media/rId35.png" /><Relationship Type="http://schemas.openxmlformats.org/officeDocument/2006/relationships/hyperlink" Id="rId102" Target="https://doi.org/10.1002/anie.200702496" TargetMode="External" /><Relationship Type="http://schemas.openxmlformats.org/officeDocument/2006/relationships/hyperlink" Id="rId163" Target="https://doi.org/10.1002/jcp.1041070111" TargetMode="External" /><Relationship Type="http://schemas.openxmlformats.org/officeDocument/2006/relationships/hyperlink" Id="rId190" Target="https://doi.org/10.1007/978-0-387-98141-3_1" TargetMode="External" /><Relationship Type="http://schemas.openxmlformats.org/officeDocument/2006/relationships/hyperlink" Id="rId119" Target="https://doi.org/10.1007/bf00408253" TargetMode="External" /><Relationship Type="http://schemas.openxmlformats.org/officeDocument/2006/relationships/hyperlink" Id="rId116" Target="https://doi.org/10.1007/s10811-008-9363-z" TargetMode="External" /><Relationship Type="http://schemas.openxmlformats.org/officeDocument/2006/relationships/hyperlink" Id="rId123" Target="https://doi.org/10.1007/s10811-016-0864-x" TargetMode="External" /><Relationship Type="http://schemas.openxmlformats.org/officeDocument/2006/relationships/hyperlink" Id="rId129" Target="https://doi.org/10.1007/s10811-017-1233-0" TargetMode="External" /><Relationship Type="http://schemas.openxmlformats.org/officeDocument/2006/relationships/hyperlink" Id="rId214" Target="https://doi.org/10.1007/s11356-019-06188-6" TargetMode="External" /><Relationship Type="http://schemas.openxmlformats.org/officeDocument/2006/relationships/hyperlink" Id="rId204" Target="https://doi.org/10.1007/s11356-020-07896-0" TargetMode="External" /><Relationship Type="http://schemas.openxmlformats.org/officeDocument/2006/relationships/hyperlink" Id="rId202" Target="https://doi.org/10.1007/s11356-023-27506-z" TargetMode="External" /><Relationship Type="http://schemas.openxmlformats.org/officeDocument/2006/relationships/hyperlink" Id="rId121" Target="https://doi.org/10.1016/0273-1223(95)00472-y" TargetMode="External" /><Relationship Type="http://schemas.openxmlformats.org/officeDocument/2006/relationships/hyperlink" Id="rId114" Target="https://doi.org/10.1016/0273-1223(95)00473-Z" TargetMode="External" /><Relationship Type="http://schemas.openxmlformats.org/officeDocument/2006/relationships/hyperlink" Id="rId90" Target="https://doi.org/10.1016/S0273-1223(99)00538-7" TargetMode="External" /><Relationship Type="http://schemas.openxmlformats.org/officeDocument/2006/relationships/hyperlink" Id="rId167" Target="https://doi.org/10.1016/j.apm.2015.04.016" TargetMode="External" /><Relationship Type="http://schemas.openxmlformats.org/officeDocument/2006/relationships/hyperlink" Id="rId149" Target="https://doi.org/10.1016/j.bpj.2023.11.2493" TargetMode="External" /><Relationship Type="http://schemas.openxmlformats.org/officeDocument/2006/relationships/hyperlink" Id="rId143" Target="https://doi.org/10.1016/j.bse.2014.12.013" TargetMode="External" /><Relationship Type="http://schemas.openxmlformats.org/officeDocument/2006/relationships/hyperlink" Id="rId153" Target="https://doi.org/10.1016/j.ceb.2021.07.011" TargetMode="External" /><Relationship Type="http://schemas.openxmlformats.org/officeDocument/2006/relationships/hyperlink" Id="rId218" Target="https://doi.org/10.1016/j.chemosphere.2018.11.121" TargetMode="External" /><Relationship Type="http://schemas.openxmlformats.org/officeDocument/2006/relationships/hyperlink" Id="rId127" Target="https://doi.org/10.1016/j.ecoenv.2024.116198" TargetMode="External" /><Relationship Type="http://schemas.openxmlformats.org/officeDocument/2006/relationships/hyperlink" Id="rId173" Target="https://doi.org/10.1016/j.ecolmodel.2023.110475" TargetMode="External" /><Relationship Type="http://schemas.openxmlformats.org/officeDocument/2006/relationships/hyperlink" Id="rId200" Target="https://doi.org/10.1016/j.envpol.2021.118594" TargetMode="External" /><Relationship Type="http://schemas.openxmlformats.org/officeDocument/2006/relationships/hyperlink" Id="rId175" Target="https://doi.org/10.1016/j.hal.2010.03.003" TargetMode="External" /><Relationship Type="http://schemas.openxmlformats.org/officeDocument/2006/relationships/hyperlink" Id="rId141" Target="https://doi.org/10.1016/j.hal.2019.101658" TargetMode="External" /><Relationship Type="http://schemas.openxmlformats.org/officeDocument/2006/relationships/hyperlink" Id="rId194" Target="https://doi.org/10.1016/j.jenvman.2019.04.123" TargetMode="External" /><Relationship Type="http://schemas.openxmlformats.org/officeDocument/2006/relationships/hyperlink" Id="rId104" Target="https://doi.org/10.1016/j.jes.2021.03.026" TargetMode="External" /><Relationship Type="http://schemas.openxmlformats.org/officeDocument/2006/relationships/hyperlink" Id="rId171" Target="https://doi.org/10.1016/j.jtbi.2023.111645" TargetMode="External" /><Relationship Type="http://schemas.openxmlformats.org/officeDocument/2006/relationships/hyperlink" Id="rId147" Target="https://doi.org/10.1016/j.tcb.2012.11.006" TargetMode="External" /><Relationship Type="http://schemas.openxmlformats.org/officeDocument/2006/relationships/hyperlink" Id="rId112" Target="https://doi.org/10.1016/j.watres.2006.10.012" TargetMode="External" /><Relationship Type="http://schemas.openxmlformats.org/officeDocument/2006/relationships/hyperlink" Id="rId82" Target="https://doi.org/10.1016/j.watres.2014.09.037" TargetMode="External" /><Relationship Type="http://schemas.openxmlformats.org/officeDocument/2006/relationships/hyperlink" Id="rId106" Target="https://doi.org/10.1016/j.watres.2014.09.038" TargetMode="External" /><Relationship Type="http://schemas.openxmlformats.org/officeDocument/2006/relationships/hyperlink" Id="rId192" Target="https://doi.org/10.1016/j.watres.2019.04.004" TargetMode="External" /><Relationship Type="http://schemas.openxmlformats.org/officeDocument/2006/relationships/hyperlink" Id="rId94" Target="https://doi.org/10.1016/j.watres.2019.06.066" TargetMode="External" /><Relationship Type="http://schemas.openxmlformats.org/officeDocument/2006/relationships/hyperlink" Id="rId212" Target="https://doi.org/10.1016/j.watres.2019.114864" TargetMode="External" /><Relationship Type="http://schemas.openxmlformats.org/officeDocument/2006/relationships/hyperlink" Id="rId92" Target="https://doi.org/10.1016/j.watres.2020.115574" TargetMode="External" /><Relationship Type="http://schemas.openxmlformats.org/officeDocument/2006/relationships/hyperlink" Id="rId80" Target="https://doi.org/10.1016/j.watres.2020.116478" TargetMode="External" /><Relationship Type="http://schemas.openxmlformats.org/officeDocument/2006/relationships/hyperlink" Id="rId139" Target="https://doi.org/10.1016/j.watres.2022.118670" TargetMode="External" /><Relationship Type="http://schemas.openxmlformats.org/officeDocument/2006/relationships/hyperlink" Id="rId110" Target="https://doi.org/10.1016/j.watres.2023.119667" TargetMode="External" /><Relationship Type="http://schemas.openxmlformats.org/officeDocument/2006/relationships/hyperlink" Id="rId108" Target="https://doi.org/10.1016/j.watres.2023.120485" TargetMode="External" /><Relationship Type="http://schemas.openxmlformats.org/officeDocument/2006/relationships/hyperlink" Id="rId88" Target="https://doi.org/10.1016/s0273-1223(99)00531-4" TargetMode="External" /><Relationship Type="http://schemas.openxmlformats.org/officeDocument/2006/relationships/hyperlink" Id="rId86" Target="https://doi.org/10.1021/acsestwater.3c00477" TargetMode="External" /><Relationship Type="http://schemas.openxmlformats.org/officeDocument/2006/relationships/hyperlink" Id="rId131" Target="https://doi.org/10.1021/es102992p" TargetMode="External" /><Relationship Type="http://schemas.openxmlformats.org/officeDocument/2006/relationships/hyperlink" Id="rId157" Target="https://doi.org/10.1038/nature10999" TargetMode="External" /><Relationship Type="http://schemas.openxmlformats.org/officeDocument/2006/relationships/hyperlink" Id="rId198" Target="https://doi.org/10.1038/s41467-018-05388-x" TargetMode="External" /><Relationship Type="http://schemas.openxmlformats.org/officeDocument/2006/relationships/hyperlink" Id="rId137" Target="https://doi.org/10.1038/s41467-024-54175-4" TargetMode="External" /><Relationship Type="http://schemas.openxmlformats.org/officeDocument/2006/relationships/hyperlink" Id="rId208" Target="https://doi.org/10.1038/s41545-022-00181-2" TargetMode="External" /><Relationship Type="http://schemas.openxmlformats.org/officeDocument/2006/relationships/hyperlink" Id="rId151" Target="https://doi.org/10.1038/s41556-024-01415-w" TargetMode="External" /><Relationship Type="http://schemas.openxmlformats.org/officeDocument/2006/relationships/hyperlink" Id="rId159" Target="https://doi.org/10.1038/sj.onc.1207325" TargetMode="External" /><Relationship Type="http://schemas.openxmlformats.org/officeDocument/2006/relationships/hyperlink" Id="rId145" Target="https://doi.org/10.1046/j.1529-8817.1999.3561422.x" TargetMode="External" /><Relationship Type="http://schemas.openxmlformats.org/officeDocument/2006/relationships/hyperlink" Id="rId135" Target="https://doi.org/10.1073/pnas.0802312105" TargetMode="External" /><Relationship Type="http://schemas.openxmlformats.org/officeDocument/2006/relationships/hyperlink" Id="rId100" Target="https://doi.org/10.1073/pnas.1422108112" TargetMode="External" /><Relationship Type="http://schemas.openxmlformats.org/officeDocument/2006/relationships/hyperlink" Id="rId169" Target="https://doi.org/10.1080/10408699891274246" TargetMode="External" /><Relationship Type="http://schemas.openxmlformats.org/officeDocument/2006/relationships/hyperlink" Id="rId177" Target="https://doi.org/10.1081/ese-200048262" TargetMode="External" /><Relationship Type="http://schemas.openxmlformats.org/officeDocument/2006/relationships/hyperlink" Id="rId210" Target="https://doi.org/10.1111/are.15568" TargetMode="External" /><Relationship Type="http://schemas.openxmlformats.org/officeDocument/2006/relationships/hyperlink" Id="rId161" Target="https://doi.org/10.1111/gtc.12461" TargetMode="External" /><Relationship Type="http://schemas.openxmlformats.org/officeDocument/2006/relationships/hyperlink" Id="rId155" Target="https://doi.org/10.1111/j.1365-2184.1984.tb00604.x" TargetMode="External" /><Relationship Type="http://schemas.openxmlformats.org/officeDocument/2006/relationships/hyperlink" Id="rId196" Target="https://doi.org/10.1111/j.1529-8817.1993.tb00285.x" TargetMode="External" /><Relationship Type="http://schemas.openxmlformats.org/officeDocument/2006/relationships/hyperlink" Id="rId98" Target="https://doi.org/10.1139/f76-004" TargetMode="External" /><Relationship Type="http://schemas.openxmlformats.org/officeDocument/2006/relationships/hyperlink" Id="rId206" Target="https://doi.org/10.1186/s12302-018-0175-8" TargetMode="External" /><Relationship Type="http://schemas.openxmlformats.org/officeDocument/2006/relationships/hyperlink" Id="rId185" Target="https://doi.org/10.1201/9781003080978-1" TargetMode="External" /><Relationship Type="http://schemas.openxmlformats.org/officeDocument/2006/relationships/hyperlink" Id="rId188" Target="https://doi.org/10.1201/9781315120256" TargetMode="External" /><Relationship Type="http://schemas.openxmlformats.org/officeDocument/2006/relationships/hyperlink" Id="rId133" Target="https://doi.org/10.1371/journal.pone.0018665" TargetMode="External" /><Relationship Type="http://schemas.openxmlformats.org/officeDocument/2006/relationships/hyperlink" Id="rId165" Target="https://doi.org/10.1371/journal.pone.0178691" TargetMode="External" /><Relationship Type="http://schemas.openxmlformats.org/officeDocument/2006/relationships/hyperlink" Id="rId84" Target="https://doi.org/10.2166/wst.2004.0524" TargetMode="External" /><Relationship Type="http://schemas.openxmlformats.org/officeDocument/2006/relationships/hyperlink" Id="rId125" Target="https://doi.org/10.4014/jmb.1702.02069" TargetMode="External" /><Relationship Type="http://schemas.openxmlformats.org/officeDocument/2006/relationships/hyperlink" Id="rId216" Target="https://doi.org/J.scitotenv.2018.08.307" TargetMode="External" /><Relationship Type="http://schemas.openxmlformats.org/officeDocument/2006/relationships/hyperlink" Id="rId77" Target="https://git.drwater.net/codes/ai2025cyanobacterial.git" TargetMode="External" /><Relationship Type="http://schemas.openxmlformats.org/officeDocument/2006/relationships/hyperlink" Id="rId183" Target="https://www.r-project.org/" TargetMode="External" /><Relationship Type="http://schemas.openxmlformats.org/officeDocument/2006/relationships/hyperlink" Id="rId20"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102" Target="https://doi.org/10.1002/anie.200702496" TargetMode="External" /><Relationship Type="http://schemas.openxmlformats.org/officeDocument/2006/relationships/hyperlink" Id="rId163" Target="https://doi.org/10.1002/jcp.1041070111" TargetMode="External" /><Relationship Type="http://schemas.openxmlformats.org/officeDocument/2006/relationships/hyperlink" Id="rId190" Target="https://doi.org/10.1007/978-0-387-98141-3_1" TargetMode="External" /><Relationship Type="http://schemas.openxmlformats.org/officeDocument/2006/relationships/hyperlink" Id="rId119" Target="https://doi.org/10.1007/bf00408253" TargetMode="External" /><Relationship Type="http://schemas.openxmlformats.org/officeDocument/2006/relationships/hyperlink" Id="rId116" Target="https://doi.org/10.1007/s10811-008-9363-z" TargetMode="External" /><Relationship Type="http://schemas.openxmlformats.org/officeDocument/2006/relationships/hyperlink" Id="rId123" Target="https://doi.org/10.1007/s10811-016-0864-x" TargetMode="External" /><Relationship Type="http://schemas.openxmlformats.org/officeDocument/2006/relationships/hyperlink" Id="rId129" Target="https://doi.org/10.1007/s10811-017-1233-0" TargetMode="External" /><Relationship Type="http://schemas.openxmlformats.org/officeDocument/2006/relationships/hyperlink" Id="rId214" Target="https://doi.org/10.1007/s11356-019-06188-6" TargetMode="External" /><Relationship Type="http://schemas.openxmlformats.org/officeDocument/2006/relationships/hyperlink" Id="rId204" Target="https://doi.org/10.1007/s11356-020-07896-0" TargetMode="External" /><Relationship Type="http://schemas.openxmlformats.org/officeDocument/2006/relationships/hyperlink" Id="rId202" Target="https://doi.org/10.1007/s11356-023-27506-z" TargetMode="External" /><Relationship Type="http://schemas.openxmlformats.org/officeDocument/2006/relationships/hyperlink" Id="rId121" Target="https://doi.org/10.1016/0273-1223(95)00472-y" TargetMode="External" /><Relationship Type="http://schemas.openxmlformats.org/officeDocument/2006/relationships/hyperlink" Id="rId114" Target="https://doi.org/10.1016/0273-1223(95)00473-Z" TargetMode="External" /><Relationship Type="http://schemas.openxmlformats.org/officeDocument/2006/relationships/hyperlink" Id="rId90" Target="https://doi.org/10.1016/S0273-1223(99)00538-7" TargetMode="External" /><Relationship Type="http://schemas.openxmlformats.org/officeDocument/2006/relationships/hyperlink" Id="rId167" Target="https://doi.org/10.1016/j.apm.2015.04.016" TargetMode="External" /><Relationship Type="http://schemas.openxmlformats.org/officeDocument/2006/relationships/hyperlink" Id="rId149" Target="https://doi.org/10.1016/j.bpj.2023.11.2493" TargetMode="External" /><Relationship Type="http://schemas.openxmlformats.org/officeDocument/2006/relationships/hyperlink" Id="rId143" Target="https://doi.org/10.1016/j.bse.2014.12.013" TargetMode="External" /><Relationship Type="http://schemas.openxmlformats.org/officeDocument/2006/relationships/hyperlink" Id="rId153" Target="https://doi.org/10.1016/j.ceb.2021.07.011" TargetMode="External" /><Relationship Type="http://schemas.openxmlformats.org/officeDocument/2006/relationships/hyperlink" Id="rId218" Target="https://doi.org/10.1016/j.chemosphere.2018.11.121" TargetMode="External" /><Relationship Type="http://schemas.openxmlformats.org/officeDocument/2006/relationships/hyperlink" Id="rId127" Target="https://doi.org/10.1016/j.ecoenv.2024.116198" TargetMode="External" /><Relationship Type="http://schemas.openxmlformats.org/officeDocument/2006/relationships/hyperlink" Id="rId173" Target="https://doi.org/10.1016/j.ecolmodel.2023.110475" TargetMode="External" /><Relationship Type="http://schemas.openxmlformats.org/officeDocument/2006/relationships/hyperlink" Id="rId200" Target="https://doi.org/10.1016/j.envpol.2021.118594" TargetMode="External" /><Relationship Type="http://schemas.openxmlformats.org/officeDocument/2006/relationships/hyperlink" Id="rId175" Target="https://doi.org/10.1016/j.hal.2010.03.003" TargetMode="External" /><Relationship Type="http://schemas.openxmlformats.org/officeDocument/2006/relationships/hyperlink" Id="rId141" Target="https://doi.org/10.1016/j.hal.2019.101658" TargetMode="External" /><Relationship Type="http://schemas.openxmlformats.org/officeDocument/2006/relationships/hyperlink" Id="rId194" Target="https://doi.org/10.1016/j.jenvman.2019.04.123" TargetMode="External" /><Relationship Type="http://schemas.openxmlformats.org/officeDocument/2006/relationships/hyperlink" Id="rId104" Target="https://doi.org/10.1016/j.jes.2021.03.026" TargetMode="External" /><Relationship Type="http://schemas.openxmlformats.org/officeDocument/2006/relationships/hyperlink" Id="rId171" Target="https://doi.org/10.1016/j.jtbi.2023.111645" TargetMode="External" /><Relationship Type="http://schemas.openxmlformats.org/officeDocument/2006/relationships/hyperlink" Id="rId147" Target="https://doi.org/10.1016/j.tcb.2012.11.006" TargetMode="External" /><Relationship Type="http://schemas.openxmlformats.org/officeDocument/2006/relationships/hyperlink" Id="rId112" Target="https://doi.org/10.1016/j.watres.2006.10.012" TargetMode="External" /><Relationship Type="http://schemas.openxmlformats.org/officeDocument/2006/relationships/hyperlink" Id="rId82" Target="https://doi.org/10.1016/j.watres.2014.09.037" TargetMode="External" /><Relationship Type="http://schemas.openxmlformats.org/officeDocument/2006/relationships/hyperlink" Id="rId106" Target="https://doi.org/10.1016/j.watres.2014.09.038" TargetMode="External" /><Relationship Type="http://schemas.openxmlformats.org/officeDocument/2006/relationships/hyperlink" Id="rId192" Target="https://doi.org/10.1016/j.watres.2019.04.004" TargetMode="External" /><Relationship Type="http://schemas.openxmlformats.org/officeDocument/2006/relationships/hyperlink" Id="rId94" Target="https://doi.org/10.1016/j.watres.2019.06.066" TargetMode="External" /><Relationship Type="http://schemas.openxmlformats.org/officeDocument/2006/relationships/hyperlink" Id="rId212" Target="https://doi.org/10.1016/j.watres.2019.114864" TargetMode="External" /><Relationship Type="http://schemas.openxmlformats.org/officeDocument/2006/relationships/hyperlink" Id="rId92" Target="https://doi.org/10.1016/j.watres.2020.115574" TargetMode="External" /><Relationship Type="http://schemas.openxmlformats.org/officeDocument/2006/relationships/hyperlink" Id="rId80" Target="https://doi.org/10.1016/j.watres.2020.116478" TargetMode="External" /><Relationship Type="http://schemas.openxmlformats.org/officeDocument/2006/relationships/hyperlink" Id="rId139" Target="https://doi.org/10.1016/j.watres.2022.118670" TargetMode="External" /><Relationship Type="http://schemas.openxmlformats.org/officeDocument/2006/relationships/hyperlink" Id="rId110" Target="https://doi.org/10.1016/j.watres.2023.119667" TargetMode="External" /><Relationship Type="http://schemas.openxmlformats.org/officeDocument/2006/relationships/hyperlink" Id="rId108" Target="https://doi.org/10.1016/j.watres.2023.120485" TargetMode="External" /><Relationship Type="http://schemas.openxmlformats.org/officeDocument/2006/relationships/hyperlink" Id="rId88" Target="https://doi.org/10.1016/s0273-1223(99)00531-4" TargetMode="External" /><Relationship Type="http://schemas.openxmlformats.org/officeDocument/2006/relationships/hyperlink" Id="rId86" Target="https://doi.org/10.1021/acsestwater.3c00477" TargetMode="External" /><Relationship Type="http://schemas.openxmlformats.org/officeDocument/2006/relationships/hyperlink" Id="rId131" Target="https://doi.org/10.1021/es102992p" TargetMode="External" /><Relationship Type="http://schemas.openxmlformats.org/officeDocument/2006/relationships/hyperlink" Id="rId157" Target="https://doi.org/10.1038/nature10999" TargetMode="External" /><Relationship Type="http://schemas.openxmlformats.org/officeDocument/2006/relationships/hyperlink" Id="rId198" Target="https://doi.org/10.1038/s41467-018-05388-x" TargetMode="External" /><Relationship Type="http://schemas.openxmlformats.org/officeDocument/2006/relationships/hyperlink" Id="rId137" Target="https://doi.org/10.1038/s41467-024-54175-4" TargetMode="External" /><Relationship Type="http://schemas.openxmlformats.org/officeDocument/2006/relationships/hyperlink" Id="rId208" Target="https://doi.org/10.1038/s41545-022-00181-2" TargetMode="External" /><Relationship Type="http://schemas.openxmlformats.org/officeDocument/2006/relationships/hyperlink" Id="rId151" Target="https://doi.org/10.1038/s41556-024-01415-w" TargetMode="External" /><Relationship Type="http://schemas.openxmlformats.org/officeDocument/2006/relationships/hyperlink" Id="rId159" Target="https://doi.org/10.1038/sj.onc.1207325" TargetMode="External" /><Relationship Type="http://schemas.openxmlformats.org/officeDocument/2006/relationships/hyperlink" Id="rId145" Target="https://doi.org/10.1046/j.1529-8817.1999.3561422.x" TargetMode="External" /><Relationship Type="http://schemas.openxmlformats.org/officeDocument/2006/relationships/hyperlink" Id="rId135" Target="https://doi.org/10.1073/pnas.0802312105" TargetMode="External" /><Relationship Type="http://schemas.openxmlformats.org/officeDocument/2006/relationships/hyperlink" Id="rId100" Target="https://doi.org/10.1073/pnas.1422108112" TargetMode="External" /><Relationship Type="http://schemas.openxmlformats.org/officeDocument/2006/relationships/hyperlink" Id="rId169" Target="https://doi.org/10.1080/10408699891274246" TargetMode="External" /><Relationship Type="http://schemas.openxmlformats.org/officeDocument/2006/relationships/hyperlink" Id="rId177" Target="https://doi.org/10.1081/ese-200048262" TargetMode="External" /><Relationship Type="http://schemas.openxmlformats.org/officeDocument/2006/relationships/hyperlink" Id="rId210" Target="https://doi.org/10.1111/are.15568" TargetMode="External" /><Relationship Type="http://schemas.openxmlformats.org/officeDocument/2006/relationships/hyperlink" Id="rId161" Target="https://doi.org/10.1111/gtc.12461" TargetMode="External" /><Relationship Type="http://schemas.openxmlformats.org/officeDocument/2006/relationships/hyperlink" Id="rId155" Target="https://doi.org/10.1111/j.1365-2184.1984.tb00604.x" TargetMode="External" /><Relationship Type="http://schemas.openxmlformats.org/officeDocument/2006/relationships/hyperlink" Id="rId196" Target="https://doi.org/10.1111/j.1529-8817.1993.tb00285.x" TargetMode="External" /><Relationship Type="http://schemas.openxmlformats.org/officeDocument/2006/relationships/hyperlink" Id="rId98" Target="https://doi.org/10.1139/f76-004" TargetMode="External" /><Relationship Type="http://schemas.openxmlformats.org/officeDocument/2006/relationships/hyperlink" Id="rId206" Target="https://doi.org/10.1186/s12302-018-0175-8" TargetMode="External" /><Relationship Type="http://schemas.openxmlformats.org/officeDocument/2006/relationships/hyperlink" Id="rId185" Target="https://doi.org/10.1201/9781003080978-1" TargetMode="External" /><Relationship Type="http://schemas.openxmlformats.org/officeDocument/2006/relationships/hyperlink" Id="rId188" Target="https://doi.org/10.1201/9781315120256" TargetMode="External" /><Relationship Type="http://schemas.openxmlformats.org/officeDocument/2006/relationships/hyperlink" Id="rId133" Target="https://doi.org/10.1371/journal.pone.0018665" TargetMode="External" /><Relationship Type="http://schemas.openxmlformats.org/officeDocument/2006/relationships/hyperlink" Id="rId165" Target="https://doi.org/10.1371/journal.pone.0178691" TargetMode="External" /><Relationship Type="http://schemas.openxmlformats.org/officeDocument/2006/relationships/hyperlink" Id="rId84" Target="https://doi.org/10.2166/wst.2004.0524" TargetMode="External" /><Relationship Type="http://schemas.openxmlformats.org/officeDocument/2006/relationships/hyperlink" Id="rId125" Target="https://doi.org/10.4014/jmb.1702.02069" TargetMode="External" /><Relationship Type="http://schemas.openxmlformats.org/officeDocument/2006/relationships/hyperlink" Id="rId216" Target="https://doi.org/J.scitotenv.2018.08.307" TargetMode="External" /><Relationship Type="http://schemas.openxmlformats.org/officeDocument/2006/relationships/hyperlink" Id="rId77" Target="https://git.drwater.net/codes/ai2025cyanobacterial.git" TargetMode="External" /><Relationship Type="http://schemas.openxmlformats.org/officeDocument/2006/relationships/hyperlink" Id="rId183" Target="https://www.r-project.org/" TargetMode="External" /><Relationship Type="http://schemas.openxmlformats.org/officeDocument/2006/relationships/hyperlink" Id="rId20"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2-methylisoborneol (MIB) release dynamics and implications</dc:title>
  <dc:creator/>
  <dc:language>enjou</dc:language>
  <cp:keywords/>
  <dcterms:created xsi:type="dcterms:W3CDTF">2025-06-23T15:05:01Z</dcterms:created>
  <dcterms:modified xsi:type="dcterms:W3CDTF">2025-06-23T15:05:01Z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biblio-config">
    <vt:lpwstr>True</vt:lpwstr>
  </property>
  <property fmtid="{D5CDD505-2E9C-101B-9397-08002B2CF9AE}" pid="4" name="bibliography">
    <vt:lpwstr/>
  </property>
  <property fmtid="{D5CDD505-2E9C-101B-9397-08002B2CF9AE}" pid="5" name="commands">
    <vt:lpwstr/>
  </property>
  <property fmtid="{D5CDD505-2E9C-101B-9397-08002B2CF9AE}" pid="6" name="comments">
    <vt:lpwstr/>
  </property>
  <property fmtid="{D5CDD505-2E9C-101B-9397-08002B2CF9AE}" pid="7" name="crossref">
    <vt:lpwstr/>
  </property>
  <property fmtid="{D5CDD505-2E9C-101B-9397-08002B2CF9AE}" pid="8" name="csl">
    <vt:lpwstr>http://www.zotero.org/styles/journal-of-hazardous-materials</vt:lpwstr>
  </property>
  <property fmtid="{D5CDD505-2E9C-101B-9397-08002B2CF9AE}" pid="9" name="filters">
    <vt:lpwstr/>
  </property>
  <property fmtid="{D5CDD505-2E9C-101B-9397-08002B2CF9AE}" pid="10" name="format">
    <vt:lpwstr/>
  </property>
  <property fmtid="{D5CDD505-2E9C-101B-9397-08002B2CF9AE}" pid="11" name="header-includes">
    <vt:lpwstr/>
  </property>
  <property fmtid="{D5CDD505-2E9C-101B-9397-08002B2CF9AE}" pid="12" name="include-after">
    <vt:lpwstr/>
  </property>
  <property fmtid="{D5CDD505-2E9C-101B-9397-08002B2CF9AE}" pid="13" name="include-before">
    <vt:lpwstr/>
  </property>
  <property fmtid="{D5CDD505-2E9C-101B-9397-08002B2CF9AE}" pid="14" name="labels">
    <vt:lpwstr/>
  </property>
  <property fmtid="{D5CDD505-2E9C-101B-9397-08002B2CF9AE}" pid="15" name="lightbox">
    <vt:lpwstr>auto</vt:lpwstr>
  </property>
  <property fmtid="{D5CDD505-2E9C-101B-9397-08002B2CF9AE}" pid="16" name="msname">
    <vt:lpwstr>MS</vt:lpwstr>
  </property>
  <property fmtid="{D5CDD505-2E9C-101B-9397-08002B2CF9AE}" pid="17" name="smname">
    <vt:lpwstr>SM</vt:lpwstr>
  </property>
  <property fmtid="{D5CDD505-2E9C-101B-9397-08002B2CF9AE}" pid="18" name="submitid">
    <vt:lpwstr/>
  </property>
  <property fmtid="{D5CDD505-2E9C-101B-9397-08002B2CF9AE}" pid="19" name="submitjournal">
    <vt:lpwstr>Journal of Hazardous Materials</vt:lpwstr>
  </property>
  <property fmtid="{D5CDD505-2E9C-101B-9397-08002B2CF9AE}" pid="20" name="toc-title">
    <vt:lpwstr>Table of contents</vt:lpwstr>
  </property>
</Properties>
</file>