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0.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 Beijing 100085, China.</w:t>
      </w:r>
      <w:r>
        <w:br/>
      </w:r>
      <w:r>
        <w:rPr>
          <w:vertAlign w:val="superscript"/>
        </w:rPr>
        <w:t xml:space="preserve">b</w:t>
      </w:r>
      <w:r>
        <w:t xml:space="preserve"> </w:t>
      </w:r>
      <w:r>
        <w:t xml:space="preserve">Bureau of Hydrology Information Center of Taihu Basin Authority, Shanghai 200434, China, Shanghai 200434, [Str "200434"].</w:t>
      </w:r>
      <w:r>
        <w:br/>
      </w:r>
      <w:r>
        <w:rPr>
          <w:vertAlign w:val="superscript"/>
        </w:rPr>
        <w:t xml:space="preserve">c</w:t>
      </w:r>
      <w:r>
        <w:t xml:space="preserve"> </w:t>
      </w:r>
      <w:r>
        <w:t xml:space="preserve">College of Environmental Science and Engineering, Ocean University of China, Qingdao 100049, [Str "100049"].</w:t>
      </w:r>
      <w:r>
        <w:br/>
      </w:r>
      <w:r>
        <w:rPr>
          <w:vertAlign w:val="superscript"/>
        </w:rPr>
        <w:t xml:space="preserve">d</w:t>
      </w:r>
      <w:r>
        <w:t xml:space="preserve"> </w:t>
      </w:r>
      <w:r>
        <w:t xml:space="preserve">University of Chinese Academy of Sciences. No. 19A Yuquan Road, Shijingshan, Beijing, 100049, China, Beijing 100049, [Str "100049"].</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7"/>
    <w:bookmarkStart w:id="32"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5"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Start w:id="64"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3" w:name="fig-lighttemp"/>
          <w:p>
            <w:pPr>
              <w:pStyle w:val="Compact"/>
              <w:jc w:val="center"/>
            </w:pPr>
            <w:r>
              <w:drawing>
                <wp:inline>
                  <wp:extent cx="4602480" cy="3076117"/>
                  <wp:effectExtent b="0" l="0" r="0" t="0"/>
                  <wp:docPr descr="" title="" id="61" name="Picture"/>
                  <a:graphic>
                    <a:graphicData uri="http://schemas.openxmlformats.org/drawingml/2006/picture">
                      <pic:pic>
                        <pic:nvPicPr>
                          <pic:cNvPr descr="../figures/taihualgaerisk_revised.png" id="62" name="Picture"/>
                          <pic:cNvPicPr>
                            <a:picLocks noChangeArrowheads="1" noChangeAspect="1"/>
                          </pic:cNvPicPr>
                        </pic:nvPicPr>
                        <pic:blipFill>
                          <a:blip r:embed="rId60"/>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3"/>
        </w:tc>
      </w:tr>
    </w:tbl>
    <w:bookmarkEnd w:id="64"/>
    <w:bookmarkEnd w:id="65"/>
    <w:bookmarkStart w:id="72" w:name="discussion"/>
    <w:p>
      <w:pPr>
        <w:pStyle w:val="Heading1"/>
      </w:pPr>
      <w:r>
        <w:t xml:space="preserve">Discussion</w:t>
      </w:r>
    </w:p>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640"/>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23" w:name="references"/>
    <w:p>
      <w:pPr>
        <w:pStyle w:val="Heading1"/>
      </w:pPr>
      <w:r>
        <w:t xml:space="preserve">References</w:t>
      </w:r>
    </w:p>
    <w:bookmarkStart w:id="222"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 (2011).</w:t>
      </w:r>
    </w:p>
    <w:bookmarkEnd w:id="81"/>
    <w:bookmarkStart w:id="83" w:name="ref-devi2021quantitative"/>
    <w:p>
      <w:pPr>
        <w:pStyle w:val="Bibliography"/>
      </w:pPr>
      <w:r>
        <w:t xml:space="preserve">2.</w:t>
      </w:r>
      <w:r>
        <w:t xml:space="preserve"> </w:t>
      </w:r>
      <w:r>
        <w:t xml:space="preserve">	</w:t>
      </w:r>
      <w:r>
        <w:t xml:space="preserve">Devi, A., Chiu, Y.-T., Hsueh, H.-T. &amp; Lin, T.-F.</w:t>
      </w:r>
      <w:r>
        <w:t xml:space="preserve"> </w:t>
      </w:r>
      <w:hyperlink r:id="rId82">
        <w:r>
          <w:rPr>
            <w:rStyle w:val="Hyperlink"/>
          </w:rPr>
          <w:t xml:space="preserve">Quantitative PCR based detection system for cyanobacterial geosmin/2-methylisoborneol (2-</w:t>
        </w:r>
        <w:r>
          <w:rPr>
            <w:rStyle w:val="Hyperlink"/>
          </w:rPr>
          <w:t xml:space="preserve">MIB</w:t>
        </w:r>
        <w:r>
          <w:rPr>
            <w:rStyle w:val="Hyperlink"/>
          </w:rPr>
          <w:t xml:space="preserve">) events in drinking water sources: Current status and challenges</w:t>
        </w:r>
      </w:hyperlink>
      <w:r>
        <w:t xml:space="preserve">.</w:t>
      </w:r>
      <w:r>
        <w:t xml:space="preserve"> </w:t>
      </w:r>
      <w:r>
        <w:rPr>
          <w:i/>
          <w:iCs/>
        </w:rPr>
        <w:t xml:space="preserve">Water Research</w:t>
      </w:r>
      <w:r>
        <w:t xml:space="preserve"> </w:t>
      </w:r>
      <w:r>
        <w:rPr>
          <w:b/>
          <w:bCs/>
        </w:rPr>
        <w:t xml:space="preserve">188</w:t>
      </w:r>
      <w:r>
        <w:t xml:space="preserve">, 116478 (2021).</w:t>
      </w:r>
    </w:p>
    <w:bookmarkEnd w:id="83"/>
    <w:bookmarkStart w:id="85" w:name="ref-suurnakki2015identification"/>
    <w:p>
      <w:pPr>
        <w:pStyle w:val="Bibliography"/>
      </w:pPr>
      <w:r>
        <w:t xml:space="preserve">3.</w:t>
      </w:r>
      <w:r>
        <w:t xml:space="preserve"> </w:t>
      </w:r>
      <w:r>
        <w:t xml:space="preserve">	</w:t>
      </w:r>
      <w:r>
        <w:t xml:space="preserve">Suurnäkki, S.</w:t>
      </w:r>
      <w:r>
        <w:t xml:space="preserve"> </w:t>
      </w:r>
      <w:r>
        <w:rPr>
          <w:i/>
          <w:iCs/>
        </w:rPr>
        <w:t xml:space="preserve">et al.</w:t>
      </w:r>
      <w:r>
        <w:t xml:space="preserve"> </w:t>
      </w:r>
      <w:hyperlink r:id="rId84">
        <w:r>
          <w:rPr>
            <w:rStyle w:val="Hyperlink"/>
          </w:rPr>
          <w:t xml:space="preserve">Identification of geosmin and 2-methylisoborneol in cyanobacteria and molecular detection methods for the producers of these compounds</w:t>
        </w:r>
      </w:hyperlink>
      <w:r>
        <w:t xml:space="preserve">.</w:t>
      </w:r>
      <w:r>
        <w:t xml:space="preserve"> </w:t>
      </w:r>
      <w:r>
        <w:rPr>
          <w:i/>
          <w:iCs/>
        </w:rPr>
        <w:t xml:space="preserve">Water Research</w:t>
      </w:r>
      <w:r>
        <w:t xml:space="preserve"> </w:t>
      </w:r>
      <w:r>
        <w:rPr>
          <w:b/>
          <w:bCs/>
        </w:rPr>
        <w:t xml:space="preserve">68</w:t>
      </w:r>
      <w:r>
        <w:t xml:space="preserve">, 56–66 (2015).</w:t>
      </w:r>
    </w:p>
    <w:bookmarkEnd w:id="85"/>
    <w:bookmarkStart w:id="87" w:name="ref-izaguirre2004a"/>
    <w:p>
      <w:pPr>
        <w:pStyle w:val="Bibliography"/>
      </w:pPr>
      <w:r>
        <w:t xml:space="preserve">4.</w:t>
      </w:r>
      <w:r>
        <w:t xml:space="preserve"> </w:t>
      </w:r>
      <w:r>
        <w:t xml:space="preserve">	</w:t>
      </w:r>
      <w:r>
        <w:t xml:space="preserve">Izaguirre, G. &amp; Taylor, W. D.</w:t>
      </w:r>
      <w:r>
        <w:t xml:space="preserve"> </w:t>
      </w:r>
      <w:hyperlink r:id="rId86">
        <w:r>
          <w:rPr>
            <w:rStyle w:val="Hyperlink"/>
          </w:rPr>
          <w:t xml:space="preserve">A guide to geosmin- and MIB-producing cyanobacteria in the united states</w:t>
        </w:r>
      </w:hyperlink>
      <w:r>
        <w:t xml:space="preserve">.</w:t>
      </w:r>
      <w:r>
        <w:t xml:space="preserve"> </w:t>
      </w:r>
      <w:r>
        <w:rPr>
          <w:i/>
          <w:iCs/>
        </w:rPr>
        <w:t xml:space="preserve">Water Science and Technology</w:t>
      </w:r>
      <w:r>
        <w:t xml:space="preserve"> </w:t>
      </w:r>
      <w:r>
        <w:rPr>
          <w:b/>
          <w:bCs/>
        </w:rPr>
        <w:t xml:space="preserve">49</w:t>
      </w:r>
      <w:r>
        <w:t xml:space="preserve">, 19–24 (2004).</w:t>
      </w:r>
    </w:p>
    <w:bookmarkEnd w:id="87"/>
    <w:bookmarkStart w:id="89" w:name="ref-wang2023risk"/>
    <w:p>
      <w:pPr>
        <w:pStyle w:val="Bibliography"/>
      </w:pPr>
      <w:r>
        <w:t xml:space="preserve">5.</w:t>
      </w:r>
      <w:r>
        <w:t xml:space="preserve"> </w:t>
      </w:r>
      <w:r>
        <w:t xml:space="preserve">	</w:t>
      </w:r>
      <w:r>
        <w:t xml:space="preserve">Wang, C.</w:t>
      </w:r>
      <w:r>
        <w:t xml:space="preserve"> </w:t>
      </w:r>
      <w:r>
        <w:rPr>
          <w:i/>
          <w:iCs/>
        </w:rPr>
        <w:t xml:space="preserve">et al.</w:t>
      </w:r>
      <w:r>
        <w:t xml:space="preserve"> </w:t>
      </w:r>
      <w:hyperlink r:id="rId88">
        <w:r>
          <w:rPr>
            <w:rStyle w:val="Hyperlink"/>
          </w:rPr>
          <w:t xml:space="preserve">Risk assessment for 2-MIB odor complaint in drinking water based on zero-inflated log-normal model</w:t>
        </w:r>
      </w:hyperlink>
      <w:r>
        <w:t xml:space="preserve">.</w:t>
      </w:r>
      <w:r>
        <w:t xml:space="preserve"> </w:t>
      </w:r>
      <w:r>
        <w:rPr>
          <w:i/>
          <w:iCs/>
        </w:rPr>
        <w:t xml:space="preserve">ACS ES&amp;T Water</w:t>
      </w:r>
      <w:r>
        <w:t xml:space="preserve"> </w:t>
      </w:r>
      <w:r>
        <w:rPr>
          <w:b/>
          <w:bCs/>
        </w:rPr>
        <w:t xml:space="preserve">4</w:t>
      </w:r>
      <w:r>
        <w:t xml:space="preserve">, 146–154 (2023).</w:t>
      </w:r>
    </w:p>
    <w:bookmarkEnd w:id="89"/>
    <w:bookmarkStart w:id="91" w:name="ref-suffet1999drinking"/>
    <w:p>
      <w:pPr>
        <w:pStyle w:val="Bibliography"/>
      </w:pPr>
      <w:r>
        <w:t xml:space="preserve">6.</w:t>
      </w:r>
      <w:r>
        <w:t xml:space="preserve"> </w:t>
      </w:r>
      <w:r>
        <w:t xml:space="preserve">	</w:t>
      </w:r>
      <w:r>
        <w:t xml:space="preserve">Suffet, I. h. (mel), Khiari, D. &amp; Bruchet, A.</w:t>
      </w:r>
      <w:r>
        <w:t xml:space="preserve"> </w:t>
      </w:r>
      <w:hyperlink r:id="rId90">
        <w:r>
          <w:rPr>
            <w:rStyle w:val="Hyperlink"/>
          </w:rPr>
          <w:t xml:space="preserve">The drinking water taste and odor wheel for the millennium: Beyond geosmin and 2-methylisoborneol</w:t>
        </w:r>
      </w:hyperlink>
      <w:r>
        <w:t xml:space="preserve">.</w:t>
      </w:r>
      <w:r>
        <w:t xml:space="preserve"> </w:t>
      </w:r>
      <w:r>
        <w:rPr>
          <w:i/>
          <w:iCs/>
        </w:rPr>
        <w:t xml:space="preserve">Water Science and Technology</w:t>
      </w:r>
      <w:r>
        <w:t xml:space="preserve"> </w:t>
      </w:r>
      <w:r>
        <w:rPr>
          <w:b/>
          <w:bCs/>
        </w:rPr>
        <w:t xml:space="preserve">40</w:t>
      </w:r>
      <w:r>
        <w:t xml:space="preserve">, 1–13 (1999).</w:t>
      </w:r>
    </w:p>
    <w:bookmarkEnd w:id="91"/>
    <w:bookmarkStart w:id="93" w:name="ref-gillogly1999a"/>
    <w:p>
      <w:pPr>
        <w:pStyle w:val="Bibliography"/>
      </w:pPr>
      <w:r>
        <w:t xml:space="preserve">7.</w:t>
      </w:r>
      <w:r>
        <w:t xml:space="preserve"> </w:t>
      </w:r>
      <w:r>
        <w:t xml:space="preserve">	</w:t>
      </w:r>
      <w:r>
        <w:t xml:space="preserve">Gillogly, T. E. T., Snoeyink, V. L., Newcombe, G. &amp; Elarde, J. R.</w:t>
      </w:r>
      <w:r>
        <w:t xml:space="preserve"> </w:t>
      </w:r>
      <w:hyperlink r:id="rId92">
        <w:r>
          <w:rPr>
            <w:rStyle w:val="Hyperlink"/>
          </w:rPr>
          <w:t xml:space="preserve">A simplified method to determine the powdered activated carbon dose required to remove methylisoborneol</w:t>
        </w:r>
      </w:hyperlink>
      <w:r>
        <w:t xml:space="preserve">.</w:t>
      </w:r>
      <w:r>
        <w:t xml:space="preserve"> </w:t>
      </w:r>
      <w:r>
        <w:rPr>
          <w:i/>
          <w:iCs/>
        </w:rPr>
        <w:t xml:space="preserve">Water Science and Technology</w:t>
      </w:r>
      <w:r>
        <w:t xml:space="preserve"> </w:t>
      </w:r>
      <w:r>
        <w:rPr>
          <w:b/>
          <w:bCs/>
        </w:rPr>
        <w:t xml:space="preserve">40</w:t>
      </w:r>
      <w:r>
        <w:t xml:space="preserve">, 59–64 (1999).</w:t>
      </w:r>
    </w:p>
    <w:bookmarkEnd w:id="93"/>
    <w:bookmarkStart w:id="95" w:name="ref-wang2020projecting"/>
    <w:p>
      <w:pPr>
        <w:pStyle w:val="Bibliography"/>
      </w:pPr>
      <w:r>
        <w:t xml:space="preserve">8.</w:t>
      </w:r>
      <w:r>
        <w:t xml:space="preserve"> </w:t>
      </w:r>
      <w:r>
        <w:t xml:space="preserve">	</w:t>
      </w:r>
      <w:r>
        <w:t xml:space="preserve">Wang, Q.</w:t>
      </w:r>
      <w:r>
        <w:t xml:space="preserve"> </w:t>
      </w:r>
      <w:r>
        <w:rPr>
          <w:i/>
          <w:iCs/>
        </w:rPr>
        <w:t xml:space="preserve">et al.</w:t>
      </w:r>
      <w:r>
        <w:t xml:space="preserve"> </w:t>
      </w:r>
      <w:hyperlink r:id="rId94">
        <w:r>
          <w:rPr>
            <w:rStyle w:val="Hyperlink"/>
          </w:rPr>
          <w:t xml:space="preserve">Projecting competition between 2-methylisoborneol and natural organic matter in adsorption onto activated carbon from ozonated source waters</w:t>
        </w:r>
      </w:hyperlink>
      <w:r>
        <w:t xml:space="preserve">.</w:t>
      </w:r>
      <w:r>
        <w:t xml:space="preserve"> </w:t>
      </w:r>
      <w:r>
        <w:rPr>
          <w:i/>
          <w:iCs/>
        </w:rPr>
        <w:t xml:space="preserve">Water Research</w:t>
      </w:r>
      <w:r>
        <w:t xml:space="preserve"> </w:t>
      </w:r>
      <w:r>
        <w:rPr>
          <w:b/>
          <w:bCs/>
        </w:rPr>
        <w:t xml:space="preserve">173</w:t>
      </w:r>
      <w:r>
        <w:t xml:space="preserve">, 115574 (2020).</w:t>
      </w:r>
    </w:p>
    <w:bookmarkEnd w:id="95"/>
    <w:bookmarkStart w:id="97" w:name="ref-li2019variation"/>
    <w:p>
      <w:pPr>
        <w:pStyle w:val="Bibliography"/>
      </w:pPr>
      <w:r>
        <w:t xml:space="preserve">9.</w:t>
      </w:r>
      <w:r>
        <w:t xml:space="preserve"> </w:t>
      </w:r>
      <w:r>
        <w:t xml:space="preserve">	</w:t>
      </w:r>
      <w:r>
        <w:t xml:space="preserve">Li, L., Yang, S., Yu, S. &amp; Zhang, Y.</w:t>
      </w:r>
      <w:r>
        <w:t xml:space="preserve"> </w:t>
      </w:r>
      <w:hyperlink r:id="rId96">
        <w:r>
          <w:rPr>
            <w:rStyle w:val="Hyperlink"/>
          </w:rPr>
          <w:t xml:space="preserve">Variation and removal of 2-</w:t>
        </w:r>
        <w:r>
          <w:rPr>
            <w:rStyle w:val="Hyperlink"/>
          </w:rPr>
          <w:t xml:space="preserve">MIB</w:t>
        </w:r>
        <w:r>
          <w:rPr>
            <w:rStyle w:val="Hyperlink"/>
          </w:rPr>
          <w:t xml:space="preserve"> </w:t>
        </w:r>
        <w:r>
          <w:rPr>
            <w:rStyle w:val="Hyperlink"/>
          </w:rPr>
          <w:t xml:space="preserve">in full-scale treatment plants with source water from</w:t>
        </w:r>
        <w:r>
          <w:rPr>
            <w:rStyle w:val="Hyperlink"/>
          </w:rPr>
          <w:t xml:space="preserve"> </w:t>
        </w:r>
        <w:r>
          <w:rPr>
            <w:rStyle w:val="Hyperlink"/>
          </w:rPr>
          <w:t xml:space="preserve">Lake Tai</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Water Research</w:t>
      </w:r>
      <w:r>
        <w:t xml:space="preserve"> </w:t>
      </w:r>
      <w:r>
        <w:rPr>
          <w:b/>
          <w:bCs/>
        </w:rPr>
        <w:t xml:space="preserve">162</w:t>
      </w:r>
      <w:r>
        <w:t xml:space="preserve">, 180–189 (2019).</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22</w:t>
      </w:r>
      <w:r>
        <w:t xml:space="preserve">, 508–509 (1969).</w:t>
      </w:r>
    </w:p>
    <w:bookmarkEnd w:id="99"/>
    <w:bookmarkStart w:id="101" w:name="ref-tabachek1976isolation"/>
    <w:p>
      <w:pPr>
        <w:pStyle w:val="Bibliography"/>
      </w:pPr>
      <w:r>
        <w:t xml:space="preserve">12.</w:t>
      </w:r>
      <w:r>
        <w:t xml:space="preserve"> </w:t>
      </w:r>
      <w:r>
        <w:t xml:space="preserve">	</w:t>
      </w:r>
      <w:r>
        <w:t xml:space="preserve">Tabachek, J. L. &amp; Yurkowski, M.</w:t>
      </w:r>
      <w:r>
        <w:t xml:space="preserve"> </w:t>
      </w:r>
      <w:hyperlink r:id="rId100">
        <w:r>
          <w:rPr>
            <w:rStyle w:val="Hyperlink"/>
          </w:rPr>
          <w:t xml:space="preserve">Isolation and identification of blue-green algae producing muddy odor metabolites, geosmin, and 2-methylisoborneol, in saline lakes in</w:t>
        </w:r>
        <w:r>
          <w:rPr>
            <w:rStyle w:val="Hyperlink"/>
          </w:rPr>
          <w:t xml:space="preserve"> </w:t>
        </w:r>
        <w:r>
          <w:rPr>
            <w:rStyle w:val="Hyperlink"/>
          </w:rPr>
          <w:t xml:space="preserve">Manitoba</w:t>
        </w:r>
      </w:hyperlink>
      <w:r>
        <w:t xml:space="preserve">.</w:t>
      </w:r>
      <w:r>
        <w:t xml:space="preserve"> </w:t>
      </w:r>
      <w:r>
        <w:rPr>
          <w:i/>
          <w:iCs/>
        </w:rPr>
        <w:t xml:space="preserve">Journal of the Fisheries Research Board of Canada</w:t>
      </w:r>
      <w:r>
        <w:t xml:space="preserve"> </w:t>
      </w:r>
      <w:r>
        <w:rPr>
          <w:b/>
          <w:bCs/>
        </w:rPr>
        <w:t xml:space="preserve">33</w:t>
      </w:r>
      <w:r>
        <w:t xml:space="preserve">, 25–35 (1976).</w:t>
      </w:r>
    </w:p>
    <w:bookmarkEnd w:id="101"/>
    <w:bookmarkStart w:id="103" w:name="ref-yamada2014terpene"/>
    <w:p>
      <w:pPr>
        <w:pStyle w:val="Bibliography"/>
      </w:pPr>
      <w:r>
        <w:t xml:space="preserve">13.</w:t>
      </w:r>
      <w:r>
        <w:t xml:space="preserve"> </w:t>
      </w:r>
      <w:r>
        <w:t xml:space="preserve">	</w:t>
      </w:r>
      <w:r>
        <w:t xml:space="preserve">Yamada, Y.</w:t>
      </w:r>
      <w:r>
        <w:t xml:space="preserve"> </w:t>
      </w:r>
      <w:r>
        <w:rPr>
          <w:i/>
          <w:iCs/>
        </w:rPr>
        <w:t xml:space="preserve">et al.</w:t>
      </w:r>
      <w:r>
        <w:t xml:space="preserve"> </w:t>
      </w:r>
      <w:hyperlink r:id="rId102">
        <w:r>
          <w:rPr>
            <w:rStyle w:val="Hyperlink"/>
          </w:rPr>
          <w:t xml:space="preserve">Terpene synthases are widely distributed in bacteria</w:t>
        </w:r>
      </w:hyperlink>
      <w:r>
        <w:t xml:space="preserve">.</w:t>
      </w:r>
      <w:r>
        <w:t xml:space="preserve"> </w:t>
      </w:r>
      <w:r>
        <w:rPr>
          <w:i/>
          <w:iCs/>
        </w:rPr>
        <w:t xml:space="preserve">Proceedings of the National Academy of Sciences</w:t>
      </w:r>
      <w:r>
        <w:t xml:space="preserve"> </w:t>
      </w:r>
      <w:r>
        <w:rPr>
          <w:b/>
          <w:bCs/>
        </w:rPr>
        <w:t xml:space="preserve">112</w:t>
      </w:r>
      <w:r>
        <w:t xml:space="preserve">, 857–862 (2014).</w:t>
      </w:r>
    </w:p>
    <w:bookmarkEnd w:id="103"/>
    <w:bookmarkStart w:id="105" w:name="ref-dickschat2007biosynthesis"/>
    <w:p>
      <w:pPr>
        <w:pStyle w:val="Bibliography"/>
      </w:pPr>
      <w:r>
        <w:t xml:space="preserve">14.</w:t>
      </w:r>
      <w:r>
        <w:t xml:space="preserve"> </w:t>
      </w:r>
      <w:r>
        <w:t xml:space="preserve">	</w:t>
      </w:r>
      <w:r>
        <w:t xml:space="preserve">Dickschat, Jeroen s.</w:t>
      </w:r>
      <w:r>
        <w:t xml:space="preserve"> </w:t>
      </w:r>
      <w:r>
        <w:rPr>
          <w:i/>
          <w:iCs/>
        </w:rPr>
        <w:t xml:space="preserve">et al.</w:t>
      </w:r>
      <w:r>
        <w:t xml:space="preserve"> </w:t>
      </w:r>
      <w:hyperlink r:id="rId104">
        <w:r>
          <w:rPr>
            <w:rStyle w:val="Hyperlink"/>
          </w:rPr>
          <w:t xml:space="preserve">Biosynthesis of the off-flavor 2-methylisoborneol by the myxobacterium nannocystis exedens</w:t>
        </w:r>
      </w:hyperlink>
      <w:r>
        <w:t xml:space="preserve">.</w:t>
      </w:r>
      <w:r>
        <w:t xml:space="preserve"> </w:t>
      </w:r>
      <w:r>
        <w:rPr>
          <w:i/>
          <w:iCs/>
        </w:rPr>
        <w:t xml:space="preserve">Angewandte Chemie International Edition</w:t>
      </w:r>
      <w:r>
        <w:t xml:space="preserve"> </w:t>
      </w:r>
      <w:r>
        <w:rPr>
          <w:b/>
          <w:bCs/>
        </w:rPr>
        <w:t xml:space="preserve">46</w:t>
      </w:r>
      <w:r>
        <w:t xml:space="preserve">, 8287–8290 (2007).</w:t>
      </w:r>
    </w:p>
    <w:bookmarkEnd w:id="105"/>
    <w:bookmarkStart w:id="107" w:name="ref-su2021ecological"/>
    <w:p>
      <w:pPr>
        <w:pStyle w:val="Bibliography"/>
      </w:pPr>
      <w:r>
        <w:t xml:space="preserve">15.</w:t>
      </w:r>
      <w:r>
        <w:t xml:space="preserve"> </w:t>
      </w:r>
      <w:r>
        <w:t xml:space="preserve">	</w:t>
      </w:r>
      <w:r>
        <w:t xml:space="preserve">Su, M.</w:t>
      </w:r>
      <w:r>
        <w:t xml:space="preserve"> </w:t>
      </w:r>
      <w:r>
        <w:rPr>
          <w:i/>
          <w:iCs/>
        </w:rPr>
        <w:t xml:space="preserve">et al.</w:t>
      </w:r>
      <w:r>
        <w:t xml:space="preserve"> </w:t>
      </w:r>
      <w:hyperlink r:id="rId106">
        <w:r>
          <w:rPr>
            <w:rStyle w:val="Hyperlink"/>
          </w:rPr>
          <w:t xml:space="preserve">Ecological niche and in-situ control of</w:t>
        </w:r>
        <w:r>
          <w:rPr>
            <w:rStyle w:val="Hyperlink"/>
          </w:rPr>
          <w:t xml:space="preserve"> </w:t>
        </w:r>
        <w:r>
          <w:rPr>
            <w:rStyle w:val="Hyperlink"/>
          </w:rPr>
          <w:t xml:space="preserve">MIB</w:t>
        </w:r>
        <w:r>
          <w:rPr>
            <w:rStyle w:val="Hyperlink"/>
          </w:rPr>
          <w:t xml:space="preserve"> </w:t>
        </w:r>
        <w:r>
          <w:rPr>
            <w:rStyle w:val="Hyperlink"/>
          </w:rPr>
          <w:t xml:space="preserve">producers in source water</w:t>
        </w:r>
      </w:hyperlink>
      <w:r>
        <w:t xml:space="preserve">.</w:t>
      </w:r>
      <w:r>
        <w:t xml:space="preserve"> </w:t>
      </w:r>
      <w:r>
        <w:rPr>
          <w:i/>
          <w:iCs/>
        </w:rPr>
        <w:t xml:space="preserve">Journal of Environmental Sciences</w:t>
      </w:r>
      <w:r>
        <w:t xml:space="preserve"> </w:t>
      </w:r>
      <w:r>
        <w:rPr>
          <w:b/>
          <w:bCs/>
        </w:rPr>
        <w:t xml:space="preserve">110</w:t>
      </w:r>
      <w:r>
        <w:t xml:space="preserve">, 119–128 (2021).</w:t>
      </w:r>
    </w:p>
    <w:bookmarkEnd w:id="107"/>
    <w:bookmarkStart w:id="109" w:name="ref-su2015mib"/>
    <w:p>
      <w:pPr>
        <w:pStyle w:val="Bibliography"/>
      </w:pPr>
      <w:r>
        <w:t xml:space="preserve">16.</w:t>
      </w:r>
      <w:r>
        <w:t xml:space="preserve"> </w:t>
      </w:r>
      <w:r>
        <w:t xml:space="preserve">	</w:t>
      </w:r>
      <w:r>
        <w:t xml:space="preserve">Su, M.</w:t>
      </w:r>
      <w:r>
        <w:t xml:space="preserve"> </w:t>
      </w:r>
      <w:r>
        <w:rPr>
          <w:i/>
          <w:iCs/>
        </w:rPr>
        <w:t xml:space="preserve">et al.</w:t>
      </w:r>
      <w:r>
        <w:t xml:space="preserve"> </w:t>
      </w:r>
      <w:hyperlink r:id="rId108">
        <w:r>
          <w:rPr>
            <w:rStyle w:val="Hyperlink"/>
          </w:rPr>
          <w:t xml:space="preserve">MIB</w:t>
        </w:r>
        <w:r>
          <w:rPr>
            <w:rStyle w:val="Hyperlink"/>
          </w:rPr>
          <w:t xml:space="preserve">-producing cyanobacteria (</w:t>
        </w:r>
        <w:r>
          <w:rPr>
            <w:rStyle w:val="Hyperlink"/>
            <w:i/>
            <w:iCs/>
          </w:rPr>
          <w:t xml:space="preserve">Planktothrix</w:t>
        </w:r>
        <w:r>
          <w:rPr>
            <w:rStyle w:val="Hyperlink"/>
          </w:rPr>
          <w:t xml:space="preserve"> </w:t>
        </w:r>
        <w:r>
          <w:rPr>
            <w:rStyle w:val="Hyperlink"/>
          </w:rPr>
          <w:t xml:space="preserve">sp.) in a drinking water reservoir: Distribution and odor producing potential</w:t>
        </w:r>
      </w:hyperlink>
      <w:r>
        <w:t xml:space="preserve">.</w:t>
      </w:r>
      <w:r>
        <w:t xml:space="preserve"> </w:t>
      </w:r>
      <w:r>
        <w:rPr>
          <w:i/>
          <w:iCs/>
        </w:rPr>
        <w:t xml:space="preserve">Water Research</w:t>
      </w:r>
      <w:r>
        <w:t xml:space="preserve"> </w:t>
      </w:r>
      <w:r>
        <w:rPr>
          <w:b/>
          <w:bCs/>
        </w:rPr>
        <w:t xml:space="preserve">68</w:t>
      </w:r>
      <w:r>
        <w:t xml:space="preserve">, 444–453 (2015).</w:t>
      </w:r>
    </w:p>
    <w:bookmarkEnd w:id="109"/>
    <w:bookmarkStart w:id="111" w:name="ref-lu2023mibderived"/>
    <w:p>
      <w:pPr>
        <w:pStyle w:val="Bibliography"/>
      </w:pPr>
      <w:r>
        <w:t xml:space="preserve">17.</w:t>
      </w:r>
      <w:r>
        <w:t xml:space="preserve"> </w:t>
      </w:r>
      <w:r>
        <w:t xml:space="preserve">	</w:t>
      </w:r>
      <w:r>
        <w:t xml:space="preserve">Lu, J.</w:t>
      </w:r>
      <w:r>
        <w:t xml:space="preserve"> </w:t>
      </w:r>
      <w:r>
        <w:rPr>
          <w:i/>
          <w:iCs/>
        </w:rPr>
        <w:t xml:space="preserve">et al.</w:t>
      </w:r>
      <w:r>
        <w:t xml:space="preserve"> </w:t>
      </w:r>
      <w:hyperlink r:id="rId110">
        <w:r>
          <w:rPr>
            <w:rStyle w:val="Hyperlink"/>
          </w:rPr>
          <w:t xml:space="preserve">MIB</w:t>
        </w:r>
        <w:r>
          <w:rPr>
            <w:rStyle w:val="Hyperlink"/>
          </w:rPr>
          <w:t xml:space="preserve">-derived odor management based upon hydraulic regulation in small drinking water reservoirs: Principle and application</w:t>
        </w:r>
      </w:hyperlink>
      <w:r>
        <w:t xml:space="preserve">.</w:t>
      </w:r>
      <w:r>
        <w:t xml:space="preserve"> </w:t>
      </w:r>
      <w:r>
        <w:rPr>
          <w:i/>
          <w:iCs/>
        </w:rPr>
        <w:t xml:space="preserve">Water Research</w:t>
      </w:r>
      <w:r>
        <w:t xml:space="preserve"> </w:t>
      </w:r>
      <w:r>
        <w:rPr>
          <w:b/>
          <w:bCs/>
        </w:rPr>
        <w:t xml:space="preserve">244</w:t>
      </w:r>
      <w:r>
        <w:t xml:space="preserve">, 120485 (2023).</w:t>
      </w:r>
    </w:p>
    <w:bookmarkEnd w:id="111"/>
    <w:bookmarkStart w:id="113" w:name="ref-cao2023early"/>
    <w:p>
      <w:pPr>
        <w:pStyle w:val="Bibliography"/>
      </w:pPr>
      <w:r>
        <w:t xml:space="preserve">18.</w:t>
      </w:r>
      <w:r>
        <w:t xml:space="preserve"> </w:t>
      </w:r>
      <w:r>
        <w:t xml:space="preserve">	</w:t>
      </w:r>
      <w:r>
        <w:t xml:space="preserve">Cao, T.</w:t>
      </w:r>
      <w:r>
        <w:t xml:space="preserve"> </w:t>
      </w:r>
      <w:r>
        <w:rPr>
          <w:i/>
          <w:iCs/>
        </w:rPr>
        <w:t xml:space="preserve">et al.</w:t>
      </w:r>
      <w:r>
        <w:t xml:space="preserve"> </w:t>
      </w:r>
      <w:hyperlink r:id="rId112">
        <w:r>
          <w:rPr>
            <w:rStyle w:val="Hyperlink"/>
          </w:rPr>
          <w:t xml:space="preserve">Early warning of MIB episode based on gene abundance and expression in drinking water reservoirs</w:t>
        </w:r>
      </w:hyperlink>
      <w:r>
        <w:t xml:space="preserve">.</w:t>
      </w:r>
      <w:r>
        <w:t xml:space="preserve"> </w:t>
      </w:r>
      <w:r>
        <w:rPr>
          <w:i/>
          <w:iCs/>
        </w:rPr>
        <w:t xml:space="preserve">Water Research</w:t>
      </w:r>
      <w:r>
        <w:t xml:space="preserve"> </w:t>
      </w:r>
      <w:r>
        <w:rPr>
          <w:b/>
          <w:bCs/>
        </w:rPr>
        <w:t xml:space="preserve">231</w:t>
      </w:r>
      <w:r>
        <w:t xml:space="preserve">, 119667 (2023).</w:t>
      </w:r>
    </w:p>
    <w:bookmarkEnd w:id="113"/>
    <w:bookmarkStart w:id="115" w:name="ref-izaguirre2007benthic"/>
    <w:p>
      <w:pPr>
        <w:pStyle w:val="Bibliography"/>
      </w:pPr>
      <w:r>
        <w:t xml:space="preserve">19.</w:t>
      </w:r>
      <w:r>
        <w:t xml:space="preserve"> </w:t>
      </w:r>
      <w:r>
        <w:t xml:space="preserve">	</w:t>
      </w:r>
      <w:r>
        <w:t xml:space="preserve">Izaguirre, G., Jungblut, A. &amp; Neilan, B. A.</w:t>
      </w:r>
      <w:r>
        <w:t xml:space="preserve"> </w:t>
      </w:r>
      <w:hyperlink r:id="rId114">
        <w:r>
          <w:rPr>
            <w:rStyle w:val="Hyperlink"/>
          </w:rPr>
          <w:t xml:space="preserve">Benthic cyanobacteria (oscillatoriaceae) that produce microcystin-</w:t>
        </w:r>
        <w:r>
          <w:rPr>
            <w:rStyle w:val="Hyperlink"/>
          </w:rPr>
          <w:t xml:space="preserve">LR</w:t>
        </w:r>
        <w:r>
          <w:rPr>
            <w:rStyle w:val="Hyperlink"/>
          </w:rPr>
          <w:t xml:space="preserve">, isolated from four reservoirs in</w:t>
        </w:r>
        <w:r>
          <w:rPr>
            <w:rStyle w:val="Hyperlink"/>
          </w:rPr>
          <w:t xml:space="preserve"> </w:t>
        </w:r>
        <w:r>
          <w:rPr>
            <w:rStyle w:val="Hyperlink"/>
          </w:rPr>
          <w:t xml:space="preserve">Southern California</w:t>
        </w:r>
      </w:hyperlink>
      <w:r>
        <w:t xml:space="preserve">.</w:t>
      </w:r>
      <w:r>
        <w:t xml:space="preserve"> </w:t>
      </w:r>
      <w:r>
        <w:rPr>
          <w:i/>
          <w:iCs/>
        </w:rPr>
        <w:t xml:space="preserve">Water Research</w:t>
      </w:r>
      <w:r>
        <w:t xml:space="preserve"> </w:t>
      </w:r>
      <w:r>
        <w:rPr>
          <w:b/>
          <w:bCs/>
        </w:rPr>
        <w:t xml:space="preserve">41</w:t>
      </w:r>
      <w:r>
        <w:t xml:space="preserve">, 492–498 (2007).</w:t>
      </w:r>
    </w:p>
    <w:bookmarkEnd w:id="115"/>
    <w:bookmarkStart w:id="117" w:name="ref-vanderploeg1995biology"/>
    <w:p>
      <w:pPr>
        <w:pStyle w:val="Bibliography"/>
      </w:pPr>
      <w:r>
        <w:t xml:space="preserve">20.</w:t>
      </w:r>
      <w:r>
        <w:t xml:space="preserve"> </w:t>
      </w:r>
      <w:r>
        <w:t xml:space="preserve">	</w:t>
      </w:r>
      <w:r>
        <w:t xml:space="preserve">Van Der Ploeg, M., Dennis, M. &amp; De Regt, M.</w:t>
      </w:r>
      <w:r>
        <w:t xml:space="preserve"> </w:t>
      </w:r>
      <w:hyperlink r:id="rId116">
        <w:r>
          <w:rPr>
            <w:rStyle w:val="Hyperlink"/>
          </w:rPr>
          <w:t xml:space="preserve">Biology of</w:t>
        </w:r>
        <w:r>
          <w:rPr>
            <w:rStyle w:val="Hyperlink"/>
          </w:rPr>
          <w:t xml:space="preserve"> </w:t>
        </w:r>
        <w:r>
          <w:rPr>
            <w:rStyle w:val="Hyperlink"/>
            <w:i/>
            <w:iCs/>
          </w:rPr>
          <w:t xml:space="preserve">Oscillatoria chalybea</w:t>
        </w:r>
        <w:r>
          <w:rPr>
            <w:rStyle w:val="Hyperlink"/>
          </w:rPr>
          <w:t xml:space="preserve">, a 2-methylisoborneol producing blue-green alga of</w:t>
        </w:r>
        <w:r>
          <w:rPr>
            <w:rStyle w:val="Hyperlink"/>
          </w:rPr>
          <w:t xml:space="preserve"> </w:t>
        </w:r>
        <w:r>
          <w:rPr>
            <w:rStyle w:val="Hyperlink"/>
          </w:rPr>
          <w:t xml:space="preserve">Mississippi Catfish Ponds</w:t>
        </w:r>
      </w:hyperlink>
      <w:r>
        <w:t xml:space="preserve">.</w:t>
      </w:r>
      <w:r>
        <w:t xml:space="preserve"> </w:t>
      </w:r>
      <w:r>
        <w:rPr>
          <w:i/>
          <w:iCs/>
        </w:rPr>
        <w:t xml:space="preserve">Water Science and Technology</w:t>
      </w:r>
      <w:r>
        <w:t xml:space="preserve"> </w:t>
      </w:r>
      <w:r>
        <w:rPr>
          <w:b/>
          <w:bCs/>
        </w:rPr>
        <w:t xml:space="preserve">31</w:t>
      </w:r>
      <w:r>
        <w:t xml:space="preserve">, 173–180 (1995).</w:t>
      </w:r>
    </w:p>
    <w:bookmarkEnd w:id="117"/>
    <w:bookmarkStart w:id="119" w:name="ref-zhang2009effects"/>
    <w:p>
      <w:pPr>
        <w:pStyle w:val="Bibliography"/>
      </w:pPr>
      <w:r>
        <w:t xml:space="preserve">21.</w:t>
      </w:r>
      <w:r>
        <w:t xml:space="preserve"> </w:t>
      </w:r>
      <w:r>
        <w:t xml:space="preserve">	</w:t>
      </w:r>
      <w:r>
        <w:t xml:space="preserve">Zhang, T., Li, L., Song, L. &amp; Chen, W.</w:t>
      </w:r>
      <w:r>
        <w:t xml:space="preserve"> </w:t>
      </w:r>
      <w:hyperlink r:id="rId118">
        <w:r>
          <w:rPr>
            <w:rStyle w:val="Hyperlink"/>
          </w:rPr>
          <w:t xml:space="preserve">Effects of temperature and light on the growth and geosmin production of</w:t>
        </w:r>
        <w:r>
          <w:rPr>
            <w:rStyle w:val="Hyperlink"/>
          </w:rPr>
          <w:t xml:space="preserve"> </w:t>
        </w:r>
        <w:r>
          <w:rPr>
            <w:rStyle w:val="Hyperlink"/>
            <w:i/>
            <w:iCs/>
          </w:rPr>
          <w:t xml:space="preserve">Lyngbya kuetzingii</w:t>
        </w:r>
        <w:r>
          <w:rPr>
            <w:rStyle w:val="Hyperlink"/>
          </w:rPr>
          <w:t xml:space="preserve"> </w:t>
        </w:r>
        <w:r>
          <w:rPr>
            <w:rStyle w:val="Hyperlink"/>
          </w:rPr>
          <w:t xml:space="preserve">(cyanophyta)</w:t>
        </w:r>
      </w:hyperlink>
      <w:r>
        <w:t xml:space="preserve">.</w:t>
      </w:r>
      <w:r>
        <w:t xml:space="preserve"> </w:t>
      </w:r>
      <w:r>
        <w:rPr>
          <w:i/>
          <w:iCs/>
        </w:rPr>
        <w:t xml:space="preserve">Journal of Applied Phycology</w:t>
      </w:r>
      <w:r>
        <w:t xml:space="preserve"> </w:t>
      </w:r>
      <w:r>
        <w:rPr>
          <w:b/>
          <w:bCs/>
        </w:rPr>
        <w:t xml:space="preserve">21</w:t>
      </w:r>
      <w:r>
        <w:t xml:space="preserve">, 279–285 (2009).</w:t>
      </w:r>
    </w:p>
    <w:bookmarkEnd w:id="119"/>
    <w:bookmarkStart w:id="120" w:name="ref-bentley1981geosmin"/>
    <w:p>
      <w:pPr>
        <w:pStyle w:val="Bibliography"/>
      </w:pPr>
      <w:r>
        <w:t xml:space="preserve">22.</w:t>
      </w:r>
      <w:r>
        <w:t xml:space="preserve"> </w:t>
      </w:r>
      <w:r>
        <w:t xml:space="preserve">	</w:t>
      </w:r>
      <w:r>
        <w:t xml:space="preserve">Bentley, R. &amp;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125</w:t>
      </w:r>
      <w:r>
        <w:t xml:space="preserve">, 220 (1981).</w:t>
      </w:r>
    </w:p>
    <w:bookmarkEnd w:id="120"/>
    <w:bookmarkStart w:id="122" w:name="ref-wu1988differential"/>
    <w:p>
      <w:pPr>
        <w:pStyle w:val="Bibliography"/>
      </w:pPr>
      <w:r>
        <w:t xml:space="preserve">23.</w:t>
      </w:r>
      <w:r>
        <w:t xml:space="preserve"> </w:t>
      </w:r>
      <w:r>
        <w:t xml:space="preserve">	</w:t>
      </w:r>
      <w:r>
        <w:t xml:space="preserve">Wu, J. &amp; Jüttner, F.</w:t>
      </w:r>
      <w:r>
        <w:t xml:space="preserve"> </w:t>
      </w:r>
      <w:hyperlink r:id="rId121">
        <w:r>
          <w:rPr>
            <w:rStyle w:val="Hyperlink"/>
          </w:rPr>
          <w:t xml:space="preserve">Differential partitioning of geosmin and 2-methylisoborneol between cellular constituents in</w:t>
        </w:r>
        <w:r>
          <w:rPr>
            <w:rStyle w:val="Hyperlink"/>
          </w:rPr>
          <w:t xml:space="preserve"> </w:t>
        </w:r>
        <w:r>
          <w:rPr>
            <w:rStyle w:val="Hyperlink"/>
            <w:i/>
            <w:iCs/>
          </w:rPr>
          <w:t xml:space="preserve">Oscillatoria tenuis</w:t>
        </w:r>
      </w:hyperlink>
      <w:r>
        <w:t xml:space="preserve">.</w:t>
      </w:r>
      <w:r>
        <w:t xml:space="preserve"> </w:t>
      </w:r>
      <w:r>
        <w:rPr>
          <w:i/>
          <w:iCs/>
        </w:rPr>
        <w:t xml:space="preserve">Archives of Microbiology</w:t>
      </w:r>
      <w:r>
        <w:t xml:space="preserve"> </w:t>
      </w:r>
      <w:r>
        <w:rPr>
          <w:b/>
          <w:bCs/>
        </w:rPr>
        <w:t xml:space="preserve">150</w:t>
      </w:r>
      <w:r>
        <w:t xml:space="preserve">, 580–583 (1988).</w:t>
      </w:r>
    </w:p>
    <w:bookmarkEnd w:id="122"/>
    <w:bookmarkStart w:id="124" w:name="ref-rashash1995influence"/>
    <w:p>
      <w:pPr>
        <w:pStyle w:val="Bibliography"/>
      </w:pPr>
      <w:r>
        <w:t xml:space="preserve">24.</w:t>
      </w:r>
      <w:r>
        <w:t xml:space="preserve"> </w:t>
      </w:r>
      <w:r>
        <w:t xml:space="preserve">	</w:t>
      </w:r>
      <w:r>
        <w:t xml:space="preserve">Rashash, D. m. C., Dietrich, A. m., Hoehn, R. c. &amp; Parker, B. c.</w:t>
      </w:r>
      <w:r>
        <w:t xml:space="preserve"> </w:t>
      </w:r>
      <w:hyperlink r:id="rId123">
        <w:r>
          <w:rPr>
            <w:rStyle w:val="Hyperlink"/>
          </w:rPr>
          <w:t xml:space="preserve">The influence of growth conditions on odor-compound production by two chrysophytes and two cyanobacteria</w:t>
        </w:r>
      </w:hyperlink>
      <w:r>
        <w:t xml:space="preserve">.</w:t>
      </w:r>
      <w:r>
        <w:t xml:space="preserve"> </w:t>
      </w:r>
      <w:r>
        <w:rPr>
          <w:i/>
          <w:iCs/>
        </w:rPr>
        <w:t xml:space="preserve">Water Science and Technology</w:t>
      </w:r>
      <w:r>
        <w:t xml:space="preserve"> </w:t>
      </w:r>
      <w:r>
        <w:rPr>
          <w:b/>
          <w:bCs/>
        </w:rPr>
        <w:t xml:space="preserve">31</w:t>
      </w:r>
      <w:r>
        <w:t xml:space="preserve">, 165–172 (1995).</w:t>
      </w:r>
    </w:p>
    <w:bookmarkEnd w:id="124"/>
    <w:bookmarkStart w:id="126" w:name="ref-zhang2016methylisoborneol"/>
    <w:p>
      <w:pPr>
        <w:pStyle w:val="Bibliography"/>
      </w:pPr>
      <w:r>
        <w:t xml:space="preserve">25.</w:t>
      </w:r>
      <w:r>
        <w:t xml:space="preserve"> </w:t>
      </w:r>
      <w:r>
        <w:t xml:space="preserve">	</w:t>
      </w:r>
      <w:r>
        <w:t xml:space="preserve">Zhang, T., Zheng, L., Li, L. &amp;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t xml:space="preserve">1–10 (2016) doi:</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&amp; Ahn, C.-Y.</w:t>
      </w:r>
      <w:r>
        <w:t xml:space="preserve"> </w:t>
      </w:r>
      <w:hyperlink r:id="rId127">
        <w:r>
          <w:rPr>
            <w:rStyle w:val="Hyperlink"/>
          </w:rPr>
          <w:t xml:space="preserve">Effects of environmental factors on cyanobacterial production of odorous compounds: Geosmin and 2-methylisoborneol</w:t>
        </w:r>
      </w:hyperlink>
      <w:r>
        <w:t xml:space="preserve">.</w:t>
      </w:r>
      <w:r>
        <w:t xml:space="preserve"> </w:t>
      </w:r>
      <w:r>
        <w:rPr>
          <w:i/>
          <w:iCs/>
        </w:rPr>
        <w:t xml:space="preserve">Journal of Microbiology and Biotechnology</w:t>
      </w:r>
      <w:r>
        <w:t xml:space="preserve"> </w:t>
      </w:r>
      <w:r>
        <w:rPr>
          <w:b/>
          <w:bCs/>
        </w:rPr>
        <w:t xml:space="preserve">27</w:t>
      </w:r>
      <w:r>
        <w:t xml:space="preserve">, 1316–1323 (2017).</w:t>
      </w:r>
    </w:p>
    <w:bookmarkEnd w:id="128"/>
    <w:bookmarkStart w:id="130" w:name="ref-wang2024production"/>
    <w:p>
      <w:pPr>
        <w:pStyle w:val="Bibliography"/>
      </w:pPr>
      <w:r>
        <w:t xml:space="preserve">27.</w:t>
      </w:r>
      <w:r>
        <w:t xml:space="preserve"> </w:t>
      </w:r>
      <w:r>
        <w:t xml:space="preserve">	</w:t>
      </w:r>
      <w:r>
        <w:t xml:space="preserve">Wang, H.</w:t>
      </w:r>
      <w:r>
        <w:t xml:space="preserve"> </w:t>
      </w:r>
      <w:r>
        <w:rPr>
          <w:i/>
          <w:iCs/>
        </w:rPr>
        <w:t xml:space="preserve">et al.</w:t>
      </w:r>
      <w:r>
        <w:t xml:space="preserve"> </w:t>
      </w:r>
      <w:hyperlink r:id="rId129">
        <w:r>
          <w:rPr>
            <w:rStyle w:val="Hyperlink"/>
          </w:rPr>
          <w:t xml:space="preserve">Production and release of 2-MIB in pseudanabaena: Effects of growth phases on cell characteristics and 2-MIB yield</w:t>
        </w:r>
      </w:hyperlink>
      <w:r>
        <w:t xml:space="preserve">.</w:t>
      </w:r>
      <w:r>
        <w:t xml:space="preserve"> </w:t>
      </w:r>
      <w:r>
        <w:rPr>
          <w:i/>
          <w:iCs/>
        </w:rPr>
        <w:t xml:space="preserve">Ecotoxicology and Environmental Safety</w:t>
      </w:r>
      <w:r>
        <w:t xml:space="preserve"> </w:t>
      </w:r>
      <w:r>
        <w:rPr>
          <w:b/>
          <w:bCs/>
        </w:rPr>
        <w:t xml:space="preserve">274</w:t>
      </w:r>
      <w:r>
        <w:t xml:space="preserve">, 116198 (2024).</w:t>
      </w:r>
    </w:p>
    <w:bookmarkEnd w:id="130"/>
    <w:bookmarkStart w:id="132" w:name="ref-alghanmi2018effect"/>
    <w:p>
      <w:pPr>
        <w:pStyle w:val="Bibliography"/>
      </w:pPr>
      <w:r>
        <w:t xml:space="preserve">28.</w:t>
      </w:r>
      <w:r>
        <w:t xml:space="preserve"> </w:t>
      </w:r>
      <w:r>
        <w:t xml:space="preserve">	</w:t>
      </w:r>
      <w:r>
        <w:t xml:space="preserve">Alghanmi, H. A., Alkam, F. M. &amp; AL-Taee, M. M.</w:t>
      </w:r>
      <w:r>
        <w:t xml:space="preserve"> </w:t>
      </w:r>
      <w:hyperlink r:id="rId131">
        <w:r>
          <w:rPr>
            <w:rStyle w:val="Hyperlink"/>
          </w:rPr>
          <w:t xml:space="preserve">Effect of light and temperature on new cyanobacteria producers for geosmin and 2-methylisoborneol</w:t>
        </w:r>
      </w:hyperlink>
      <w:r>
        <w:t xml:space="preserve">.</w:t>
      </w:r>
      <w:r>
        <w:t xml:space="preserve"> </w:t>
      </w:r>
      <w:r>
        <w:rPr>
          <w:i/>
          <w:iCs/>
        </w:rPr>
        <w:t xml:space="preserve">Journal of Applied Phycology</w:t>
      </w:r>
      <w:r>
        <w:t xml:space="preserve"> </w:t>
      </w:r>
      <w:r>
        <w:rPr>
          <w:b/>
          <w:bCs/>
        </w:rPr>
        <w:t xml:space="preserve">30</w:t>
      </w:r>
      <w:r>
        <w:t xml:space="preserve">, 319–328 (2018).</w:t>
      </w:r>
    </w:p>
    <w:bookmarkEnd w:id="132"/>
    <w:bookmarkStart w:id="134" w:name="ref-giglio2011biosynthesis"/>
    <w:p>
      <w:pPr>
        <w:pStyle w:val="Bibliography"/>
      </w:pPr>
      <w:r>
        <w:t xml:space="preserve">29.</w:t>
      </w:r>
      <w:r>
        <w:t xml:space="preserve"> </w:t>
      </w:r>
      <w:r>
        <w:t xml:space="preserve">	</w:t>
      </w:r>
      <w:r>
        <w:t xml:space="preserve">Giglio, S., Chou, W. K. W., Ikeda, H., Cane, D. E. &amp; Monis, P. T.</w:t>
      </w:r>
      <w:r>
        <w:t xml:space="preserve"> </w:t>
      </w:r>
      <w:hyperlink r:id="rId133">
        <w:r>
          <w:rPr>
            <w:rStyle w:val="Hyperlink"/>
          </w:rPr>
          <w:t xml:space="preserve">Biosynthesis of 2-methylisoborneol in cyanobacteria</w:t>
        </w:r>
      </w:hyperlink>
      <w:r>
        <w:t xml:space="preserve">.</w:t>
      </w:r>
      <w:r>
        <w:t xml:space="preserve"> </w:t>
      </w:r>
      <w:r>
        <w:rPr>
          <w:i/>
          <w:iCs/>
        </w:rPr>
        <w:t xml:space="preserve">Environmental Science &amp; Technology</w:t>
      </w:r>
      <w:r>
        <w:t xml:space="preserve"> </w:t>
      </w:r>
      <w:r>
        <w:rPr>
          <w:b/>
          <w:bCs/>
        </w:rPr>
        <w:t xml:space="preserve">45</w:t>
      </w:r>
      <w:r>
        <w:t xml:space="preserve">, 992–998 (2011).</w:t>
      </w:r>
    </w:p>
    <w:bookmarkEnd w:id="134"/>
    <w:bookmarkStart w:id="136" w:name="ref-wang2011genes"/>
    <w:p>
      <w:pPr>
        <w:pStyle w:val="Bibliography"/>
      </w:pPr>
      <w:r>
        <w:t xml:space="preserve">30.</w:t>
      </w:r>
      <w:r>
        <w:t xml:space="preserve"> </w:t>
      </w:r>
      <w:r>
        <w:t xml:space="preserve">	</w:t>
      </w:r>
      <w:r>
        <w:t xml:space="preserve">Wang, Z., Xu, Y., Shao, J., Wang, J. &amp; Li, R.</w:t>
      </w:r>
      <w:r>
        <w:t xml:space="preserve"> </w:t>
      </w:r>
      <w:hyperlink r:id="rId135">
        <w:r>
          <w:rPr>
            <w:rStyle w:val="Hyperlink"/>
          </w:rPr>
          <w:t xml:space="preserve">Genes associated with 2-methylisoborneol biosynthesis in cyanobacteria: Isolation, characterization, and expression in response to light</w:t>
        </w:r>
      </w:hyperlink>
      <w:r>
        <w:t xml:space="preserve">.</w:t>
      </w:r>
      <w:r>
        <w:t xml:space="preserve"> </w:t>
      </w:r>
      <w:r>
        <w:rPr>
          <w:i/>
          <w:iCs/>
        </w:rPr>
        <w:t xml:space="preserve">Plos One</w:t>
      </w:r>
      <w:r>
        <w:t xml:space="preserve"> </w:t>
      </w:r>
      <w:r>
        <w:rPr>
          <w:b/>
          <w:bCs/>
        </w:rPr>
        <w:t xml:space="preserve">6</w:t>
      </w:r>
      <w:r>
        <w:t xml:space="preserve">, E18665 (2011).</w:t>
      </w:r>
    </w:p>
    <w:bookmarkEnd w:id="136"/>
    <w:bookmarkStart w:id="138" w:name="ref-komatsu2008identification"/>
    <w:p>
      <w:pPr>
        <w:pStyle w:val="Bibliography"/>
      </w:pPr>
      <w:r>
        <w:t xml:space="preserve">31.</w:t>
      </w:r>
      <w:r>
        <w:t xml:space="preserve"> </w:t>
      </w:r>
      <w:r>
        <w:t xml:space="preserve">	</w:t>
      </w:r>
      <w:r>
        <w:t xml:space="preserve">Komatsu, M., Tsuda, M., omura, S., Oikawa, H. &amp; Ikeda, H.</w:t>
      </w:r>
      <w:r>
        <w:t xml:space="preserve"> </w:t>
      </w:r>
      <w:hyperlink r:id="rId137">
        <w:r>
          <w:rPr>
            <w:rStyle w:val="Hyperlink"/>
          </w:rPr>
          <w:t xml:space="preserve">Identification and functional analysis of genes controlling biosynthesis of 2-methylisoborneol</w:t>
        </w:r>
      </w:hyperlink>
      <w:r>
        <w:t xml:space="preserve">.</w:t>
      </w:r>
      <w:r>
        <w:t xml:space="preserve"> </w:t>
      </w:r>
      <w:r>
        <w:rPr>
          <w:i/>
          <w:iCs/>
        </w:rPr>
        <w:t xml:space="preserve">Proceedings of the National Academy of Sciences</w:t>
      </w:r>
      <w:r>
        <w:t xml:space="preserve"> </w:t>
      </w:r>
      <w:r>
        <w:rPr>
          <w:b/>
          <w:bCs/>
        </w:rPr>
        <w:t xml:space="preserve">105</w:t>
      </w:r>
      <w:r>
        <w:t xml:space="preserve">, 7422–7427 (2008).</w:t>
      </w:r>
    </w:p>
    <w:bookmarkEnd w:id="138"/>
    <w:bookmarkStart w:id="140" w:name="ref-andreas2024the"/>
    <w:p>
      <w:pPr>
        <w:pStyle w:val="Bibliography"/>
      </w:pPr>
      <w:r>
        <w:t xml:space="preserve">32.</w:t>
      </w:r>
      <w:r>
        <w:t xml:space="preserve"> </w:t>
      </w:r>
      <w:r>
        <w:t xml:space="preserve">	</w:t>
      </w:r>
      <w:r>
        <w:t xml:space="preserve">Andreas, M. P. &amp; Giessen, T. W.</w:t>
      </w:r>
      <w:r>
        <w:t xml:space="preserve"> </w:t>
      </w:r>
      <w:hyperlink r:id="rId139">
        <w:r>
          <w:rPr>
            <w:rStyle w:val="Hyperlink"/>
          </w:rPr>
          <w:t xml:space="preserve">The biosynthesis of the odorant 2-methylisoborneol is compartmentalized inside a protein shell</w:t>
        </w:r>
      </w:hyperlink>
      <w:r>
        <w:t xml:space="preserve">.</w:t>
      </w:r>
      <w:r>
        <w:t xml:space="preserve"> </w:t>
      </w:r>
      <w:r>
        <w:rPr>
          <w:i/>
          <w:iCs/>
        </w:rPr>
        <w:t xml:space="preserve">Nature Communications</w:t>
      </w:r>
      <w:r>
        <w:t xml:space="preserve"> </w:t>
      </w:r>
      <w:r>
        <w:rPr>
          <w:b/>
          <w:bCs/>
        </w:rPr>
        <w:t xml:space="preserve">15</w:t>
      </w:r>
      <w:r>
        <w:t xml:space="preserve">, (2024).</w:t>
      </w:r>
    </w:p>
    <w:bookmarkEnd w:id="140"/>
    <w:bookmarkStart w:id="142" w:name="ref-lu2022driving"/>
    <w:p>
      <w:pPr>
        <w:pStyle w:val="Bibliography"/>
      </w:pPr>
      <w:r>
        <w:t xml:space="preserve">33.</w:t>
      </w:r>
      <w:r>
        <w:t xml:space="preserve"> </w:t>
      </w:r>
      <w:r>
        <w:t xml:space="preserve">	</w:t>
      </w:r>
      <w:r>
        <w:t xml:space="preserve">Lu, J.</w:t>
      </w:r>
      <w:r>
        <w:t xml:space="preserve"> </w:t>
      </w:r>
      <w:r>
        <w:rPr>
          <w:i/>
          <w:iCs/>
        </w:rPr>
        <w:t xml:space="preserve">et al.</w:t>
      </w:r>
      <w:r>
        <w:t xml:space="preserve">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t xml:space="preserve">118670 (2022) doi:</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w:t>
      </w:r>
      <w:r>
        <w:t xml:space="preserve"> </w:t>
      </w:r>
      <w:r>
        <w:rPr>
          <w:i/>
          <w:iCs/>
        </w:rPr>
        <w:t xml:space="preserve">et al.</w:t>
      </w:r>
      <w:r>
        <w:t xml:space="preserve"> </w:t>
      </w:r>
      <w:hyperlink r:id="rId143">
        <w:r>
          <w:rPr>
            <w:rStyle w:val="Hyperlink"/>
          </w:rPr>
          <w:t xml:space="preserve">Light as a possible regulator of</w:t>
        </w:r>
        <w:r>
          <w:rPr>
            <w:rStyle w:val="Hyperlink"/>
          </w:rPr>
          <w:t xml:space="preserve"> </w:t>
        </w:r>
        <w:r>
          <w:rPr>
            <w:rStyle w:val="Hyperlink"/>
          </w:rPr>
          <w:t xml:space="preserve">MIB</w:t>
        </w:r>
        <w:r>
          <w:rPr>
            <w:rStyle w:val="Hyperlink"/>
          </w:rPr>
          <w:t xml:space="preserve">-producing</w:t>
        </w:r>
        <w:r>
          <w:rPr>
            <w:rStyle w:val="Hyperlink"/>
          </w:rPr>
          <w:t xml:space="preserve"> </w:t>
        </w:r>
        <w:r>
          <w:rPr>
            <w:rStyle w:val="Hyperlink"/>
            <w:i/>
            <w:iCs/>
          </w:rPr>
          <w:t xml:space="preserve">Planktothrix</w:t>
        </w:r>
        <w:r>
          <w:rPr>
            <w:rStyle w:val="Hyperlink"/>
          </w:rPr>
          <w:t xml:space="preserve"> </w:t>
        </w:r>
        <w:r>
          <w:rPr>
            <w:rStyle w:val="Hyperlink"/>
          </w:rPr>
          <w:t xml:space="preserve">in source water reservoir, mechanism and</w:t>
        </w:r>
        <w:r>
          <w:rPr>
            <w:rStyle w:val="Hyperlink"/>
          </w:rPr>
          <w:t xml:space="preserve"> </w:t>
        </w:r>
        <w:r>
          <w:rPr>
            <w:rStyle w:val="Hyperlink"/>
            <w:i/>
            <w:iCs/>
          </w:rPr>
          <w:t xml:space="preserve">in-situ</w:t>
        </w:r>
        <w:r>
          <w:rPr>
            <w:rStyle w:val="Hyperlink"/>
          </w:rPr>
          <w:t xml:space="preserve"> </w:t>
        </w:r>
        <w:r>
          <w:rPr>
            <w:rStyle w:val="Hyperlink"/>
          </w:rPr>
          <w:t xml:space="preserve">verification</w:t>
        </w:r>
      </w:hyperlink>
      <w:r>
        <w:t xml:space="preserve">.</w:t>
      </w:r>
      <w:r>
        <w:t xml:space="preserve"> </w:t>
      </w:r>
      <w:r>
        <w:rPr>
          <w:i/>
          <w:iCs/>
        </w:rPr>
        <w:t xml:space="preserve">Harmful Algae</w:t>
      </w:r>
      <w:r>
        <w:t xml:space="preserve"> </w:t>
      </w:r>
      <w:r>
        <w:rPr>
          <w:b/>
          <w:bCs/>
        </w:rPr>
        <w:t xml:space="preserve">88</w:t>
      </w:r>
      <w:r>
        <w:t xml:space="preserve">, 101658 (2019).</w:t>
      </w:r>
    </w:p>
    <w:bookmarkEnd w:id="144"/>
    <w:bookmarkStart w:id="146" w:name="ref-wang2015effects"/>
    <w:p>
      <w:pPr>
        <w:pStyle w:val="Bibliography"/>
      </w:pPr>
      <w:r>
        <w:t xml:space="preserve">35.</w:t>
      </w:r>
      <w:r>
        <w:t xml:space="preserve"> </w:t>
      </w:r>
      <w:r>
        <w:t xml:space="preserve">	</w:t>
      </w:r>
      <w:r>
        <w:t xml:space="preserve">Wang, Z. &amp; Li, R.</w:t>
      </w:r>
      <w:r>
        <w:t xml:space="preserve"> </w:t>
      </w:r>
      <w:hyperlink r:id="rId145">
        <w:r>
          <w:rPr>
            <w:rStyle w:val="Hyperlink"/>
          </w:rPr>
          <w:t xml:space="preserve">Effects of light and temperature on the odor production of 2-methylisoborneol-producing</w:t>
        </w:r>
        <w:r>
          <w:rPr>
            <w:rStyle w:val="Hyperlink"/>
          </w:rPr>
          <w:t xml:space="preserve"> </w:t>
        </w:r>
        <w:r>
          <w:rPr>
            <w:rStyle w:val="Hyperlink"/>
            <w:i/>
            <w:iCs/>
          </w:rPr>
          <w:t xml:space="preserve">Pseudanabaena</w:t>
        </w:r>
        <w:r>
          <w:rPr>
            <w:rStyle w:val="Hyperlink"/>
          </w:rPr>
          <w:t xml:space="preserve"> </w:t>
        </w:r>
        <w:r>
          <w:rPr>
            <w:rStyle w:val="Hyperlink"/>
          </w:rPr>
          <w:t xml:space="preserve">sp.</w:t>
        </w:r>
        <w:r>
          <w:rPr>
            <w:rStyle w:val="Hyperlink"/>
          </w:rPr>
          <w:t xml:space="preserve"> </w:t>
        </w:r>
        <w:r>
          <w:rPr>
            <w:rStyle w:val="Hyperlink"/>
          </w:rPr>
          <w:t xml:space="preserve">and</w:t>
        </w:r>
        <w:r>
          <w:rPr>
            <w:rStyle w:val="Hyperlink"/>
          </w:rPr>
          <w:t xml:space="preserve"> </w:t>
        </w:r>
        <w:r>
          <w:rPr>
            <w:rStyle w:val="Hyperlink"/>
          </w:rPr>
          <w:t xml:space="preserve">geosmin-producing</w:t>
        </w:r>
        <w:r>
          <w:rPr>
            <w:rStyle w:val="Hyperlink"/>
          </w:rPr>
          <w:t xml:space="preserve"> </w:t>
        </w:r>
        <w:r>
          <w:rPr>
            <w:rStyle w:val="Hyperlink"/>
            <w:i/>
            <w:iCs/>
          </w:rPr>
          <w:t xml:space="preserve">Anabaena ucrainica</w:t>
        </w:r>
        <w:r>
          <w:rPr>
            <w:rStyle w:val="Hyperlink"/>
          </w:rPr>
          <w:t xml:space="preserve"> </w:t>
        </w:r>
        <w:r>
          <w:rPr>
            <w:rStyle w:val="Hyperlink"/>
          </w:rPr>
          <w:t xml:space="preserve">(cyanobacteria)</w:t>
        </w:r>
      </w:hyperlink>
      <w:r>
        <w:t xml:space="preserve">.</w:t>
      </w:r>
      <w:r>
        <w:t xml:space="preserve"> </w:t>
      </w:r>
      <w:r>
        <w:rPr>
          <w:i/>
          <w:iCs/>
        </w:rPr>
        <w:t xml:space="preserve">Biochemical Systematics and Ecology</w:t>
      </w:r>
      <w:r>
        <w:t xml:space="preserve"> </w:t>
      </w:r>
      <w:r>
        <w:rPr>
          <w:b/>
          <w:bCs/>
        </w:rPr>
        <w:t xml:space="preserve">58</w:t>
      </w:r>
      <w:r>
        <w:t xml:space="preserve">, 219–226 (2015).</w:t>
      </w:r>
    </w:p>
    <w:bookmarkEnd w:id="146"/>
    <w:bookmarkStart w:id="148" w:name="ref-zimba1999evaluating"/>
    <w:p>
      <w:pPr>
        <w:pStyle w:val="Bibliography"/>
      </w:pPr>
      <w:r>
        <w:t xml:space="preserve">36.</w:t>
      </w:r>
      <w:r>
        <w:t xml:space="preserve"> </w:t>
      </w:r>
      <w:r>
        <w:t xml:space="preserve">	</w:t>
      </w:r>
      <w:r>
        <w:t xml:space="preserve">Zimba, P. V., Dionigi, C. P. &amp; Millie, D. F.</w:t>
      </w:r>
      <w:r>
        <w:t xml:space="preserve"> </w:t>
      </w:r>
      <w:hyperlink r:id="rId147">
        <w:r>
          <w:rPr>
            <w:rStyle w:val="Hyperlink"/>
          </w:rPr>
          <w:t xml:space="preserve">Evaluating the relationship between photopigment synthesis and 2-methylisoborneol accumulation in cyanobacteria</w:t>
        </w:r>
      </w:hyperlink>
      <w:r>
        <w:t xml:space="preserve">.</w:t>
      </w:r>
      <w:r>
        <w:t xml:space="preserve"> </w:t>
      </w:r>
      <w:r>
        <w:rPr>
          <w:i/>
          <w:iCs/>
        </w:rPr>
        <w:t xml:space="preserve">Journal of Phycology</w:t>
      </w:r>
      <w:r>
        <w:t xml:space="preserve"> </w:t>
      </w:r>
      <w:r>
        <w:rPr>
          <w:b/>
          <w:bCs/>
        </w:rPr>
        <w:t xml:space="preserve">35</w:t>
      </w:r>
      <w:r>
        <w:t xml:space="preserve">, 1422–1429 (1999).</w:t>
      </w:r>
    </w:p>
    <w:bookmarkEnd w:id="148"/>
    <w:bookmarkStart w:id="150" w:name="ref-eisenhoffer2013bringing"/>
    <w:p>
      <w:pPr>
        <w:pStyle w:val="Bibliography"/>
      </w:pPr>
      <w:r>
        <w:t xml:space="preserve">37.</w:t>
      </w:r>
      <w:r>
        <w:t xml:space="preserve"> </w:t>
      </w:r>
      <w:r>
        <w:t xml:space="preserve">	</w:t>
      </w:r>
      <w:r>
        <w:t xml:space="preserve">Eisenhoffer, G. T. &amp; Rosenblatt, J.</w:t>
      </w:r>
      <w:r>
        <w:t xml:space="preserve"> </w:t>
      </w:r>
      <w:hyperlink r:id="rId149">
        <w:r>
          <w:rPr>
            <w:rStyle w:val="Hyperlink"/>
          </w:rPr>
          <w:t xml:space="preserve">Bringing balance by force: Live cell extrusion controls epithelial cell numbers</w:t>
        </w:r>
      </w:hyperlink>
      <w:r>
        <w:t xml:space="preserve">.</w:t>
      </w:r>
      <w:r>
        <w:t xml:space="preserve"> </w:t>
      </w:r>
      <w:r>
        <w:rPr>
          <w:i/>
          <w:iCs/>
        </w:rPr>
        <w:t xml:space="preserve">Trends in Cell Biology</w:t>
      </w:r>
      <w:r>
        <w:t xml:space="preserve"> </w:t>
      </w:r>
      <w:r>
        <w:rPr>
          <w:b/>
          <w:bCs/>
        </w:rPr>
        <w:t xml:space="preserve">23</w:t>
      </w:r>
      <w:r>
        <w:t xml:space="preserve">, 185–192 (2013).</w:t>
      </w:r>
    </w:p>
    <w:bookmarkEnd w:id="150"/>
    <w:bookmarkStart w:id="152" w:name="ref-bermudez2024cell"/>
    <w:p>
      <w:pPr>
        <w:pStyle w:val="Bibliography"/>
      </w:pPr>
      <w:r>
        <w:t xml:space="preserve">38.</w:t>
      </w:r>
      <w:r>
        <w:t xml:space="preserve"> </w:t>
      </w:r>
      <w:r>
        <w:t xml:space="preserve">	</w:t>
      </w:r>
      <w:r>
        <w:t xml:space="preserve">Bermudez, A. G., Latham, Z., Hu, J. &amp; Lin, N.</w:t>
      </w:r>
      <w:r>
        <w:t xml:space="preserve"> </w:t>
      </w:r>
      <w:hyperlink r:id="rId151">
        <w:r>
          <w:rPr>
            <w:rStyle w:val="Hyperlink"/>
          </w:rPr>
          <w:t xml:space="preserve">Cell crowding-induced geometric constraint regulates chromatin organizations</w:t>
        </w:r>
      </w:hyperlink>
      <w:r>
        <w:t xml:space="preserve">.</w:t>
      </w:r>
      <w:r>
        <w:t xml:space="preserve"> </w:t>
      </w:r>
      <w:r>
        <w:rPr>
          <w:i/>
          <w:iCs/>
        </w:rPr>
        <w:t xml:space="preserve">Biophysical Journal</w:t>
      </w:r>
      <w:r>
        <w:t xml:space="preserve"> </w:t>
      </w:r>
      <w:r>
        <w:rPr>
          <w:b/>
          <w:bCs/>
        </w:rPr>
        <w:t xml:space="preserve">123</w:t>
      </w:r>
      <w:r>
        <w:t xml:space="preserve">, 407a (2024).</w:t>
      </w:r>
    </w:p>
    <w:bookmarkEnd w:id="152"/>
    <w:bookmarkStart w:id="154" w:name="ref-yang2024etv4"/>
    <w:p>
      <w:pPr>
        <w:pStyle w:val="Bibliography"/>
      </w:pPr>
      <w:r>
        <w:t xml:space="preserve">39.</w:t>
      </w:r>
      <w:r>
        <w:t xml:space="preserve"> </w:t>
      </w:r>
      <w:r>
        <w:t xml:space="preserve">	</w:t>
      </w:r>
      <w:r>
        <w:t xml:space="preserve">Yang, S.</w:t>
      </w:r>
      <w:r>
        <w:t xml:space="preserve"> </w:t>
      </w:r>
      <w:r>
        <w:rPr>
          <w:i/>
          <w:iCs/>
        </w:rPr>
        <w:t xml:space="preserve">et al.</w:t>
      </w:r>
      <w:r>
        <w:t xml:space="preserve"> </w:t>
      </w:r>
      <w:hyperlink r:id="rId153">
        <w:r>
          <w:rPr>
            <w:rStyle w:val="Hyperlink"/>
          </w:rPr>
          <w:t xml:space="preserve">ETV4 is a mechanical transducer linking cell crowding dynamics to lineage specification</w:t>
        </w:r>
      </w:hyperlink>
      <w:r>
        <w:t xml:space="preserve">.</w:t>
      </w:r>
      <w:r>
        <w:t xml:space="preserve"> </w:t>
      </w:r>
      <w:r>
        <w:rPr>
          <w:i/>
          <w:iCs/>
        </w:rPr>
        <w:t xml:space="preserve">Nature Cell Biology</w:t>
      </w:r>
      <w:r>
        <w:t xml:space="preserve"> </w:t>
      </w:r>
      <w:r>
        <w:rPr>
          <w:b/>
          <w:bCs/>
        </w:rPr>
        <w:t xml:space="preserve">26</w:t>
      </w:r>
      <w:r>
        <w:t xml:space="preserve">, 903–916 (2024).</w:t>
      </w:r>
    </w:p>
    <w:bookmarkEnd w:id="154"/>
    <w:bookmarkStart w:id="156" w:name="ref-lawsonkeister2021jamming"/>
    <w:p>
      <w:pPr>
        <w:pStyle w:val="Bibliography"/>
      </w:pPr>
      <w:r>
        <w:t xml:space="preserve">40.</w:t>
      </w:r>
      <w:r>
        <w:t xml:space="preserve"> </w:t>
      </w:r>
      <w:r>
        <w:t xml:space="preserve">	</w:t>
      </w:r>
      <w:r>
        <w:t xml:space="preserve">Lawson-Keister, E. &amp; Manning, M. L.</w:t>
      </w:r>
      <w:r>
        <w:t xml:space="preserve"> </w:t>
      </w:r>
      <w:hyperlink r:id="rId155">
        <w:r>
          <w:rPr>
            <w:rStyle w:val="Hyperlink"/>
          </w:rPr>
          <w:t xml:space="preserve">Jamming and arrest of cell motion in biological tissues</w:t>
        </w:r>
      </w:hyperlink>
      <w:r>
        <w:t xml:space="preserve">.</w:t>
      </w:r>
      <w:r>
        <w:t xml:space="preserve"> </w:t>
      </w:r>
      <w:r>
        <w:rPr>
          <w:i/>
          <w:iCs/>
        </w:rPr>
        <w:t xml:space="preserve">Current Opinion in Cell Biology</w:t>
      </w:r>
      <w:r>
        <w:t xml:space="preserve"> </w:t>
      </w:r>
      <w:r>
        <w:rPr>
          <w:b/>
          <w:bCs/>
        </w:rPr>
        <w:t xml:space="preserve">72</w:t>
      </w:r>
      <w:r>
        <w:t xml:space="preserve">, 146–155 (2021).</w:t>
      </w:r>
    </w:p>
    <w:bookmarkEnd w:id="156"/>
    <w:bookmarkStart w:id="158" w:name="ref-drewinko1984cultured"/>
    <w:p>
      <w:pPr>
        <w:pStyle w:val="Bibliography"/>
      </w:pPr>
      <w:r>
        <w:t xml:space="preserve">41.</w:t>
      </w:r>
      <w:r>
        <w:t xml:space="preserve"> </w:t>
      </w:r>
      <w:r>
        <w:t xml:space="preserve">	</w:t>
      </w:r>
      <w:r>
        <w:t xml:space="preserve">Drewinko, B., Yang, L. Y., Barlogie, B. &amp; Trujillo, J. M.</w:t>
      </w:r>
      <w:r>
        <w:t xml:space="preserve"> </w:t>
      </w:r>
      <w:hyperlink r:id="rId157">
        <w:r>
          <w:rPr>
            <w:rStyle w:val="Hyperlink"/>
          </w:rPr>
          <w:t xml:space="preserve">Cultured human tumour cells may be arrested in all stages of the cycle during stationary phase: Demonstration of quiescent cells in G1, s and G2 phase</w:t>
        </w:r>
      </w:hyperlink>
      <w:r>
        <w:t xml:space="preserve">.</w:t>
      </w:r>
      <w:r>
        <w:t xml:space="preserve"> </w:t>
      </w:r>
      <w:r>
        <w:rPr>
          <w:i/>
          <w:iCs/>
        </w:rPr>
        <w:t xml:space="preserve">Cell Proliferation</w:t>
      </w:r>
      <w:r>
        <w:t xml:space="preserve"> </w:t>
      </w:r>
      <w:r>
        <w:rPr>
          <w:b/>
          <w:bCs/>
        </w:rPr>
        <w:t xml:space="preserve">17</w:t>
      </w:r>
      <w:r>
        <w:t xml:space="preserve">, 453–463 (1984).</w:t>
      </w:r>
    </w:p>
    <w:bookmarkEnd w:id="158"/>
    <w:bookmarkStart w:id="160" w:name="ref-eisenhoffer2012crowding"/>
    <w:p>
      <w:pPr>
        <w:pStyle w:val="Bibliography"/>
      </w:pPr>
      <w:r>
        <w:t xml:space="preserve">42.</w:t>
      </w:r>
      <w:r>
        <w:t xml:space="preserve"> </w:t>
      </w:r>
      <w:r>
        <w:t xml:space="preserve">	</w:t>
      </w:r>
      <w:r>
        <w:t xml:space="preserve">Eisenhoffer, G. T.</w:t>
      </w:r>
      <w:r>
        <w:t xml:space="preserve"> </w:t>
      </w:r>
      <w:r>
        <w:rPr>
          <w:i/>
          <w:iCs/>
        </w:rPr>
        <w:t xml:space="preserve">et al.</w:t>
      </w:r>
      <w:r>
        <w:t xml:space="preserve"> </w:t>
      </w:r>
      <w:hyperlink r:id="rId159">
        <w:r>
          <w:rPr>
            <w:rStyle w:val="Hyperlink"/>
          </w:rPr>
          <w:t xml:space="preserve">Crowding induces live cell extrusion to maintain homeostatic cell numbers in epithelia</w:t>
        </w:r>
      </w:hyperlink>
      <w:r>
        <w:t xml:space="preserve">.</w:t>
      </w:r>
      <w:r>
        <w:t xml:space="preserve"> </w:t>
      </w:r>
      <w:r>
        <w:rPr>
          <w:i/>
          <w:iCs/>
        </w:rPr>
        <w:t xml:space="preserve">Nature</w:t>
      </w:r>
      <w:r>
        <w:t xml:space="preserve"> </w:t>
      </w:r>
      <w:r>
        <w:rPr>
          <w:b/>
          <w:bCs/>
        </w:rPr>
        <w:t xml:space="preserve">484</w:t>
      </w:r>
      <w:r>
        <w:t xml:space="preserve">, 546–549 (2012).</w:t>
      </w:r>
    </w:p>
    <w:bookmarkEnd w:id="160"/>
    <w:bookmarkStart w:id="162" w:name="ref-bar2004attenuation"/>
    <w:p>
      <w:pPr>
        <w:pStyle w:val="Bibliography"/>
      </w:pPr>
      <w:r>
        <w:t xml:space="preserve">43.</w:t>
      </w:r>
      <w:r>
        <w:t xml:space="preserve"> </w:t>
      </w:r>
      <w:r>
        <w:t xml:space="preserve">	</w:t>
      </w:r>
      <w:r>
        <w:t xml:space="preserve">Bar, J., Cohen-Noyman, E., Geiger, B. &amp; Oren, M.</w:t>
      </w:r>
      <w:r>
        <w:t xml:space="preserve"> </w:t>
      </w:r>
      <w:hyperlink r:id="rId161">
        <w:r>
          <w:rPr>
            <w:rStyle w:val="Hyperlink"/>
          </w:rPr>
          <w:t xml:space="preserve">Attenuation of the p53 response to DNA damage by high cell density</w:t>
        </w:r>
      </w:hyperlink>
      <w:r>
        <w:t xml:space="preserve">.</w:t>
      </w:r>
      <w:r>
        <w:t xml:space="preserve"> </w:t>
      </w:r>
      <w:r>
        <w:rPr>
          <w:i/>
          <w:iCs/>
        </w:rPr>
        <w:t xml:space="preserve">Oncogene</w:t>
      </w:r>
      <w:r>
        <w:t xml:space="preserve"> </w:t>
      </w:r>
      <w:r>
        <w:rPr>
          <w:b/>
          <w:bCs/>
        </w:rPr>
        <w:t xml:space="preserve">23</w:t>
      </w:r>
      <w:r>
        <w:t xml:space="preserve">, 2128–2137 (2004).</w:t>
      </w:r>
    </w:p>
    <w:bookmarkEnd w:id="162"/>
    <w:bookmarkStart w:id="164" w:name="ref-nishio2017hippo"/>
    <w:p>
      <w:pPr>
        <w:pStyle w:val="Bibliography"/>
      </w:pPr>
      <w:r>
        <w:t xml:space="preserve">44.</w:t>
      </w:r>
      <w:r>
        <w:t xml:space="preserve"> </w:t>
      </w:r>
      <w:r>
        <w:t xml:space="preserve">	</w:t>
      </w:r>
      <w:r>
        <w:t xml:space="preserve">Nishio, M.</w:t>
      </w:r>
      <w:r>
        <w:t xml:space="preserve"> </w:t>
      </w:r>
      <w:r>
        <w:rPr>
          <w:i/>
          <w:iCs/>
        </w:rPr>
        <w:t xml:space="preserve">et al.</w:t>
      </w:r>
      <w:r>
        <w:t xml:space="preserve"> </w:t>
      </w:r>
      <w:hyperlink r:id="rId163">
        <w:r>
          <w:rPr>
            <w:rStyle w:val="Hyperlink"/>
          </w:rPr>
          <w:t xml:space="preserve">Hippo vs. Crab: Tissue‐specific functions of the mammalian hippo pathway</w:t>
        </w:r>
      </w:hyperlink>
      <w:r>
        <w:t xml:space="preserve">.</w:t>
      </w:r>
      <w:r>
        <w:t xml:space="preserve"> </w:t>
      </w:r>
      <w:r>
        <w:rPr>
          <w:i/>
          <w:iCs/>
        </w:rPr>
        <w:t xml:space="preserve">Genes to Cells</w:t>
      </w:r>
      <w:r>
        <w:t xml:space="preserve"> </w:t>
      </w:r>
      <w:r>
        <w:rPr>
          <w:b/>
          <w:bCs/>
        </w:rPr>
        <w:t xml:space="preserve">22</w:t>
      </w:r>
      <w:r>
        <w:t xml:space="preserve">, 6–31 (2017).</w:t>
      </w:r>
    </w:p>
    <w:bookmarkEnd w:id="164"/>
    <w:bookmarkStart w:id="166" w:name="ref-sheridan1981studies"/>
    <w:p>
      <w:pPr>
        <w:pStyle w:val="Bibliography"/>
      </w:pPr>
      <w:r>
        <w:t xml:space="preserve">45.</w:t>
      </w:r>
      <w:r>
        <w:t xml:space="preserve"> </w:t>
      </w:r>
      <w:r>
        <w:t xml:space="preserve">	</w:t>
      </w:r>
      <w:r>
        <w:t xml:space="preserve">Sheridan, J. W. &amp; Simmons, R. J.</w:t>
      </w:r>
      <w:r>
        <w:t xml:space="preserve"> </w:t>
      </w:r>
      <w:hyperlink r:id="rId165">
        <w:r>
          <w:rPr>
            <w:rStyle w:val="Hyperlink"/>
          </w:rPr>
          <w:t xml:space="preserve">Studies on a human melanoma cell line: Effect of cell crowding and nutrient depletion on the biophysical and kinetic characteristics of the cells</w:t>
        </w:r>
      </w:hyperlink>
      <w:r>
        <w:t xml:space="preserve">.</w:t>
      </w:r>
      <w:r>
        <w:t xml:space="preserve"> </w:t>
      </w:r>
      <w:r>
        <w:rPr>
          <w:i/>
          <w:iCs/>
        </w:rPr>
        <w:t xml:space="preserve">Journal of Cellular Physiology</w:t>
      </w:r>
      <w:r>
        <w:t xml:space="preserve"> </w:t>
      </w:r>
      <w:r>
        <w:rPr>
          <w:b/>
          <w:bCs/>
        </w:rPr>
        <w:t xml:space="preserve">107</w:t>
      </w:r>
      <w:r>
        <w:t xml:space="preserve">, 85–100 (1981).</w:t>
      </w:r>
    </w:p>
    <w:bookmarkEnd w:id="166"/>
    <w:bookmarkStart w:id="168" w:name="ref-tjørve2017the"/>
    <w:p>
      <w:pPr>
        <w:pStyle w:val="Bibliography"/>
      </w:pPr>
      <w:r>
        <w:t xml:space="preserve">46.</w:t>
      </w:r>
      <w:r>
        <w:t xml:space="preserve"> </w:t>
      </w:r>
      <w:r>
        <w:t xml:space="preserve">	</w:t>
      </w:r>
      <w:r>
        <w:t xml:space="preserve">Tjørve, K. M. C. &amp; Tjørve, E.</w:t>
      </w:r>
      <w:r>
        <w:t xml:space="preserve"> </w:t>
      </w:r>
      <w:hyperlink r:id="rId167">
        <w:r>
          <w:rPr>
            <w:rStyle w:val="Hyperlink"/>
          </w:rPr>
          <w:t xml:space="preserve">The use of gompertz models in growth analyses, and new gompertz-model approach: An addition to the unified-richards family</w:t>
        </w:r>
      </w:hyperlink>
      <w:r>
        <w:t xml:space="preserve">.</w:t>
      </w:r>
      <w:r>
        <w:t xml:space="preserve"> </w:t>
      </w:r>
      <w:r>
        <w:rPr>
          <w:i/>
          <w:iCs/>
        </w:rPr>
        <w:t xml:space="preserve">PLOS ONE</w:t>
      </w:r>
      <w:r>
        <w:t xml:space="preserve"> </w:t>
      </w:r>
      <w:r>
        <w:rPr>
          <w:b/>
          <w:bCs/>
        </w:rPr>
        <w:t xml:space="preserve">12</w:t>
      </w:r>
      <w:r>
        <w:t xml:space="preserve">, e0178691 (2017).</w:t>
      </w:r>
    </w:p>
    <w:bookmarkEnd w:id="168"/>
    <w:bookmarkStart w:id="170" w:name="ref-lv2015stability"/>
    <w:p>
      <w:pPr>
        <w:pStyle w:val="Bibliography"/>
      </w:pPr>
      <w:r>
        <w:t xml:space="preserve">47.</w:t>
      </w:r>
      <w:r>
        <w:t xml:space="preserve"> </w:t>
      </w:r>
      <w:r>
        <w:t xml:space="preserve">	</w:t>
      </w:r>
      <w:r>
        <w:t xml:space="preserve">Lv, J., Wang, K. &amp; Jiao, J.</w:t>
      </w:r>
      <w:r>
        <w:t xml:space="preserve"> </w:t>
      </w:r>
      <w:hyperlink r:id="rId169">
        <w:r>
          <w:rPr>
            <w:rStyle w:val="Hyperlink"/>
          </w:rPr>
          <w:t xml:space="preserve">Stability of stochastic richards growth model</w:t>
        </w:r>
      </w:hyperlink>
      <w:r>
        <w:t xml:space="preserve">.</w:t>
      </w:r>
      <w:r>
        <w:t xml:space="preserve"> </w:t>
      </w:r>
      <w:r>
        <w:rPr>
          <w:i/>
          <w:iCs/>
        </w:rPr>
        <w:t xml:space="preserve">Applied Mathematical Modelling</w:t>
      </w:r>
      <w:r>
        <w:t xml:space="preserve"> </w:t>
      </w:r>
      <w:r>
        <w:rPr>
          <w:b/>
          <w:bCs/>
        </w:rPr>
        <w:t xml:space="preserve">39</w:t>
      </w:r>
      <w:r>
        <w:t xml:space="preserve">, 4821–4827 (2015).</w:t>
      </w:r>
    </w:p>
    <w:bookmarkEnd w:id="170"/>
    <w:bookmarkStart w:id="172" w:name="ref-peleg1998reinterpretation"/>
    <w:p>
      <w:pPr>
        <w:pStyle w:val="Bibliography"/>
      </w:pPr>
      <w:r>
        <w:t xml:space="preserve">48.</w:t>
      </w:r>
      <w:r>
        <w:t xml:space="preserve"> </w:t>
      </w:r>
      <w:r>
        <w:t xml:space="preserve">	</w:t>
      </w:r>
      <w:r>
        <w:t xml:space="preserve">Peleg, M. &amp; Cole, M. B.</w:t>
      </w:r>
      <w:r>
        <w:t xml:space="preserve"> </w:t>
      </w:r>
      <w:hyperlink r:id="rId171">
        <w:r>
          <w:rPr>
            <w:rStyle w:val="Hyperlink"/>
          </w:rPr>
          <w:t xml:space="preserve">Reinterpretation of microbial survival curves</w:t>
        </w:r>
      </w:hyperlink>
      <w:r>
        <w:t xml:space="preserve">.</w:t>
      </w:r>
      <w:r>
        <w:t xml:space="preserve"> </w:t>
      </w:r>
      <w:r>
        <w:rPr>
          <w:i/>
          <w:iCs/>
        </w:rPr>
        <w:t xml:space="preserve">Critical Reviews in Food Science and Nutrition</w:t>
      </w:r>
      <w:r>
        <w:t xml:space="preserve"> </w:t>
      </w:r>
      <w:r>
        <w:rPr>
          <w:b/>
          <w:bCs/>
        </w:rPr>
        <w:t xml:space="preserve">38</w:t>
      </w:r>
      <w:r>
        <w:t xml:space="preserve">, 353–380 (1998).</w:t>
      </w:r>
    </w:p>
    <w:bookmarkEnd w:id="172"/>
    <w:bookmarkStart w:id="174" w:name="ref-wang2023cell"/>
    <w:p>
      <w:pPr>
        <w:pStyle w:val="Bibliography"/>
      </w:pPr>
      <w:r>
        <w:t xml:space="preserve">49.</w:t>
      </w:r>
      <w:r>
        <w:t xml:space="preserve"> </w:t>
      </w:r>
      <w:r>
        <w:t xml:space="preserve">	</w:t>
      </w:r>
      <w:r>
        <w:t xml:space="preserve">Wang, Y.</w:t>
      </w:r>
      <w:r>
        <w:t xml:space="preserve"> </w:t>
      </w:r>
      <w:r>
        <w:rPr>
          <w:i/>
          <w:iCs/>
        </w:rPr>
        <w:t xml:space="preserve">et al.</w:t>
      </w:r>
      <w:r>
        <w:t xml:space="preserve"> </w:t>
      </w:r>
      <w:hyperlink r:id="rId173">
        <w:r>
          <w:rPr>
            <w:rStyle w:val="Hyperlink"/>
          </w:rPr>
          <w:t xml:space="preserve">Cell population growth kinetics in the presence of stochastic heterogeneity of cell phenotype</w:t>
        </w:r>
      </w:hyperlink>
      <w:r>
        <w:t xml:space="preserve">.</w:t>
      </w:r>
      <w:r>
        <w:t xml:space="preserve"> </w:t>
      </w:r>
      <w:r>
        <w:rPr>
          <w:i/>
          <w:iCs/>
        </w:rPr>
        <w:t xml:space="preserve">Journal of Theoretical Biology</w:t>
      </w:r>
      <w:r>
        <w:t xml:space="preserve"> </w:t>
      </w:r>
      <w:r>
        <w:rPr>
          <w:b/>
          <w:bCs/>
        </w:rPr>
        <w:t xml:space="preserve">575</w:t>
      </w:r>
      <w:r>
        <w:t xml:space="preserve">, 111645 (2023).</w:t>
      </w:r>
    </w:p>
    <w:bookmarkEnd w:id="174"/>
    <w:bookmarkStart w:id="176" w:name="ref-karim2023random"/>
    <w:p>
      <w:pPr>
        <w:pStyle w:val="Bibliography"/>
      </w:pPr>
      <w:r>
        <w:t xml:space="preserve">50.</w:t>
      </w:r>
      <w:r>
        <w:t xml:space="preserve"> </w:t>
      </w:r>
      <w:r>
        <w:t xml:space="preserve">	</w:t>
      </w:r>
      <w:r>
        <w:t xml:space="preserve">Karim, M. A. U., Aithal, V. &amp; Bhowmick, A. R.</w:t>
      </w:r>
      <w:r>
        <w:t xml:space="preserve"> </w:t>
      </w:r>
      <w:hyperlink r:id="rId175">
        <w:r>
          <w:rPr>
            <w:rStyle w:val="Hyperlink"/>
          </w:rPr>
          <w:t xml:space="preserve">Random variation in model parameters: A comprehensive review of stochastic logistic growth equation</w:t>
        </w:r>
      </w:hyperlink>
      <w:r>
        <w:t xml:space="preserve">.</w:t>
      </w:r>
      <w:r>
        <w:t xml:space="preserve"> </w:t>
      </w:r>
      <w:r>
        <w:rPr>
          <w:i/>
          <w:iCs/>
        </w:rPr>
        <w:t xml:space="preserve">Ecological Modelling</w:t>
      </w:r>
      <w:r>
        <w:t xml:space="preserve"> </w:t>
      </w:r>
      <w:r>
        <w:rPr>
          <w:b/>
          <w:bCs/>
        </w:rPr>
        <w:t xml:space="preserve">484</w:t>
      </w:r>
      <w:r>
        <w:t xml:space="preserve">, 110475 (2023).</w:t>
      </w:r>
    </w:p>
    <w:bookmarkEnd w:id="176"/>
    <w:bookmarkStart w:id="178" w:name="ref-li2010cyanobacterial"/>
    <w:p>
      <w:pPr>
        <w:pStyle w:val="Bibliography"/>
      </w:pPr>
      <w:r>
        <w:t xml:space="preserve">51.</w:t>
      </w:r>
      <w:r>
        <w:t xml:space="preserve"> </w:t>
      </w:r>
      <w:r>
        <w:t xml:space="preserve">	</w:t>
      </w:r>
      <w:r>
        <w:t xml:space="preserve">Li, Z.</w:t>
      </w:r>
      <w:r>
        <w:t xml:space="preserve"> </w:t>
      </w:r>
      <w:r>
        <w:rPr>
          <w:i/>
          <w:iCs/>
        </w:rPr>
        <w:t xml:space="preserve">et al.</w:t>
      </w:r>
      <w:r>
        <w:t xml:space="preserve"> </w:t>
      </w:r>
      <w:hyperlink r:id="rId177">
        <w:r>
          <w:rPr>
            <w:rStyle w:val="Hyperlink"/>
          </w:rPr>
          <w:t xml:space="preserve">Cyanobacterial population and harmful metabolites dynamics during a bloom in yanghe reservoir, north</w:t>
        </w:r>
        <w:r>
          <w:rPr>
            <w:rStyle w:val="Hyperlink"/>
          </w:rPr>
          <w:t xml:space="preserve"> </w:t>
        </w:r>
        <w:r>
          <w:rPr>
            <w:rStyle w:val="Hyperlink"/>
          </w:rPr>
          <w:t xml:space="preserve">China</w:t>
        </w:r>
      </w:hyperlink>
      <w:r>
        <w:t xml:space="preserve">.</w:t>
      </w:r>
      <w:r>
        <w:t xml:space="preserve"> </w:t>
      </w:r>
      <w:r>
        <w:rPr>
          <w:i/>
          <w:iCs/>
        </w:rPr>
        <w:t xml:space="preserve">Harmful Algae</w:t>
      </w:r>
      <w:r>
        <w:t xml:space="preserve"> </w:t>
      </w:r>
      <w:r>
        <w:rPr>
          <w:b/>
          <w:bCs/>
        </w:rPr>
        <w:t xml:space="preserve">9</w:t>
      </w:r>
      <w:r>
        <w:t xml:space="preserve">, 481–488 (2010).</w:t>
      </w:r>
    </w:p>
    <w:bookmarkEnd w:id="178"/>
    <w:bookmarkStart w:id="180" w:name="ref-liang2005removal"/>
    <w:p>
      <w:pPr>
        <w:pStyle w:val="Bibliography"/>
      </w:pPr>
      <w:r>
        <w:t xml:space="preserve">52.</w:t>
      </w:r>
      <w:r>
        <w:t xml:space="preserve"> </w:t>
      </w:r>
      <w:r>
        <w:t xml:space="preserve">	</w:t>
      </w:r>
      <w:r>
        <w:t xml:space="preserve">Liang, C., Wang, D., Yang, M., Sun, W. &amp; Zhang, S.</w:t>
      </w:r>
      <w:r>
        <w:t xml:space="preserve"> </w:t>
      </w:r>
      <w:hyperlink r:id="rId179">
        <w:r>
          <w:rPr>
            <w:rStyle w:val="Hyperlink"/>
          </w:rPr>
          <w:t xml:space="preserve">Removal of eathy-must odorants in drinking water by powdered activated carbon</w:t>
        </w:r>
      </w:hyperlink>
      <w:r>
        <w:t xml:space="preserve">.</w:t>
      </w:r>
      <w:r>
        <w:t xml:space="preserve"> </w:t>
      </w:r>
      <w:r>
        <w:rPr>
          <w:i/>
          <w:iCs/>
        </w:rPr>
        <w:t xml:space="preserve">Journal of Environmental Science and Health</w:t>
      </w:r>
      <w:r>
        <w:t xml:space="preserve"> </w:t>
      </w:r>
      <w:r>
        <w:rPr>
          <w:b/>
          <w:bCs/>
        </w:rPr>
        <w:t xml:space="preserve">40</w:t>
      </w:r>
      <w:r>
        <w:t xml:space="preserve">, 767–778 (2005).</w:t>
      </w:r>
    </w:p>
    <w:bookmarkEnd w:id="180"/>
    <w:bookmarkStart w:id="181" w:name="ref-sherr1993preservation"/>
    <w:p>
      <w:pPr>
        <w:pStyle w:val="Bibliography"/>
      </w:pPr>
      <w:r>
        <w:t xml:space="preserve">53.</w:t>
      </w:r>
      <w:r>
        <w:t xml:space="preserve"> </w:t>
      </w:r>
      <w:r>
        <w:t xml:space="preserve">	</w:t>
      </w:r>
      <w:r>
        <w:t xml:space="preserve">Sherr, E. B. &amp; Sherr, B. F. Preservation and storage of samples for enumeration of heterotrophic protists.</w:t>
      </w:r>
      <w:r>
        <w:t xml:space="preserve"> </w:t>
      </w:r>
      <w:r>
        <w:rPr>
          <w:i/>
          <w:iCs/>
        </w:rPr>
        <w:t xml:space="preserve">Handbook of Methods in Aquatic Microbial Ecology. Lewis Publishers, Boca Raton</w:t>
      </w:r>
      <w:r>
        <w:t xml:space="preserve"> </w:t>
      </w:r>
      <w:r>
        <w:t xml:space="preserve">207–212 (1993).</w:t>
      </w:r>
    </w:p>
    <w:bookmarkEnd w:id="181"/>
    <w:bookmarkStart w:id="182" w:name="ref-komarek1998cyanoprokaryota"/>
    <w:p>
      <w:pPr>
        <w:pStyle w:val="Bibliography"/>
      </w:pPr>
      <w:r>
        <w:t xml:space="preserve">54.</w:t>
      </w:r>
      <w:r>
        <w:t xml:space="preserve"> </w:t>
      </w:r>
      <w:r>
        <w:t xml:space="preserve">	</w:t>
      </w:r>
      <w:r>
        <w:t xml:space="preserve">Komárek, J. &amp; Anagnostidis, K.</w:t>
      </w:r>
      <w:r>
        <w:t xml:space="preserve"> </w:t>
      </w:r>
      <w:r>
        <w:rPr>
          <w:i/>
          <w:iCs/>
        </w:rPr>
        <w:t xml:space="preserve">Cyanoprokaryota 1</w:t>
      </w:r>
      <w:r>
        <w:t xml:space="preserve">.</w:t>
      </w:r>
      <w:r>
        <w:t xml:space="preserve"> </w:t>
      </w:r>
      <w:r>
        <w:rPr>
          <w:i/>
          <w:iCs/>
        </w:rPr>
        <w:t xml:space="preserve">Susswasserflora Von Mitteleuropa</w:t>
      </w:r>
      <w:r>
        <w:t xml:space="preserve"> </w:t>
      </w:r>
      <w:r>
        <w:t xml:space="preserve">vol. 19(1) (Deu, 1998).</w:t>
      </w:r>
    </w:p>
    <w:bookmarkEnd w:id="182"/>
    <w:bookmarkStart w:id="183" w:name="ref-komarek2014taxonomic"/>
    <w:p>
      <w:pPr>
        <w:pStyle w:val="Bibliography"/>
      </w:pPr>
      <w:r>
        <w:t xml:space="preserve">55.</w:t>
      </w:r>
      <w:r>
        <w:t xml:space="preserve"> </w:t>
      </w:r>
      <w:r>
        <w:t xml:space="preserve">	</w:t>
      </w:r>
      <w:r>
        <w:t xml:space="preserve">Komarek, J., Kastovsky, J., Mares, J. &amp; Johansen, J. R. Taxonomic classification of cyanoprokaryotes (cyanobacterial genera) 2014, using a polyphasic approach.</w:t>
      </w:r>
      <w:r>
        <w:t xml:space="preserve"> </w:t>
      </w:r>
      <w:r>
        <w:rPr>
          <w:i/>
          <w:iCs/>
        </w:rPr>
        <w:t xml:space="preserve">Preslia</w:t>
      </w:r>
      <w:r>
        <w:t xml:space="preserve"> </w:t>
      </w:r>
      <w:r>
        <w:rPr>
          <w:b/>
          <w:bCs/>
        </w:rPr>
        <w:t xml:space="preserve">86</w:t>
      </w:r>
      <w:r>
        <w:t xml:space="preserve">, 295–335 (2014).</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9</w:t>
      </w:r>
      <w:r>
        <w:t xml:space="preserve">, 1–38 (1958).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2021).</w:t>
      </w:r>
    </w:p>
    <w:bookmarkEnd w:id="186"/>
    <w:bookmarkStart w:id="188" w:name="ref-timbers2022r"/>
    <w:p>
      <w:pPr>
        <w:pStyle w:val="Bibliography"/>
      </w:pPr>
      <w:r>
        <w:t xml:space="preserve">58.</w:t>
      </w:r>
      <w:r>
        <w:t xml:space="preserve"> </w:t>
      </w:r>
      <w:r>
        <w:t xml:space="preserve">	</w:t>
      </w:r>
      <w:r>
        <w:t xml:space="preserve">Timbers, T., Campbell, T. &amp; Lee, M. R and the tidyverse. in</w:t>
      </w:r>
      <w:r>
        <w:t xml:space="preserve"> </w:t>
      </w:r>
      <w:r>
        <w:rPr>
          <w:i/>
          <w:iCs/>
        </w:rPr>
        <w:t xml:space="preserve">Data science</w:t>
      </w:r>
      <w:r>
        <w:t xml:space="preserve"> </w:t>
      </w:r>
      <w:r>
        <w:t xml:space="preserve">1–26 (Chapman; Hall/CRC, 2022). doi:</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(Chapman; Hall/CRC, 2017). doi:</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w:t>
      </w:r>
      <w:r>
        <w:t xml:space="preserve">1–7 (Springer New York, 2009). doi:</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w:t>
      </w:r>
      <w:r>
        <w:t xml:space="preserve"> </w:t>
      </w:r>
      <w:r>
        <w:rPr>
          <w:i/>
          <w:iCs/>
        </w:rPr>
        <w:t xml:space="preserve">et al.</w:t>
      </w:r>
      <w:r>
        <w:t xml:space="preserve"> </w:t>
      </w:r>
      <w:hyperlink r:id="rId194">
        <w:r>
          <w:rPr>
            <w:rStyle w:val="Hyperlink"/>
          </w:rPr>
          <w:t xml:space="preserve">Production and fate of fishy odorants produced by two freshwater chrysophyte species under different temperature and light conditions</w:t>
        </w:r>
      </w:hyperlink>
      <w:r>
        <w:t xml:space="preserve">.</w:t>
      </w:r>
      <w:r>
        <w:t xml:space="preserve"> </w:t>
      </w:r>
      <w:r>
        <w:rPr>
          <w:i/>
          <w:iCs/>
        </w:rPr>
        <w:t xml:space="preserve">Water Research</w:t>
      </w:r>
      <w:r>
        <w:t xml:space="preserve"> </w:t>
      </w:r>
      <w:r>
        <w:rPr>
          <w:b/>
          <w:bCs/>
        </w:rPr>
        <w:t xml:space="preserve">157</w:t>
      </w:r>
      <w:r>
        <w:t xml:space="preserve">, 529–534 (2019).</w:t>
      </w:r>
    </w:p>
    <w:bookmarkEnd w:id="195"/>
    <w:bookmarkStart w:id="197" w:name="ref-perkins2019managing"/>
    <w:p>
      <w:pPr>
        <w:pStyle w:val="Bibliography"/>
      </w:pPr>
      <w:r>
        <w:t xml:space="preserve">63.</w:t>
      </w:r>
      <w:r>
        <w:t xml:space="preserve"> </w:t>
      </w:r>
      <w:r>
        <w:t xml:space="preserve">	</w:t>
      </w:r>
      <w:r>
        <w:t xml:space="preserve">Perkins, R. G.</w:t>
      </w:r>
      <w:r>
        <w:t xml:space="preserve"> </w:t>
      </w:r>
      <w:r>
        <w:rPr>
          <w:i/>
          <w:iCs/>
        </w:rPr>
        <w:t xml:space="preserve">et al.</w:t>
      </w:r>
      <w:r>
        <w:t xml:space="preserve"> </w:t>
      </w:r>
      <w:hyperlink r:id="rId196">
        <w:r>
          <w:rPr>
            <w:rStyle w:val="Hyperlink"/>
          </w:rPr>
          <w:t xml:space="preserve">Managing taste and odour metabolite production in drinking water reservoirs: The importance of ammonium as a key nutrient trigger</w:t>
        </w:r>
      </w:hyperlink>
      <w:r>
        <w:t xml:space="preserve">.</w:t>
      </w:r>
      <w:r>
        <w:t xml:space="preserve"> </w:t>
      </w:r>
      <w:r>
        <w:rPr>
          <w:i/>
          <w:iCs/>
        </w:rPr>
        <w:t xml:space="preserve">Journal of Environmental Management</w:t>
      </w:r>
      <w:r>
        <w:t xml:space="preserve"> </w:t>
      </w:r>
      <w:r>
        <w:rPr>
          <w:b/>
          <w:bCs/>
        </w:rPr>
        <w:t xml:space="preserve">244</w:t>
      </w:r>
      <w:r>
        <w:t xml:space="preserve">, 276–284 (2019).</w:t>
      </w:r>
    </w:p>
    <w:bookmarkEnd w:id="197"/>
    <w:bookmarkStart w:id="199" w:name="ref-bafford1993intracellular"/>
    <w:p>
      <w:pPr>
        <w:pStyle w:val="Bibliography"/>
      </w:pPr>
      <w:r>
        <w:t xml:space="preserve">64.</w:t>
      </w:r>
      <w:r>
        <w:t xml:space="preserve"> </w:t>
      </w:r>
      <w:r>
        <w:t xml:space="preserve">	</w:t>
      </w:r>
      <w:r>
        <w:t xml:space="preserve">Bafford, R. A., Seagull, R. W., Chung, S. &amp; Millie, D. F.</w:t>
      </w:r>
      <w:r>
        <w:t xml:space="preserve"> </w:t>
      </w:r>
      <w:hyperlink r:id="rId198">
        <w:r>
          <w:rPr>
            <w:rStyle w:val="Hyperlink"/>
          </w:rPr>
          <w:t xml:space="preserve">INTRACELLULAR LOCALIZATION OF THE TASTE/ODOR METABOLITE 2‐METHYLISOBORNEOL IN OSCILLATORIA LIMOSA (CYANOPHYTA)1</w:t>
        </w:r>
      </w:hyperlink>
      <w:r>
        <w:t xml:space="preserve">.</w:t>
      </w:r>
      <w:r>
        <w:t xml:space="preserve"> </w:t>
      </w:r>
      <w:r>
        <w:rPr>
          <w:i/>
          <w:iCs/>
        </w:rPr>
        <w:t xml:space="preserve">Journal of Phycology</w:t>
      </w:r>
      <w:r>
        <w:t xml:space="preserve"> </w:t>
      </w:r>
      <w:r>
        <w:rPr>
          <w:b/>
          <w:bCs/>
        </w:rPr>
        <w:t xml:space="preserve">29</w:t>
      </w:r>
      <w:r>
        <w:t xml:space="preserve">, 91–95 (1993).</w:t>
      </w:r>
    </w:p>
    <w:bookmarkEnd w:id="199"/>
    <w:bookmarkStart w:id="201" w:name="ref-pavel2018contact"/>
    <w:p>
      <w:pPr>
        <w:pStyle w:val="Bibliography"/>
      </w:pPr>
      <w:r>
        <w:t xml:space="preserve">65.</w:t>
      </w:r>
      <w:r>
        <w:t xml:space="preserve"> </w:t>
      </w:r>
      <w:r>
        <w:t xml:space="preserve">	</w:t>
      </w:r>
      <w:r>
        <w:t xml:space="preserve">Pavel, M.</w:t>
      </w:r>
      <w:r>
        <w:t xml:space="preserve"> </w:t>
      </w:r>
      <w:r>
        <w:rPr>
          <w:i/>
          <w:iCs/>
        </w:rPr>
        <w:t xml:space="preserve">et al.</w:t>
      </w:r>
      <w:r>
        <w:t xml:space="preserve"> </w:t>
      </w:r>
      <w:hyperlink r:id="rId200">
        <w:r>
          <w:rPr>
            <w:rStyle w:val="Hyperlink"/>
          </w:rPr>
          <w:t xml:space="preserve">Contact inhibition controls cell survival and proliferation via YAP/TAZ-autophagy axis</w:t>
        </w:r>
      </w:hyperlink>
      <w:r>
        <w:t xml:space="preserve">.</w:t>
      </w:r>
      <w:r>
        <w:t xml:space="preserve"> </w:t>
      </w:r>
      <w:r>
        <w:rPr>
          <w:i/>
          <w:iCs/>
        </w:rPr>
        <w:t xml:space="preserve">Nature Communications</w:t>
      </w:r>
      <w:r>
        <w:t xml:space="preserve"> </w:t>
      </w:r>
      <w:r>
        <w:rPr>
          <w:b/>
          <w:bCs/>
        </w:rPr>
        <w:t xml:space="preserve">9</w:t>
      </w:r>
      <w:r>
        <w:t xml:space="preserve">, (2018).</w:t>
      </w:r>
    </w:p>
    <w:bookmarkEnd w:id="201"/>
    <w:bookmarkStart w:id="203" w:name="ref-li2022cooccurrence"/>
    <w:p>
      <w:pPr>
        <w:pStyle w:val="Bibliography"/>
      </w:pPr>
      <w:r>
        <w:t xml:space="preserve">66.</w:t>
      </w:r>
      <w:r>
        <w:t xml:space="preserve"> </w:t>
      </w:r>
      <w:r>
        <w:t xml:space="preserve">	</w:t>
      </w:r>
      <w:r>
        <w:t xml:space="preserve">Li, H.</w:t>
      </w:r>
      <w:r>
        <w:t xml:space="preserve"> </w:t>
      </w:r>
      <w:r>
        <w:rPr>
          <w:i/>
          <w:iCs/>
        </w:rPr>
        <w:t xml:space="preserve">et al.</w:t>
      </w:r>
      <w:r>
        <w:t xml:space="preserve"> </w:t>
      </w:r>
      <w:hyperlink r:id="rId202">
        <w:r>
          <w:rPr>
            <w:rStyle w:val="Hyperlink"/>
          </w:rPr>
          <w:t xml:space="preserve">Co-occurrence of multiple cyanotoxins and taste-and-odor compounds in the large eutrophic lake taihu, china: Dynamics, driving factors, and challenges for risk assessment</w:t>
        </w:r>
      </w:hyperlink>
      <w:r>
        <w:t xml:space="preserve">.</w:t>
      </w:r>
      <w:r>
        <w:t xml:space="preserve"> </w:t>
      </w:r>
      <w:r>
        <w:rPr>
          <w:i/>
          <w:iCs/>
        </w:rPr>
        <w:t xml:space="preserve">Environmental Pollution</w:t>
      </w:r>
      <w:r>
        <w:t xml:space="preserve"> </w:t>
      </w:r>
      <w:r>
        <w:rPr>
          <w:b/>
          <w:bCs/>
        </w:rPr>
        <w:t xml:space="preserve">294</w:t>
      </w:r>
      <w:r>
        <w:t xml:space="preserve">, 118594 (2022).</w:t>
      </w:r>
    </w:p>
    <w:bookmarkEnd w:id="203"/>
    <w:bookmarkStart w:id="205" w:name="ref-shi2023distribution"/>
    <w:p>
      <w:pPr>
        <w:pStyle w:val="Bibliography"/>
      </w:pPr>
      <w:r>
        <w:t xml:space="preserve">67.</w:t>
      </w:r>
      <w:r>
        <w:t xml:space="preserve"> </w:t>
      </w:r>
      <w:r>
        <w:t xml:space="preserve">	</w:t>
      </w:r>
      <w:r>
        <w:t xml:space="preserve">Shi, X.</w:t>
      </w:r>
      <w:r>
        <w:t xml:space="preserve"> </w:t>
      </w:r>
      <w:r>
        <w:rPr>
          <w:i/>
          <w:iCs/>
        </w:rPr>
        <w:t xml:space="preserve">et al.</w:t>
      </w:r>
      <w:r>
        <w:t xml:space="preserve"> </w:t>
      </w:r>
      <w:hyperlink r:id="rId204">
        <w:r>
          <w:rPr>
            <w:rStyle w:val="Hyperlink"/>
          </w:rPr>
          <w:t xml:space="preserve">Distribution, driving forces, and risk assessment of 2-MIB and its producer in a drinking water source-oriented shallow lake</w:t>
        </w:r>
      </w:hyperlink>
      <w:r>
        <w:t xml:space="preserve">.</w:t>
      </w:r>
      <w:r>
        <w:t xml:space="preserve"> </w:t>
      </w:r>
      <w:r>
        <w:rPr>
          <w:i/>
          <w:iCs/>
        </w:rPr>
        <w:t xml:space="preserve">Environmental Science and Pollution Research</w:t>
      </w:r>
      <w:r>
        <w:t xml:space="preserve"> </w:t>
      </w:r>
      <w:r>
        <w:rPr>
          <w:b/>
          <w:bCs/>
        </w:rPr>
        <w:t xml:space="preserve">30</w:t>
      </w:r>
      <w:r>
        <w:t xml:space="preserve">, 71194–71208 (2023).</w:t>
      </w:r>
    </w:p>
    <w:bookmarkEnd w:id="205"/>
    <w:bookmarkStart w:id="207" w:name="ref-qi2020characterization"/>
    <w:p>
      <w:pPr>
        <w:pStyle w:val="Bibliography"/>
      </w:pPr>
      <w:r>
        <w:t xml:space="preserve">68.</w:t>
      </w:r>
      <w:r>
        <w:t xml:space="preserve"> </w:t>
      </w:r>
      <w:r>
        <w:t xml:space="preserve">	</w:t>
      </w:r>
      <w:r>
        <w:t xml:space="preserve">Qi, C.</w:t>
      </w:r>
      <w:r>
        <w:t xml:space="preserve"> </w:t>
      </w:r>
      <w:r>
        <w:rPr>
          <w:i/>
          <w:iCs/>
        </w:rPr>
        <w:t xml:space="preserve">et al.</w:t>
      </w:r>
      <w:r>
        <w:t xml:space="preserve"> </w:t>
      </w:r>
      <w:hyperlink r:id="rId206">
        <w:r>
          <w:rPr>
            <w:rStyle w:val="Hyperlink"/>
          </w:rPr>
          <w:t xml:space="preserve">Characterization of odorants in contrasting ecotypes of lake taihu: Algae-dominated versus macrophyte-dominated zones</w:t>
        </w:r>
      </w:hyperlink>
      <w:r>
        <w:t xml:space="preserve">.</w:t>
      </w:r>
      <w:r>
        <w:t xml:space="preserve"> </w:t>
      </w:r>
      <w:r>
        <w:rPr>
          <w:i/>
          <w:iCs/>
        </w:rPr>
        <w:t xml:space="preserve">Environmental Science and Pollution Research</w:t>
      </w:r>
      <w:r>
        <w:t xml:space="preserve"> </w:t>
      </w:r>
      <w:r>
        <w:rPr>
          <w:b/>
          <w:bCs/>
        </w:rPr>
        <w:t xml:space="preserve">27</w:t>
      </w:r>
      <w:r>
        <w:t xml:space="preserve">, 42221–42229 (2020).</w:t>
      </w:r>
    </w:p>
    <w:bookmarkEnd w:id="207"/>
    <w:bookmarkStart w:id="209" w:name="ref-rong2018source"/>
    <w:p>
      <w:pPr>
        <w:pStyle w:val="Bibliography"/>
      </w:pPr>
      <w:r>
        <w:t xml:space="preserve">69.</w:t>
      </w:r>
      <w:r>
        <w:t xml:space="preserve"> </w:t>
      </w:r>
      <w:r>
        <w:t xml:space="preserve">	</w:t>
      </w:r>
      <w:r>
        <w:t xml:space="preserve">Rong, C.</w:t>
      </w:r>
      <w:r>
        <w:t xml:space="preserve"> </w:t>
      </w:r>
      <w:r>
        <w:rPr>
          <w:i/>
          <w:iCs/>
        </w:rPr>
        <w:t xml:space="preserve">et al.</w:t>
      </w:r>
      <w:r>
        <w:t xml:space="preserve"> </w:t>
      </w:r>
      <w:hyperlink r:id="rId208">
        <w:r>
          <w:rPr>
            <w:rStyle w:val="Hyperlink"/>
          </w:rPr>
          <w:t xml:space="preserve">Source water odor in one reservoir in hot and humid areas of southern</w:t>
        </w:r>
        <w:r>
          <w:rPr>
            <w:rStyle w:val="Hyperlink"/>
          </w:rPr>
          <w:t xml:space="preserve"> </w:t>
        </w:r>
        <w:r>
          <w:rPr>
            <w:rStyle w:val="Hyperlink"/>
          </w:rPr>
          <w:t xml:space="preserve">China</w:t>
        </w:r>
        <w:r>
          <w:rPr>
            <w:rStyle w:val="Hyperlink"/>
          </w:rPr>
          <w:t xml:space="preserve">: Occurrence, diagnosis and possible mitigation measures</w:t>
        </w:r>
      </w:hyperlink>
      <w:r>
        <w:t xml:space="preserve">.</w:t>
      </w:r>
      <w:r>
        <w:t xml:space="preserve"> </w:t>
      </w:r>
      <w:r>
        <w:rPr>
          <w:i/>
          <w:iCs/>
        </w:rPr>
        <w:t xml:space="preserve">Environmental Sciences Europe</w:t>
      </w:r>
      <w:r>
        <w:t xml:space="preserve"> </w:t>
      </w:r>
      <w:r>
        <w:rPr>
          <w:b/>
          <w:bCs/>
        </w:rPr>
        <w:t xml:space="preserve">30</w:t>
      </w:r>
      <w:r>
        <w:t xml:space="preserve">, (2018).</w:t>
      </w:r>
    </w:p>
    <w:bookmarkEnd w:id="209"/>
    <w:bookmarkStart w:id="211" w:name="ref-su2022lightdominated"/>
    <w:p>
      <w:pPr>
        <w:pStyle w:val="Bibliography"/>
      </w:pPr>
      <w:r>
        <w:t xml:space="preserve">70.</w:t>
      </w:r>
      <w:r>
        <w:t xml:space="preserve"> </w:t>
      </w:r>
      <w:r>
        <w:t xml:space="preserve">	</w:t>
      </w:r>
      <w:r>
        <w:t xml:space="preserve">Su, M.</w:t>
      </w:r>
      <w:r>
        <w:t xml:space="preserve"> </w:t>
      </w:r>
      <w:r>
        <w:rPr>
          <w:i/>
          <w:iCs/>
        </w:rPr>
        <w:t xml:space="preserve">et al.</w:t>
      </w:r>
      <w:r>
        <w:t xml:space="preserve"> </w:t>
      </w:r>
      <w:hyperlink r:id="rId210">
        <w:r>
          <w:rPr>
            <w:rStyle w:val="Hyperlink"/>
          </w:rPr>
          <w:t xml:space="preserve">Light-dominated selection shaping filamentous cyanobacterial assemblages drives odor problem in a drinking water reservoir</w:t>
        </w:r>
      </w:hyperlink>
      <w:r>
        <w:t xml:space="preserve">.</w:t>
      </w:r>
      <w:r>
        <w:t xml:space="preserve"> </w:t>
      </w:r>
      <w:r>
        <w:rPr>
          <w:i/>
          <w:iCs/>
        </w:rPr>
        <w:t xml:space="preserve">npj Clean Water</w:t>
      </w:r>
      <w:r>
        <w:t xml:space="preserve"> </w:t>
      </w:r>
      <w:r>
        <w:rPr>
          <w:b/>
          <w:bCs/>
        </w:rPr>
        <w:t xml:space="preserve">5</w:t>
      </w:r>
      <w:r>
        <w:t xml:space="preserve">, 37 (2022).</w:t>
      </w:r>
    </w:p>
    <w:bookmarkEnd w:id="211"/>
    <w:bookmarkStart w:id="213" w:name="ref-nan2021enclosure"/>
    <w:p>
      <w:pPr>
        <w:pStyle w:val="Bibliography"/>
      </w:pPr>
      <w:r>
        <w:t xml:space="preserve">71.</w:t>
      </w:r>
      <w:r>
        <w:t xml:space="preserve"> </w:t>
      </w:r>
      <w:r>
        <w:t xml:space="preserve">	</w:t>
      </w:r>
      <w:r>
        <w:t xml:space="preserve">Nan, J.</w:t>
      </w:r>
      <w:r>
        <w:t xml:space="preserve"> </w:t>
      </w:r>
      <w:r>
        <w:rPr>
          <w:i/>
          <w:iCs/>
        </w:rPr>
        <w:t xml:space="preserve">et al.</w:t>
      </w:r>
      <w:r>
        <w:t xml:space="preserve"> </w:t>
      </w:r>
      <w:hyperlink r:id="rId212">
        <w:r>
          <w:rPr>
            <w:rStyle w:val="Hyperlink"/>
          </w:rPr>
          <w:t xml:space="preserve">Enclosure culture ban and its effects on water quality and phytoplankton community in a subtropical shallow lake</w:t>
        </w:r>
      </w:hyperlink>
      <w:r>
        <w:t xml:space="preserve">.</w:t>
      </w:r>
      <w:r>
        <w:t xml:space="preserve"> </w:t>
      </w:r>
      <w:r>
        <w:rPr>
          <w:i/>
          <w:iCs/>
        </w:rPr>
        <w:t xml:space="preserve">Aquaculture Research</w:t>
      </w:r>
      <w:r>
        <w:t xml:space="preserve"> </w:t>
      </w:r>
      <w:r>
        <w:rPr>
          <w:b/>
          <w:bCs/>
        </w:rPr>
        <w:t xml:space="preserve">53</w:t>
      </w:r>
      <w:r>
        <w:t xml:space="preserve">, 221–231 (2021).</w:t>
      </w:r>
    </w:p>
    <w:bookmarkEnd w:id="213"/>
    <w:bookmarkStart w:id="215" w:name="ref-wang2019causality"/>
    <w:p>
      <w:pPr>
        <w:pStyle w:val="Bibliography"/>
      </w:pPr>
      <w:r>
        <w:t xml:space="preserve">72.</w:t>
      </w:r>
      <w:r>
        <w:t xml:space="preserve"> </w:t>
      </w:r>
      <w:r>
        <w:t xml:space="preserve">	</w:t>
      </w:r>
      <w:r>
        <w:t xml:space="preserve">Wang, M., Yoshimura, C., Allam, A., Kimura, F. &amp; Honma, T.</w:t>
      </w:r>
      <w:r>
        <w:t xml:space="preserve"> </w:t>
      </w:r>
      <w:hyperlink r:id="rId214">
        <w:r>
          <w:rPr>
            <w:rStyle w:val="Hyperlink"/>
          </w:rPr>
          <w:t xml:space="preserve">Causality analysis and prediction of 2-methylisoborneol production in a reservoir using empirical dynamic modeling</w:t>
        </w:r>
      </w:hyperlink>
      <w:r>
        <w:t xml:space="preserve">.</w:t>
      </w:r>
      <w:r>
        <w:t xml:space="preserve"> </w:t>
      </w:r>
      <w:r>
        <w:rPr>
          <w:i/>
          <w:iCs/>
        </w:rPr>
        <w:t xml:space="preserve">Water Research</w:t>
      </w:r>
      <w:r>
        <w:t xml:space="preserve"> </w:t>
      </w:r>
      <w:r>
        <w:rPr>
          <w:b/>
          <w:bCs/>
        </w:rPr>
        <w:t xml:space="preserve">163</w:t>
      </w:r>
      <w:r>
        <w:t xml:space="preserve">, 114864 (2019).</w:t>
      </w:r>
    </w:p>
    <w:bookmarkEnd w:id="215"/>
    <w:bookmarkStart w:id="217" w:name="ref-yu2019taste"/>
    <w:p>
      <w:pPr>
        <w:pStyle w:val="Bibliography"/>
      </w:pPr>
      <w:r>
        <w:t xml:space="preserve">73.</w:t>
      </w:r>
      <w:r>
        <w:t xml:space="preserve"> </w:t>
      </w:r>
      <w:r>
        <w:t xml:space="preserve">	</w:t>
      </w:r>
      <w:r>
        <w:t xml:space="preserve">Yu, C.</w:t>
      </w:r>
      <w:r>
        <w:t xml:space="preserve"> </w:t>
      </w:r>
      <w:r>
        <w:rPr>
          <w:i/>
          <w:iCs/>
        </w:rPr>
        <w:t xml:space="preserve">et al.</w:t>
      </w:r>
      <w:r>
        <w:t xml:space="preserve"> </w:t>
      </w:r>
      <w:hyperlink r:id="rId216">
        <w:r>
          <w:rPr>
            <w:rStyle w:val="Hyperlink"/>
          </w:rPr>
          <w:t xml:space="preserve">Taste and odor compounds associated with aquatic plants in taihu lake: Distribution and producing potential</w:t>
        </w:r>
      </w:hyperlink>
      <w:r>
        <w:t xml:space="preserve">.</w:t>
      </w:r>
      <w:r>
        <w:t xml:space="preserve"> </w:t>
      </w:r>
      <w:r>
        <w:rPr>
          <w:i/>
          <w:iCs/>
        </w:rPr>
        <w:t xml:space="preserve">Environmental Science and Pollution Research</w:t>
      </w:r>
      <w:r>
        <w:t xml:space="preserve"> </w:t>
      </w:r>
      <w:r>
        <w:rPr>
          <w:b/>
          <w:bCs/>
        </w:rPr>
        <w:t xml:space="preserve">26</w:t>
      </w:r>
      <w:r>
        <w:t xml:space="preserve">, 34510–34520 (2019).</w:t>
      </w:r>
    </w:p>
    <w:bookmarkEnd w:id="217"/>
    <w:bookmarkStart w:id="219" w:name="ref-su2019succession"/>
    <w:p>
      <w:pPr>
        <w:pStyle w:val="Bibliography"/>
      </w:pPr>
      <w:r>
        <w:t xml:space="preserve">74.</w:t>
      </w:r>
      <w:r>
        <w:t xml:space="preserve"> </w:t>
      </w:r>
      <w:r>
        <w:t xml:space="preserve">	</w:t>
      </w:r>
      <w:r>
        <w:t xml:space="preserve">Su, M.</w:t>
      </w:r>
      <w:r>
        <w:t xml:space="preserve"> </w:t>
      </w:r>
      <w:r>
        <w:rPr>
          <w:i/>
          <w:iCs/>
        </w:rPr>
        <w:t xml:space="preserve">et al.</w:t>
      </w:r>
      <w:r>
        <w:t xml:space="preserve"> </w:t>
      </w:r>
      <w:hyperlink r:id="rId218">
        <w:r>
          <w:rPr>
            <w:rStyle w:val="Hyperlink"/>
          </w:rPr>
          <w:t xml:space="preserve">Succession and interaction of surface and subsurface cyanobacterial blooms in oligotrophic/mesotrophic reservoirs: A case study in</w:t>
        </w:r>
        <w:r>
          <w:rPr>
            <w:rStyle w:val="Hyperlink"/>
          </w:rPr>
          <w:t xml:space="preserve"> </w:t>
        </w:r>
        <w:r>
          <w:rPr>
            <w:rStyle w:val="Hyperlink"/>
          </w:rPr>
          <w:t xml:space="preserve">Miyun Reservoir</w:t>
        </w:r>
      </w:hyperlink>
      <w:r>
        <w:t xml:space="preserve">.</w:t>
      </w:r>
      <w:r>
        <w:t xml:space="preserve"> </w:t>
      </w:r>
      <w:r>
        <w:rPr>
          <w:i/>
          <w:iCs/>
        </w:rPr>
        <w:t xml:space="preserve">Science of the Total Environment</w:t>
      </w:r>
      <w:r>
        <w:t xml:space="preserve"> </w:t>
      </w:r>
      <w:r>
        <w:rPr>
          <w:b/>
          <w:bCs/>
        </w:rPr>
        <w:t xml:space="preserve">649</w:t>
      </w:r>
      <w:r>
        <w:t xml:space="preserve">, 1553–1562 (2019).</w:t>
      </w:r>
    </w:p>
    <w:bookmarkEnd w:id="219"/>
    <w:bookmarkStart w:id="221" w:name="ref-deng2019the"/>
    <w:p>
      <w:pPr>
        <w:pStyle w:val="Bibliography"/>
      </w:pPr>
      <w:r>
        <w:t xml:space="preserve">75.</w:t>
      </w:r>
      <w:r>
        <w:t xml:space="preserve"> </w:t>
      </w:r>
      <w:r>
        <w:t xml:space="preserve">	</w:t>
      </w:r>
      <w:r>
        <w:t xml:space="preserve">Deng, X.</w:t>
      </w:r>
      <w:r>
        <w:t xml:space="preserve"> </w:t>
      </w:r>
      <w:r>
        <w:rPr>
          <w:i/>
          <w:iCs/>
        </w:rPr>
        <w:t xml:space="preserve">et al.</w:t>
      </w:r>
      <w:r>
        <w:t xml:space="preserve"> </w:t>
      </w:r>
      <w:hyperlink r:id="rId220">
        <w:r>
          <w:rPr>
            <w:rStyle w:val="Hyperlink"/>
          </w:rPr>
          <w:t xml:space="preserve">The relationships between odors and environmental factors at bloom and non-bloom area in lake taihu, china</w:t>
        </w:r>
      </w:hyperlink>
      <w:r>
        <w:t xml:space="preserve">.</w:t>
      </w:r>
      <w:r>
        <w:t xml:space="preserve"> </w:t>
      </w:r>
      <w:r>
        <w:rPr>
          <w:i/>
          <w:iCs/>
        </w:rPr>
        <w:t xml:space="preserve">Chemosphere</w:t>
      </w:r>
      <w:r>
        <w:t xml:space="preserve"> </w:t>
      </w:r>
      <w:r>
        <w:rPr>
          <w:b/>
          <w:bCs/>
        </w:rPr>
        <w:t xml:space="preserve">218</w:t>
      </w:r>
      <w:r>
        <w:t xml:space="preserve">, 569–576 (2019).</w:t>
      </w:r>
    </w:p>
    <w:bookmarkEnd w:id="221"/>
    <w:bookmarkEnd w:id="222"/>
    <w:bookmarkEnd w:id="22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0" Target="media/rId60.png" /><Relationship Type="http://schemas.openxmlformats.org/officeDocument/2006/relationships/image" Id="rId37" Target="media/rId37.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18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18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2025-09-18T14:25:35Z</dcterms:created>
  <dcterms:modified xsi:type="dcterms:W3CDTF">2025-09-18T14:25:35Z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