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No. 18 Shuangqing Road, Haidian, Beijing, 100085, China, Beijing 100085, China.</w:t>
      </w:r>
      <w:r>
        <w:br/>
      </w:r>
      <w:r>
        <w:rPr>
          <w:vertAlign w:val="superscript"/>
        </w:rPr>
        <w:t xml:space="preserve">b</w:t>
      </w:r>
      <w:r>
        <w:t xml:space="preserve"> </w:t>
      </w:r>
      <w:r>
        <w:t xml:space="preserve">Bureau of Hydrology Information Center of Taihu Basin Authority, Shanghai 200434, China, Shanghai 200434, [Str "200434"].</w:t>
      </w:r>
      <w:r>
        <w:br/>
      </w:r>
      <w:r>
        <w:rPr>
          <w:vertAlign w:val="superscript"/>
        </w:rPr>
        <w:t xml:space="preserve">c</w:t>
      </w:r>
      <w:r>
        <w:t xml:space="preserve"> </w:t>
      </w:r>
      <w:r>
        <w:t xml:space="preserve">College of Environmental Science and Engineering, Ocean University of China, Qingdao 100049, [Str "100049"].</w:t>
      </w:r>
      <w:r>
        <w:br/>
      </w:r>
      <w:r>
        <w:rPr>
          <w:vertAlign w:val="superscript"/>
        </w:rPr>
        <w:t xml:space="preserve">d</w:t>
      </w:r>
      <w:r>
        <w:t xml:space="preserve"> </w:t>
      </w:r>
      <w:r>
        <w:t xml:space="preserve">University of Chinese Academy of Sciences. No. 19A Yuquan Road, Shijingshan, Beijing, 100049, China, Beijing 100049, [Str "100049"].</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rPr>
          <w:vertAlign w:val="superscript"/>
        </w:rPr>
        <w:t xml:space="preserve">1–3</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rPr>
          <w:vertAlign w:val="superscript"/>
        </w:rPr>
        <w:t xml:space="preserve">4–12</w:t>
      </w:r>
      <w:r>
        <w:t xml:space="preserve">.</w:t>
      </w:r>
      <w:r>
        <w:t xml:space="preserve"> </w:t>
      </w:r>
      <w:r>
        <w:t xml:space="preserve">This compound is produced by various microorganisms, including actinomycetes</w:t>
      </w:r>
      <w:r>
        <w:rPr>
          <w:vertAlign w:val="superscript"/>
        </w:rPr>
        <w:t xml:space="preserve">13,14</w:t>
      </w:r>
      <w:r>
        <w:t xml:space="preserve">, cyanobacteria</w:t>
      </w:r>
      <w:r>
        <w:rPr>
          <w:vertAlign w:val="superscript"/>
        </w:rPr>
        <w:t xml:space="preserve">15</w:t>
      </w:r>
      <w:r>
        <w:t xml:space="preserve">, fungi</w:t>
      </w:r>
      <w:r>
        <w:rPr>
          <w:vertAlign w:val="superscript"/>
        </w:rPr>
        <w:t xml:space="preserve">16</w:t>
      </w:r>
      <w:r>
        <w:t xml:space="preserve">, and myxobacteria</w:t>
      </w:r>
      <w:r>
        <w:rPr>
          <w:vertAlign w:val="superscript"/>
        </w:rPr>
        <w:t xml:space="preserve">17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rPr>
          <w:vertAlign w:val="superscript"/>
        </w:rPr>
        <w:t xml:space="preserve">18–23</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rPr>
          <w:vertAlign w:val="superscript"/>
        </w:rPr>
        <w:t xml:space="preserve">24–28</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rPr>
          <w:vertAlign w:val="superscript"/>
        </w:rPr>
        <w:t xml:space="preserve">29,30</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rPr>
          <w:vertAlign w:val="superscript"/>
        </w:rPr>
        <w:t xml:space="preserve">31,32</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rPr>
          <w:vertAlign w:val="superscript"/>
        </w:rPr>
        <w:t xml:space="preserve">33–36</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rPr>
          <w:vertAlign w:val="superscript"/>
        </w:rPr>
        <w:t xml:space="preserve">37</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rPr>
          <w:vertAlign w:val="superscript"/>
        </w:rPr>
        <w:t xml:space="preserve">32,37–39</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rPr>
          <w:vertAlign w:val="superscript"/>
        </w:rPr>
        <w:t xml:space="preserve">40–43</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rPr>
          <w:vertAlign w:val="superscript"/>
        </w:rPr>
        <w:t xml:space="preserve">25,37</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rPr>
          <w:vertAlign w:val="superscript"/>
        </w:rPr>
        <w:t xml:space="preserve">32,44,45</w:t>
      </w:r>
      <w:r>
        <w:t xml:space="preserve">. One hypothesis suggests that cyanobacteria may increase extracellular MIB release under stress to inhibit competing algal species, thereby maintaining ecological dominance</w:t>
      </w:r>
      <w:r>
        <w:rPr>
          <w:vertAlign w:val="superscript"/>
        </w:rPr>
        <w:t xml:space="preserve">45</w:t>
      </w:r>
      <w:r>
        <w:t xml:space="preserve">. Alternatively, extracellular MIB may simply result from cell damage or death under adverse conditions</w:t>
      </w:r>
      <w:r>
        <w:rPr>
          <w:vertAlign w:val="superscript"/>
        </w:rPr>
        <w:t xml:space="preserve">32,46</w:t>
      </w:r>
      <w:r>
        <w:t xml:space="preserve">.</w:t>
      </w:r>
    </w:p>
    <w:p>
      <w:pPr>
        <w:pStyle w:val="BodyText"/>
      </w:pPr>
      <w:r>
        <w:t xml:space="preserve">In high-cell-density environments, crowding effects can restrict cell proliferation, migration, and metabolism, impacting growth and death dynamics</w:t>
      </w:r>
      <w:r>
        <w:rPr>
          <w:vertAlign w:val="superscript"/>
        </w:rPr>
        <w:t xml:space="preserve">47–50</w:t>
      </w:r>
      <w:r>
        <w:t xml:space="preserve">. Crowding-induced growth limitation arises from resource competition, spatial constraints, and cell cycle arrest</w:t>
      </w:r>
      <w:r>
        <w:rPr>
          <w:vertAlign w:val="superscript"/>
        </w:rPr>
        <w:t xml:space="preserve">51,52</w:t>
      </w:r>
      <w:r>
        <w:t xml:space="preserve">, while cell death may result from programmed cell death, metabolic stress, mechanical damage, or cell-to-cell interactions</w:t>
      </w:r>
      <w:r>
        <w:rPr>
          <w:vertAlign w:val="superscript"/>
        </w:rPr>
        <w:t xml:space="preserve">53–55</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rPr>
          <w:vertAlign w:val="superscript"/>
        </w:rPr>
        <w:t xml:space="preserve">56–58</w:t>
      </w:r>
      <w:r>
        <w:t xml:space="preserve">. This model is particularly useful for analyzing shifts in metabolic activity and the timing of metabolite release, making it well-suited for studying MIB dynamics</w:t>
      </w:r>
      <w:r>
        <w:rPr>
          <w:vertAlign w:val="superscript"/>
        </w:rPr>
        <w:t xml:space="preserve">59,60</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 [Considering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 {.clab options=</w:t>
      </w:r>
      <w:r>
        <w:t xml:space="preserve">“r2q0901”</w:t>
      </w:r>
      <w:r>
        <w:t xml:space="preserve">}</w:t>
      </w:r>
    </w:p>
    <w:p>
      <w:pPr>
        <w:pStyle w:val="BodyText"/>
      </w:pPr>
      <w:r>
        <w:t xml:space="preserve">From March 2022 to February 2023, monthly water samples were collected from 31 sampling sites distributed across the lake (Fig. S1).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rPr>
          <w:vertAlign w:val="superscript"/>
        </w:rPr>
        <w:t xml:space="preserve">61</w:t>
      </w:r>
      <w:r>
        <w:t xml:space="preserve">. [Total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rPr>
          <w:vertAlign w:val="superscript"/>
        </w:rPr>
        <w:t xml:space="preserve">19,35,62</w:t>
      </w:r>
      <w:r>
        <w:t xml:space="preserve">.] {.clab options=</w:t>
      </w:r>
      <w:r>
        <w:t xml:space="preserve">“r2q1101”</w:t>
      </w:r>
      <w:r>
        <w:t xml:space="preserve">}</w:t>
      </w:r>
    </w:p>
    <w:p>
      <w:pPr>
        <w:pStyle w:val="BodyText"/>
      </w:pPr>
      <w:r>
        <w:t xml:space="preserve">For phytoplankton enumeration, subsamples (1000 mL) were fixed with 5% Lugol’s iodine solution</w:t>
      </w:r>
      <w:r>
        <w:rPr>
          <w:vertAlign w:val="superscript"/>
        </w:rPr>
        <w:t xml:space="preserve">63</w:t>
      </w:r>
      <w:r>
        <w:t xml:space="preserve">, settled for 48 hours, and pre-concentrated 20-fold before analysis. Cyanobacterial species were identified based on morphological criteria</w:t>
      </w:r>
      <w:r>
        <w:rPr>
          <w:vertAlign w:val="superscript"/>
        </w:rPr>
        <w:t xml:space="preserve">64</w:t>
      </w:r>
      <w:r>
        <w:t xml:space="preserve">, with taxonomic revisions following ref</w:t>
      </w:r>
      <w:r>
        <w:rPr>
          <w:vertAlign w:val="superscript"/>
        </w:rPr>
        <w:t xml:space="preserve">65</w:t>
      </w:r>
      <w:r>
        <w:t xml:space="preserve">. Cell counts were performed using an upright microscope (Olympus BX53, Japan) following the Utermöhl method</w:t>
      </w:r>
      <w:r>
        <w:rPr>
          <w:vertAlign w:val="superscript"/>
        </w:rPr>
        <w:t xml:space="preserve">66</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P350 workstation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rPr>
          <w:vertAlign w:val="superscript"/>
        </w:rPr>
        <w:t xml:space="preserve">58,60</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rPr>
          <w:vertAlign w:val="superscript"/>
        </w:rPr>
        <w:t xml:space="preserve">25</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(Fig. S2)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rPr>
          <w:vertAlign w:val="superscript"/>
        </w:rPr>
        <w:t xml:space="preserve">67</w:t>
      </w:r>
      <w:r>
        <w:t xml:space="preserve">. Data preprocessing and summarization used</w:t>
      </w:r>
      <w:r>
        <w:t xml:space="preserve"> </w:t>
      </w:r>
      <w:r>
        <w:rPr>
          <w:rStyle w:val="VerbatimChar"/>
        </w:rPr>
        <w:t xml:space="preserve">dplyr</w:t>
      </w:r>
      <w:r>
        <w:rPr>
          <w:vertAlign w:val="superscript"/>
        </w:rPr>
        <w:t xml:space="preserve">68</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w:t>
      </w:r>
      <w:r>
        <w:rPr>
          <w:vertAlign w:val="superscript"/>
        </w:rPr>
        <w:t xml:space="preserve">69</w:t>
      </w:r>
      <w:r>
        <w:t xml:space="preserve">) and quantile regression (</w:t>
      </w:r>
      <w:r>
        <w:rPr>
          <w:rStyle w:val="VerbatimChar"/>
        </w:rPr>
        <w:t xml:space="preserve">quantreg</w:t>
      </w:r>
      <w:r>
        <w:t xml:space="preserve">;</w:t>
      </w:r>
      <w:r>
        <w:rPr>
          <w:vertAlign w:val="superscript"/>
        </w:rPr>
        <w:t xml:space="preserve">70</w:t>
      </w:r>
      <w:r>
        <w:t xml:space="preserve">) were applied where appropriate. Figures were generated using</w:t>
      </w:r>
      <w:r>
        <w:t xml:space="preserve"> </w:t>
      </w:r>
      <w:r>
        <w:rPr>
          <w:rStyle w:val="VerbatimChar"/>
        </w:rPr>
        <w:t xml:space="preserve">ggplot2</w:t>
      </w:r>
      <w:r>
        <w:rPr>
          <w:vertAlign w:val="superscript"/>
        </w:rPr>
        <w:t xml:space="preserve">71</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(Fig. S3,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North)(Fig. S1).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(Fig. S4).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Fig. S5, Fig. S6).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rPr>
                <w:vertAlign w:val="superscript"/>
              </w:rPr>
              <w:t xml:space="preserve">27</w:t>
            </w:r>
            <w:r>
              <w:t xml:space="preserve"> </w:t>
            </w:r>
            <w:r>
              <w:t xml:space="preserve">and</w:t>
            </w:r>
            <w:r>
              <w:rPr>
                <w:vertAlign w:val="superscript"/>
              </w:rPr>
              <w:t xml:space="preserve">25</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Fig. S7).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(Fig. S8).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(Table S1, Fig. S9, Fig. S10).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Fig. S11).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rPr>
          <w:vertAlign w:val="superscript"/>
        </w:rPr>
        <w:t xml:space="preserve">72,73</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rPr>
          <w:vertAlign w:val="superscript"/>
        </w:rPr>
        <w:t xml:space="preserve">74</w:t>
      </w:r>
      <w:r>
        <w:t xml:space="preserve">. The major mechanism of MIB release is cell lysis, occurring either through programmed cell death or mechanical rupture of the cell wall</w:t>
      </w:r>
      <w:r>
        <w:rPr>
          <w:vertAlign w:val="superscript"/>
        </w:rPr>
        <w:t xml:space="preserve">32,37,39,46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rPr>
          <w:vertAlign w:val="superscript"/>
        </w:rPr>
        <w:t xml:space="preserve">75</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640"/>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640"/>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rPr>
          <w:vertAlign w:val="superscript"/>
        </w:rPr>
        <w:t xml:space="preserve">32,37</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rPr>
          <w:vertAlign w:val="superscript"/>
        </w:rPr>
        <w:t xml:space="preserve">76,77</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rPr>
          <w:vertAlign w:val="superscript"/>
        </w:rPr>
        <w:t xml:space="preserve">78–80</w:t>
      </w:r>
      <w:r>
        <w:t xml:space="preserve">, benefiting from minimal competition and resulting in spring MIB peaks. In the Shanghai QCS Reservoir, located at the same latitude, an MIB outbreak caused by Pseudoanabaena was observed at the end of April</w:t>
      </w:r>
      <w:r>
        <w:rPr>
          <w:vertAlign w:val="superscript"/>
        </w:rPr>
        <w:t xml:space="preserve">27</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rPr>
          <w:vertAlign w:val="superscript"/>
        </w:rPr>
        <w:t xml:space="preserve">81,82</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rPr>
          <w:vertAlign w:val="superscript"/>
        </w:rPr>
        <w:t xml:space="preserve">77,81,83,84</w:t>
      </w:r>
      <w:r>
        <w:t xml:space="preserve">. This ecological succession aligns with observed microcystin concentration trends</w:t>
      </w:r>
      <w:r>
        <w:rPr>
          <w:vertAlign w:val="superscript"/>
        </w:rPr>
        <w:t xml:space="preserve">76</w:t>
      </w:r>
      <w:r>
        <w:t xml:space="preserve"> </w:t>
      </w:r>
      <w:r>
        <w:t xml:space="preserve">and documented phytoplankton community shifts</w:t>
      </w:r>
      <w:r>
        <w:rPr>
          <w:vertAlign w:val="superscript"/>
        </w:rPr>
        <w:t xml:space="preserve">85</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rPr>
          <w:vertAlign w:val="superscript"/>
        </w:rPr>
        <w:t xml:space="preserve">27</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rPr>
          <w:vertAlign w:val="superscript"/>
        </w:rPr>
        <w:t xml:space="preserve">25</w:t>
      </w:r>
      <w:r>
        <w:t xml:space="preserve">. These physiological differences, combined with variations in population growth inflection points (</w:t>
      </w:r>
      <m:oMath>
        <m:sSub>
          <m:e>
            <m:r>
              <m:t>T</m:t>
            </m:r>
          </m:e>
          <m:sub>
            <m:r>
              <m:t>I</m:t>
            </m:r>
            <m:r>
              <m:t>P</m:t>
            </m:r>
          </m:sub>
        </m:sSub>
      </m:oMath>
      <w:r>
        <w:t xml:space="preserve">) across studies (Fig. S12),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1" w:name="ref-who2011guidelines"/>
    <w:p>
      <w:pPr>
        <w:pStyle w:val="Bibliography"/>
      </w:pPr>
      <w:r>
        <w:t xml:space="preserve">1.</w:t>
      </w:r>
      <w:r>
        <w:t xml:space="preserve"> </w:t>
      </w:r>
      <w:r>
        <w:t xml:space="preserve">	</w:t>
      </w:r>
      <w:r>
        <w:t xml:space="preserve">WHO, W. H. O.</w:t>
      </w:r>
      <w:r>
        <w:t xml:space="preserve"> </w:t>
      </w:r>
      <w:r>
        <w:rPr>
          <w:i/>
          <w:iCs/>
        </w:rPr>
        <w:t xml:space="preserve">Guidelines for</w:t>
      </w:r>
      <w:r>
        <w:rPr>
          <w:i/>
          <w:iCs/>
        </w:rPr>
        <w:t xml:space="preserve"> </w:t>
      </w:r>
      <w:r>
        <w:rPr>
          <w:i/>
          <w:iCs/>
        </w:rPr>
        <w:t xml:space="preserve">Drinking</w:t>
      </w:r>
      <w:r>
        <w:rPr>
          <w:i/>
          <w:iCs/>
        </w:rPr>
        <w:t xml:space="preserve">-</w:t>
      </w:r>
      <w:r>
        <w:rPr>
          <w:i/>
          <w:iCs/>
        </w:rPr>
        <w:t xml:space="preserve">Water Quality</w:t>
      </w:r>
      <w:r>
        <w:t xml:space="preserve">. (2011).</w:t>
      </w:r>
    </w:p>
    <w:bookmarkEnd w:id="81"/>
    <w:bookmarkStart w:id="83" w:name="ref-devi2021quantitative"/>
    <w:p>
      <w:pPr>
        <w:pStyle w:val="Bibliography"/>
      </w:pPr>
      <w:r>
        <w:t xml:space="preserve">2.</w:t>
      </w:r>
      <w:r>
        <w:t xml:space="preserve"> </w:t>
      </w:r>
      <w:r>
        <w:t xml:space="preserve">	</w:t>
      </w:r>
      <w:r>
        <w:t xml:space="preserve">Devi, A., Chiu, Y.-T., Hsueh, H.-T. &amp; Lin, T.-F.</w:t>
      </w:r>
      <w:r>
        <w:t xml:space="preserve"> </w:t>
      </w:r>
      <w:hyperlink r:id="rId82">
        <w:r>
          <w:rPr>
            <w:rStyle w:val="Hyperlink"/>
          </w:rPr>
          <w:t xml:space="preserve">Quantitative PCR based detection system for cyanobacterial geosmin/2-methylisoborneol (2-</w:t>
        </w:r>
        <w:r>
          <w:rPr>
            <w:rStyle w:val="Hyperlink"/>
          </w:rPr>
          <w:t xml:space="preserve">MIB</w:t>
        </w:r>
        <w:r>
          <w:rPr>
            <w:rStyle w:val="Hyperlink"/>
          </w:rPr>
          <w:t xml:space="preserve">) events in drinking water sources: Current status and challenges</w:t>
        </w:r>
      </w:hyperlink>
      <w:r>
        <w:t xml:space="preserve">.</w:t>
      </w:r>
      <w:r>
        <w:t xml:space="preserve"> </w:t>
      </w:r>
      <w:r>
        <w:rPr>
          <w:i/>
          <w:iCs/>
        </w:rPr>
        <w:t xml:space="preserve">Water Research</w:t>
      </w:r>
      <w:r>
        <w:t xml:space="preserve"> </w:t>
      </w:r>
      <w:r>
        <w:rPr>
          <w:b/>
          <w:bCs/>
        </w:rPr>
        <w:t xml:space="preserve">188</w:t>
      </w:r>
      <w:r>
        <w:t xml:space="preserve">, 116478 (2021).</w:t>
      </w:r>
    </w:p>
    <w:bookmarkEnd w:id="83"/>
    <w:bookmarkStart w:id="85" w:name="ref-suurnakki2015identification"/>
    <w:p>
      <w:pPr>
        <w:pStyle w:val="Bibliography"/>
      </w:pPr>
      <w:r>
        <w:t xml:space="preserve">3.</w:t>
      </w:r>
      <w:r>
        <w:t xml:space="preserve"> </w:t>
      </w:r>
      <w:r>
        <w:t xml:space="preserve">	</w:t>
      </w:r>
      <w:r>
        <w:t xml:space="preserve">Suurnäkki, S.</w:t>
      </w:r>
      <w:r>
        <w:t xml:space="preserve"> </w:t>
      </w:r>
      <w:r>
        <w:rPr>
          <w:i/>
          <w:iCs/>
        </w:rPr>
        <w:t xml:space="preserve">et al.</w:t>
      </w:r>
      <w:r>
        <w:t xml:space="preserve"> </w:t>
      </w:r>
      <w:hyperlink r:id="rId84">
        <w:r>
          <w:rPr>
            <w:rStyle w:val="Hyperlink"/>
          </w:rPr>
          <w:t xml:space="preserve">Identification of geosmin and 2-methylisoborneol in cyanobacteria and molecular detection methods for the producers of these compounds</w:t>
        </w:r>
      </w:hyperlink>
      <w:r>
        <w:t xml:space="preserve">.</w:t>
      </w:r>
      <w:r>
        <w:t xml:space="preserve"> </w:t>
      </w:r>
      <w:r>
        <w:rPr>
          <w:i/>
          <w:iCs/>
        </w:rPr>
        <w:t xml:space="preserve">Water Research</w:t>
      </w:r>
      <w:r>
        <w:t xml:space="preserve"> </w:t>
      </w:r>
      <w:r>
        <w:rPr>
          <w:b/>
          <w:bCs/>
        </w:rPr>
        <w:t xml:space="preserve">68</w:t>
      </w:r>
      <w:r>
        <w:t xml:space="preserve">, 56–66 (2015).</w:t>
      </w:r>
    </w:p>
    <w:bookmarkEnd w:id="85"/>
    <w:bookmarkStart w:id="87" w:name="ref-izaguirre2004a"/>
    <w:p>
      <w:pPr>
        <w:pStyle w:val="Bibliography"/>
      </w:pPr>
      <w:r>
        <w:t xml:space="preserve">4.</w:t>
      </w:r>
      <w:r>
        <w:t xml:space="preserve"> </w:t>
      </w:r>
      <w:r>
        <w:t xml:space="preserve">	</w:t>
      </w:r>
      <w:r>
        <w:t xml:space="preserve">Izaguirre, G. &amp; Taylor, W. D.</w:t>
      </w:r>
      <w:r>
        <w:t xml:space="preserve"> </w:t>
      </w:r>
      <w:hyperlink r:id="rId86">
        <w:r>
          <w:rPr>
            <w:rStyle w:val="Hyperlink"/>
          </w:rPr>
          <w:t xml:space="preserve">A guide to geosmin- and MIB-producing cyanobacteria in the united states</w:t>
        </w:r>
      </w:hyperlink>
      <w:r>
        <w:t xml:space="preserve">.</w:t>
      </w:r>
      <w:r>
        <w:t xml:space="preserve"> </w:t>
      </w:r>
      <w:r>
        <w:rPr>
          <w:i/>
          <w:iCs/>
        </w:rPr>
        <w:t xml:space="preserve">Water Science and Technology</w:t>
      </w:r>
      <w:r>
        <w:t xml:space="preserve"> </w:t>
      </w:r>
      <w:r>
        <w:rPr>
          <w:b/>
          <w:bCs/>
        </w:rPr>
        <w:t xml:space="preserve">49</w:t>
      </w:r>
      <w:r>
        <w:t xml:space="preserve">, 19–24 (2004).</w:t>
      </w:r>
    </w:p>
    <w:bookmarkEnd w:id="87"/>
    <w:bookmarkStart w:id="89" w:name="ref-wang2023risk"/>
    <w:p>
      <w:pPr>
        <w:pStyle w:val="Bibliography"/>
      </w:pPr>
      <w:r>
        <w:t xml:space="preserve">5.</w:t>
      </w:r>
      <w:r>
        <w:t xml:space="preserve"> </w:t>
      </w:r>
      <w:r>
        <w:t xml:space="preserve">	</w:t>
      </w:r>
      <w:r>
        <w:t xml:space="preserve">Wang, C.</w:t>
      </w:r>
      <w:r>
        <w:t xml:space="preserve"> </w:t>
      </w:r>
      <w:r>
        <w:rPr>
          <w:i/>
          <w:iCs/>
        </w:rPr>
        <w:t xml:space="preserve">et al.</w:t>
      </w:r>
      <w:r>
        <w:t xml:space="preserve"> </w:t>
      </w:r>
      <w:hyperlink r:id="rId88">
        <w:r>
          <w:rPr>
            <w:rStyle w:val="Hyperlink"/>
          </w:rPr>
          <w:t xml:space="preserve">Risk assessment for 2-MIB odor complaint in drinking water based on zero-inflated log-normal model</w:t>
        </w:r>
      </w:hyperlink>
      <w:r>
        <w:t xml:space="preserve">.</w:t>
      </w:r>
      <w:r>
        <w:t xml:space="preserve"> </w:t>
      </w:r>
      <w:r>
        <w:rPr>
          <w:i/>
          <w:iCs/>
        </w:rPr>
        <w:t xml:space="preserve">ACS ES&amp;T Water</w:t>
      </w:r>
      <w:r>
        <w:t xml:space="preserve"> </w:t>
      </w:r>
      <w:r>
        <w:rPr>
          <w:b/>
          <w:bCs/>
        </w:rPr>
        <w:t xml:space="preserve">4</w:t>
      </w:r>
      <w:r>
        <w:t xml:space="preserve">, 146–154 (2023).</w:t>
      </w:r>
    </w:p>
    <w:bookmarkEnd w:id="89"/>
    <w:bookmarkStart w:id="91" w:name="ref-suffet1999drinking"/>
    <w:p>
      <w:pPr>
        <w:pStyle w:val="Bibliography"/>
      </w:pPr>
      <w:r>
        <w:t xml:space="preserve">6.</w:t>
      </w:r>
      <w:r>
        <w:t xml:space="preserve"> </w:t>
      </w:r>
      <w:r>
        <w:t xml:space="preserve">	</w:t>
      </w:r>
      <w:r>
        <w:t xml:space="preserve">Suffet, I. h. (mel), Khiari, D. &amp; Bruchet, A.</w:t>
      </w:r>
      <w:r>
        <w:t xml:space="preserve"> </w:t>
      </w:r>
      <w:hyperlink r:id="rId90">
        <w:r>
          <w:rPr>
            <w:rStyle w:val="Hyperlink"/>
          </w:rPr>
          <w:t xml:space="preserve">The drinking water taste and odor wheel for the millennium: Beyond geosmin and 2-methylisoborneol</w:t>
        </w:r>
      </w:hyperlink>
      <w:r>
        <w:t xml:space="preserve">.</w:t>
      </w:r>
      <w:r>
        <w:t xml:space="preserve"> </w:t>
      </w:r>
      <w:r>
        <w:rPr>
          <w:i/>
          <w:iCs/>
        </w:rPr>
        <w:t xml:space="preserve">Water Science and Technology</w:t>
      </w:r>
      <w:r>
        <w:t xml:space="preserve"> </w:t>
      </w:r>
      <w:r>
        <w:rPr>
          <w:b/>
          <w:bCs/>
        </w:rPr>
        <w:t xml:space="preserve">40</w:t>
      </w:r>
      <w:r>
        <w:t xml:space="preserve">, 1–13 (1999).</w:t>
      </w:r>
    </w:p>
    <w:bookmarkEnd w:id="91"/>
    <w:bookmarkStart w:id="93" w:name="ref-gillogly1999a"/>
    <w:p>
      <w:pPr>
        <w:pStyle w:val="Bibliography"/>
      </w:pPr>
      <w:r>
        <w:t xml:space="preserve">7.</w:t>
      </w:r>
      <w:r>
        <w:t xml:space="preserve"> </w:t>
      </w:r>
      <w:r>
        <w:t xml:space="preserve">	</w:t>
      </w:r>
      <w:r>
        <w:t xml:space="preserve">Gillogly, T. E. T., Snoeyink, V. L., Newcombe, G. &amp; Elarde, J. R.</w:t>
      </w:r>
      <w:r>
        <w:t xml:space="preserve"> </w:t>
      </w:r>
      <w:hyperlink r:id="rId92">
        <w:r>
          <w:rPr>
            <w:rStyle w:val="Hyperlink"/>
          </w:rPr>
          <w:t xml:space="preserve">A simplified method to determine the powdered activated carbon dose required to remove methylisoborneol</w:t>
        </w:r>
      </w:hyperlink>
      <w:r>
        <w:t xml:space="preserve">.</w:t>
      </w:r>
      <w:r>
        <w:t xml:space="preserve"> </w:t>
      </w:r>
      <w:r>
        <w:rPr>
          <w:i/>
          <w:iCs/>
        </w:rPr>
        <w:t xml:space="preserve">Water Science and Technology</w:t>
      </w:r>
      <w:r>
        <w:t xml:space="preserve"> </w:t>
      </w:r>
      <w:r>
        <w:rPr>
          <w:b/>
          <w:bCs/>
        </w:rPr>
        <w:t xml:space="preserve">40</w:t>
      </w:r>
      <w:r>
        <w:t xml:space="preserve">, 59–64 (1999).</w:t>
      </w:r>
    </w:p>
    <w:bookmarkEnd w:id="93"/>
    <w:bookmarkStart w:id="95" w:name="ref-dionigi1991effects"/>
    <w:p>
      <w:pPr>
        <w:pStyle w:val="Bibliography"/>
      </w:pPr>
      <w:r>
        <w:t xml:space="preserve">8.</w:t>
      </w:r>
      <w:r>
        <w:t xml:space="preserve"> </w:t>
      </w:r>
      <w:r>
        <w:t xml:space="preserve">	</w:t>
      </w:r>
      <w:r>
        <w:t xml:space="preserve">Dionigi, C. P., Millie, D. F. &amp; Johnsen, P. B.</w:t>
      </w:r>
      <w:r>
        <w:t xml:space="preserve"> </w:t>
      </w:r>
      <w:hyperlink r:id="rId94">
        <w:r>
          <w:rPr>
            <w:rStyle w:val="Hyperlink"/>
          </w:rPr>
          <w:t xml:space="preserve">Effects of farnesol and the off-flavor derivative geosmin on</w:t>
        </w:r>
        <w:r>
          <w:rPr>
            <w:rStyle w:val="Hyperlink"/>
          </w:rPr>
          <w:t xml:space="preserve"> </w:t>
        </w:r>
        <w:r>
          <w:rPr>
            <w:rStyle w:val="Hyperlink"/>
            <w:i/>
            <w:iCs/>
          </w:rPr>
          <w:t xml:space="preserve">Streptomyces Tendae</w:t>
        </w:r>
      </w:hyperlink>
      <w:r>
        <w:t xml:space="preserve">.</w:t>
      </w:r>
      <w:r>
        <w:t xml:space="preserve"> </w:t>
      </w:r>
      <w:r>
        <w:rPr>
          <w:i/>
          <w:iCs/>
        </w:rPr>
        <w:t xml:space="preserve">Applied and Environmental Microbiology</w:t>
      </w:r>
      <w:r>
        <w:t xml:space="preserve"> </w:t>
      </w:r>
      <w:r>
        <w:rPr>
          <w:b/>
          <w:bCs/>
        </w:rPr>
        <w:t xml:space="preserve">57</w:t>
      </w:r>
      <w:r>
        <w:t xml:space="preserve">, 3429–3432 (1991).</w:t>
      </w:r>
    </w:p>
    <w:bookmarkEnd w:id="95"/>
    <w:bookmarkStart w:id="97" w:name="ref-lin2002correlation"/>
    <w:p>
      <w:pPr>
        <w:pStyle w:val="Bibliography"/>
      </w:pPr>
      <w:r>
        <w:t xml:space="preserve">9.</w:t>
      </w:r>
      <w:r>
        <w:t xml:space="preserve"> </w:t>
      </w:r>
      <w:r>
        <w:t xml:space="preserve">	</w:t>
      </w:r>
      <w:r>
        <w:t xml:space="preserve">Lin, T.-F., Wong, J.-Y. &amp; Kao, H.-P.</w:t>
      </w:r>
      <w:r>
        <w:t xml:space="preserve"> </w:t>
      </w:r>
      <w:hyperlink r:id="rId96">
        <w:r>
          <w:rPr>
            <w:rStyle w:val="Hyperlink"/>
          </w:rPr>
          <w:t xml:space="preserve">Correlation of musty odor and 2-</w:t>
        </w:r>
        <w:r>
          <w:rPr>
            <w:rStyle w:val="Hyperlink"/>
          </w:rPr>
          <w:t xml:space="preserve">MIB</w:t>
        </w:r>
        <w:r>
          <w:rPr>
            <w:rStyle w:val="Hyperlink"/>
          </w:rPr>
          <w:t xml:space="preserve"> </w:t>
        </w:r>
        <w:r>
          <w:rPr>
            <w:rStyle w:val="Hyperlink"/>
          </w:rPr>
          <w:t xml:space="preserve">in two drinking water treatment plants in south taiwan</w:t>
        </w:r>
      </w:hyperlink>
      <w:r>
        <w:t xml:space="preserve">.</w:t>
      </w:r>
      <w:r>
        <w:t xml:space="preserve"> </w:t>
      </w:r>
      <w:r>
        <w:rPr>
          <w:i/>
          <w:iCs/>
        </w:rPr>
        <w:t xml:space="preserve">Science of the Total Environment</w:t>
      </w:r>
      <w:r>
        <w:t xml:space="preserve"> </w:t>
      </w:r>
      <w:r>
        <w:rPr>
          <w:b/>
          <w:bCs/>
        </w:rPr>
        <w:t xml:space="preserve">289</w:t>
      </w:r>
      <w:r>
        <w:t xml:space="preserve">, 225–235 (2002).</w:t>
      </w:r>
    </w:p>
    <w:bookmarkEnd w:id="97"/>
    <w:bookmarkStart w:id="99" w:name="ref-li2019variation"/>
    <w:p>
      <w:pPr>
        <w:pStyle w:val="Bibliography"/>
      </w:pPr>
      <w:r>
        <w:t xml:space="preserve">10.</w:t>
      </w:r>
      <w:r>
        <w:t xml:space="preserve"> </w:t>
      </w:r>
      <w:r>
        <w:t xml:space="preserve">	</w:t>
      </w:r>
      <w:r>
        <w:t xml:space="preserve">Li, L., Yang, S., Yu, S. &amp; Zhang, Y.</w:t>
      </w:r>
      <w:r>
        <w:t xml:space="preserve"> </w:t>
      </w:r>
      <w:hyperlink r:id="rId98">
        <w:r>
          <w:rPr>
            <w:rStyle w:val="Hyperlink"/>
          </w:rPr>
          <w:t xml:space="preserve">Variation and removal of 2-</w:t>
        </w:r>
        <w:r>
          <w:rPr>
            <w:rStyle w:val="Hyperlink"/>
          </w:rPr>
          <w:t xml:space="preserve">MIB</w:t>
        </w:r>
        <w:r>
          <w:rPr>
            <w:rStyle w:val="Hyperlink"/>
          </w:rPr>
          <w:t xml:space="preserve"> </w:t>
        </w:r>
        <w:r>
          <w:rPr>
            <w:rStyle w:val="Hyperlink"/>
          </w:rPr>
          <w:t xml:space="preserve">in full-scale treatment plants with source water from</w:t>
        </w:r>
        <w:r>
          <w:rPr>
            <w:rStyle w:val="Hyperlink"/>
          </w:rPr>
          <w:t xml:space="preserve"> </w:t>
        </w:r>
        <w:r>
          <w:rPr>
            <w:rStyle w:val="Hyperlink"/>
          </w:rPr>
          <w:t xml:space="preserve">Lake Tai</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Water Research</w:t>
      </w:r>
      <w:r>
        <w:t xml:space="preserve"> </w:t>
      </w:r>
      <w:r>
        <w:rPr>
          <w:b/>
          <w:bCs/>
        </w:rPr>
        <w:t xml:space="preserve">162</w:t>
      </w:r>
      <w:r>
        <w:t xml:space="preserve">, 180–189 (2019).</w:t>
      </w:r>
    </w:p>
    <w:bookmarkEnd w:id="99"/>
    <w:bookmarkStart w:id="100" w:name="ref-american2010algae"/>
    <w:p>
      <w:pPr>
        <w:pStyle w:val="Bibliography"/>
      </w:pPr>
      <w:r>
        <w:t xml:space="preserve">11.</w:t>
      </w:r>
      <w:r>
        <w:t xml:space="preserve"> </w:t>
      </w:r>
      <w:r>
        <w:t xml:space="preserve">	</w:t>
      </w:r>
      <w:r>
        <w:t xml:space="preserve">AWWA, A. W. W. A.</w:t>
      </w:r>
      <w:r>
        <w:t xml:space="preserve"> </w:t>
      </w:r>
      <w:r>
        <w:rPr>
          <w:i/>
          <w:iCs/>
        </w:rPr>
        <w:t xml:space="preserve">Algae: Source to treatment</w:t>
      </w:r>
      <w:r>
        <w:t xml:space="preserve">. (American Water Works Association, 2010).</w:t>
      </w:r>
    </w:p>
    <w:bookmarkEnd w:id="100"/>
    <w:bookmarkStart w:id="102" w:name="ref-ceronvivas2022geosmin"/>
    <w:p>
      <w:pPr>
        <w:pStyle w:val="Bibliography"/>
      </w:pPr>
      <w:r>
        <w:t xml:space="preserve">12.</w:t>
      </w:r>
      <w:r>
        <w:t xml:space="preserve"> </w:t>
      </w:r>
      <w:r>
        <w:t xml:space="preserve">	</w:t>
      </w:r>
      <w:r>
        <w:t xml:space="preserve">Cerón-Vivas, A., Villamizar León, M. P. &amp; Cajigas, Á. A.</w:t>
      </w:r>
      <w:r>
        <w:t xml:space="preserve"> </w:t>
      </w:r>
      <w:hyperlink r:id="rId101">
        <w:r>
          <w:rPr>
            <w:rStyle w:val="Hyperlink"/>
          </w:rPr>
          <w:t xml:space="preserve">Geosmin and 2-methylisoborneol removal in drinking water treatment</w:t>
        </w:r>
      </w:hyperlink>
      <w:r>
        <w:t xml:space="preserve">.</w:t>
      </w:r>
      <w:r>
        <w:t xml:space="preserve"> </w:t>
      </w:r>
      <w:r>
        <w:rPr>
          <w:i/>
          <w:iCs/>
        </w:rPr>
        <w:t xml:space="preserve">Water Practice and Technology</w:t>
      </w:r>
      <w:r>
        <w:t xml:space="preserve"> </w:t>
      </w:r>
      <w:r>
        <w:rPr>
          <w:b/>
          <w:bCs/>
        </w:rPr>
        <w:t xml:space="preserve">18</w:t>
      </w:r>
      <w:r>
        <w:t xml:space="preserve">, 159–167 (2022).</w:t>
      </w:r>
    </w:p>
    <w:bookmarkEnd w:id="102"/>
    <w:bookmarkStart w:id="103" w:name="ref-gerber1969a"/>
    <w:p>
      <w:pPr>
        <w:pStyle w:val="Bibliography"/>
      </w:pPr>
      <w:r>
        <w:t xml:space="preserve">13.</w:t>
      </w:r>
      <w:r>
        <w:t xml:space="preserve"> </w:t>
      </w:r>
      <w:r>
        <w:t xml:space="preserve">	</w:t>
      </w:r>
      <w:r>
        <w:t xml:space="preserve">Gerber, N. N. A volatile metabolite of actinomycetes, 2-methylisoborneol.</w:t>
      </w:r>
      <w:r>
        <w:t xml:space="preserve"> </w:t>
      </w:r>
      <w:r>
        <w:rPr>
          <w:i/>
          <w:iCs/>
        </w:rPr>
        <w:t xml:space="preserve">Antibiotics</w:t>
      </w:r>
      <w:r>
        <w:t xml:space="preserve"> </w:t>
      </w:r>
      <w:r>
        <w:rPr>
          <w:b/>
          <w:bCs/>
        </w:rPr>
        <w:t xml:space="preserve">22</w:t>
      </w:r>
      <w:r>
        <w:t xml:space="preserve">, 508–509 (1969).</w:t>
      </w:r>
    </w:p>
    <w:bookmarkEnd w:id="103"/>
    <w:bookmarkStart w:id="105" w:name="ref-franklin2023potential"/>
    <w:p>
      <w:pPr>
        <w:pStyle w:val="Bibliography"/>
      </w:pPr>
      <w:r>
        <w:t xml:space="preserve">14.</w:t>
      </w:r>
      <w:r>
        <w:t xml:space="preserve"> </w:t>
      </w:r>
      <w:r>
        <w:t xml:space="preserve">	</w:t>
      </w:r>
      <w:r>
        <w:t xml:space="preserve">Franklin, H. M.</w:t>
      </w:r>
      <w:r>
        <w:t xml:space="preserve"> </w:t>
      </w:r>
      <w:r>
        <w:rPr>
          <w:i/>
          <w:iCs/>
        </w:rPr>
        <w:t xml:space="preserve">et al.</w:t>
      </w:r>
      <w:r>
        <w:t xml:space="preserve"> </w:t>
      </w:r>
      <w:hyperlink r:id="rId104">
        <w:r>
          <w:rPr>
            <w:rStyle w:val="Hyperlink"/>
          </w:rPr>
          <w:t xml:space="preserve">Potential sources and producers of 2-methylisoborneol and geosmin in a river supplying a drinking water treatment plant</w:t>
        </w:r>
      </w:hyperlink>
      <w:r>
        <w:t xml:space="preserve">.</w:t>
      </w:r>
      <w:r>
        <w:t xml:space="preserve"> </w:t>
      </w:r>
      <w:r>
        <w:rPr>
          <w:i/>
          <w:iCs/>
        </w:rPr>
        <w:t xml:space="preserve">Chemical Engineering Journal Advances</w:t>
      </w:r>
      <w:r>
        <w:t xml:space="preserve"> </w:t>
      </w:r>
      <w:r>
        <w:rPr>
          <w:b/>
          <w:bCs/>
        </w:rPr>
        <w:t xml:space="preserve">14</w:t>
      </w:r>
      <w:r>
        <w:t xml:space="preserve">, 100455 (2023).</w:t>
      </w:r>
    </w:p>
    <w:bookmarkEnd w:id="105"/>
    <w:bookmarkStart w:id="107" w:name="ref-tabachek1976isolation"/>
    <w:p>
      <w:pPr>
        <w:pStyle w:val="Bibliography"/>
      </w:pPr>
      <w:r>
        <w:t xml:space="preserve">15.</w:t>
      </w:r>
      <w:r>
        <w:t xml:space="preserve"> </w:t>
      </w:r>
      <w:r>
        <w:t xml:space="preserve">	</w:t>
      </w:r>
      <w:r>
        <w:t xml:space="preserve">Tabachek, J. L. &amp; Yurkowski, M.</w:t>
      </w:r>
      <w:r>
        <w:t xml:space="preserve"> </w:t>
      </w:r>
      <w:hyperlink r:id="rId106">
        <w:r>
          <w:rPr>
            <w:rStyle w:val="Hyperlink"/>
          </w:rPr>
          <w:t xml:space="preserve">Isolation and identification of blue-green algae producing muddy odor metabolites, geosmin, and 2-methylisoborneol, in saline lakes in</w:t>
        </w:r>
        <w:r>
          <w:rPr>
            <w:rStyle w:val="Hyperlink"/>
          </w:rPr>
          <w:t xml:space="preserve"> </w:t>
        </w:r>
        <w:r>
          <w:rPr>
            <w:rStyle w:val="Hyperlink"/>
          </w:rPr>
          <w:t xml:space="preserve">Manitoba</w:t>
        </w:r>
      </w:hyperlink>
      <w:r>
        <w:t xml:space="preserve">.</w:t>
      </w:r>
      <w:r>
        <w:t xml:space="preserve"> </w:t>
      </w:r>
      <w:r>
        <w:rPr>
          <w:i/>
          <w:iCs/>
        </w:rPr>
        <w:t xml:space="preserve">Journal of the Fisheries Research Board of Canada</w:t>
      </w:r>
      <w:r>
        <w:t xml:space="preserve"> </w:t>
      </w:r>
      <w:r>
        <w:rPr>
          <w:b/>
          <w:bCs/>
        </w:rPr>
        <w:t xml:space="preserve">33</w:t>
      </w:r>
      <w:r>
        <w:t xml:space="preserve">, 25–35 (1976).</w:t>
      </w:r>
    </w:p>
    <w:bookmarkEnd w:id="107"/>
    <w:bookmarkStart w:id="109" w:name="ref-yamada2014terpene"/>
    <w:p>
      <w:pPr>
        <w:pStyle w:val="Bibliography"/>
      </w:pPr>
      <w:r>
        <w:t xml:space="preserve">16.</w:t>
      </w:r>
      <w:r>
        <w:t xml:space="preserve"> </w:t>
      </w:r>
      <w:r>
        <w:t xml:space="preserve">	</w:t>
      </w:r>
      <w:r>
        <w:t xml:space="preserve">Yamada, Y.</w:t>
      </w:r>
      <w:r>
        <w:t xml:space="preserve"> </w:t>
      </w:r>
      <w:r>
        <w:rPr>
          <w:i/>
          <w:iCs/>
        </w:rPr>
        <w:t xml:space="preserve">et al.</w:t>
      </w:r>
      <w:r>
        <w:t xml:space="preserve"> </w:t>
      </w:r>
      <w:hyperlink r:id="rId108">
        <w:r>
          <w:rPr>
            <w:rStyle w:val="Hyperlink"/>
          </w:rPr>
          <w:t xml:space="preserve">Terpene synthases are widely distributed in bacteria</w:t>
        </w:r>
      </w:hyperlink>
      <w:r>
        <w:t xml:space="preserve">.</w:t>
      </w:r>
      <w:r>
        <w:t xml:space="preserve"> </w:t>
      </w:r>
      <w:r>
        <w:rPr>
          <w:i/>
          <w:iCs/>
        </w:rPr>
        <w:t xml:space="preserve">Proceedings of the National Academy of Sciences</w:t>
      </w:r>
      <w:r>
        <w:t xml:space="preserve"> </w:t>
      </w:r>
      <w:r>
        <w:rPr>
          <w:b/>
          <w:bCs/>
        </w:rPr>
        <w:t xml:space="preserve">112</w:t>
      </w:r>
      <w:r>
        <w:t xml:space="preserve">, 857–862 (2014).</w:t>
      </w:r>
    </w:p>
    <w:bookmarkEnd w:id="109"/>
    <w:bookmarkStart w:id="111" w:name="ref-dickschat2007biosynthesis"/>
    <w:p>
      <w:pPr>
        <w:pStyle w:val="Bibliography"/>
      </w:pPr>
      <w:r>
        <w:t xml:space="preserve">17.</w:t>
      </w:r>
      <w:r>
        <w:t xml:space="preserve"> </w:t>
      </w:r>
      <w:r>
        <w:t xml:space="preserve">	</w:t>
      </w:r>
      <w:r>
        <w:t xml:space="preserve">Dickschat, Jeroen s.</w:t>
      </w:r>
      <w:r>
        <w:t xml:space="preserve"> </w:t>
      </w:r>
      <w:r>
        <w:rPr>
          <w:i/>
          <w:iCs/>
        </w:rPr>
        <w:t xml:space="preserve">et al.</w:t>
      </w:r>
      <w:r>
        <w:t xml:space="preserve"> </w:t>
      </w:r>
      <w:hyperlink r:id="rId110">
        <w:r>
          <w:rPr>
            <w:rStyle w:val="Hyperlink"/>
          </w:rPr>
          <w:t xml:space="preserve">Biosynthesis of the off-flavor 2-methylisoborneol by the myxobacterium nannocystis exedens</w:t>
        </w:r>
      </w:hyperlink>
      <w:r>
        <w:t xml:space="preserve">.</w:t>
      </w:r>
      <w:r>
        <w:t xml:space="preserve"> </w:t>
      </w:r>
      <w:r>
        <w:rPr>
          <w:i/>
          <w:iCs/>
        </w:rPr>
        <w:t xml:space="preserve">Angewandte Chemie International Edition</w:t>
      </w:r>
      <w:r>
        <w:t xml:space="preserve"> </w:t>
      </w:r>
      <w:r>
        <w:rPr>
          <w:b/>
          <w:bCs/>
        </w:rPr>
        <w:t xml:space="preserve">46</w:t>
      </w:r>
      <w:r>
        <w:t xml:space="preserve">, 8287–8290 (2007).</w:t>
      </w:r>
    </w:p>
    <w:bookmarkEnd w:id="111"/>
    <w:bookmarkStart w:id="113" w:name="ref-su2021ecological"/>
    <w:p>
      <w:pPr>
        <w:pStyle w:val="Bibliography"/>
      </w:pPr>
      <w:r>
        <w:t xml:space="preserve">18.</w:t>
      </w:r>
      <w:r>
        <w:t xml:space="preserve"> </w:t>
      </w:r>
      <w:r>
        <w:t xml:space="preserve">	</w:t>
      </w:r>
      <w:r>
        <w:t xml:space="preserve">Su, M.</w:t>
      </w:r>
      <w:r>
        <w:t xml:space="preserve"> </w:t>
      </w:r>
      <w:r>
        <w:rPr>
          <w:i/>
          <w:iCs/>
        </w:rPr>
        <w:t xml:space="preserve">et al.</w:t>
      </w:r>
      <w:r>
        <w:t xml:space="preserve"> </w:t>
      </w:r>
      <w:hyperlink r:id="rId112">
        <w:r>
          <w:rPr>
            <w:rStyle w:val="Hyperlink"/>
          </w:rPr>
          <w:t xml:space="preserve">Ecological niche and in-situ control of</w:t>
        </w:r>
        <w:r>
          <w:rPr>
            <w:rStyle w:val="Hyperlink"/>
          </w:rPr>
          <w:t xml:space="preserve"> </w:t>
        </w:r>
        <w:r>
          <w:rPr>
            <w:rStyle w:val="Hyperlink"/>
          </w:rPr>
          <w:t xml:space="preserve">MIB</w:t>
        </w:r>
        <w:r>
          <w:rPr>
            <w:rStyle w:val="Hyperlink"/>
          </w:rPr>
          <w:t xml:space="preserve"> </w:t>
        </w:r>
        <w:r>
          <w:rPr>
            <w:rStyle w:val="Hyperlink"/>
          </w:rPr>
          <w:t xml:space="preserve">producers in source water</w:t>
        </w:r>
      </w:hyperlink>
      <w:r>
        <w:t xml:space="preserve">.</w:t>
      </w:r>
      <w:r>
        <w:t xml:space="preserve"> </w:t>
      </w:r>
      <w:r>
        <w:rPr>
          <w:i/>
          <w:iCs/>
        </w:rPr>
        <w:t xml:space="preserve">Journal of Environmental Sciences</w:t>
      </w:r>
      <w:r>
        <w:t xml:space="preserve"> </w:t>
      </w:r>
      <w:r>
        <w:rPr>
          <w:b/>
          <w:bCs/>
        </w:rPr>
        <w:t xml:space="preserve">110</w:t>
      </w:r>
      <w:r>
        <w:t xml:space="preserve">, 119–128 (2021).</w:t>
      </w:r>
    </w:p>
    <w:bookmarkEnd w:id="113"/>
    <w:bookmarkStart w:id="115" w:name="ref-su2015mib"/>
    <w:p>
      <w:pPr>
        <w:pStyle w:val="Bibliography"/>
      </w:pPr>
      <w:r>
        <w:t xml:space="preserve">19.</w:t>
      </w:r>
      <w:r>
        <w:t xml:space="preserve"> </w:t>
      </w:r>
      <w:r>
        <w:t xml:space="preserve">	</w:t>
      </w:r>
      <w:r>
        <w:t xml:space="preserve">Su, M.</w:t>
      </w:r>
      <w:r>
        <w:t xml:space="preserve"> </w:t>
      </w:r>
      <w:r>
        <w:rPr>
          <w:i/>
          <w:iCs/>
        </w:rPr>
        <w:t xml:space="preserve">et al.</w:t>
      </w:r>
      <w:r>
        <w:t xml:space="preserve"> </w:t>
      </w:r>
      <w:hyperlink r:id="rId114">
        <w:r>
          <w:rPr>
            <w:rStyle w:val="Hyperlink"/>
          </w:rPr>
          <w:t xml:space="preserve">MIB</w:t>
        </w:r>
        <w:r>
          <w:rPr>
            <w:rStyle w:val="Hyperlink"/>
          </w:rPr>
          <w:t xml:space="preserve">-producing cyanobacteria (</w:t>
        </w:r>
        <w:r>
          <w:rPr>
            <w:rStyle w:val="Hyperlink"/>
            <w:i/>
            <w:iCs/>
          </w:rPr>
          <w:t xml:space="preserve">Planktothrix</w:t>
        </w:r>
        <w:r>
          <w:rPr>
            <w:rStyle w:val="Hyperlink"/>
          </w:rPr>
          <w:t xml:space="preserve"> </w:t>
        </w:r>
        <w:r>
          <w:rPr>
            <w:rStyle w:val="Hyperlink"/>
          </w:rPr>
          <w:t xml:space="preserve">sp.) in a drinking water reservoir: Distribution and odor producing potential</w:t>
        </w:r>
      </w:hyperlink>
      <w:r>
        <w:t xml:space="preserve">.</w:t>
      </w:r>
      <w:r>
        <w:t xml:space="preserve"> </w:t>
      </w:r>
      <w:r>
        <w:rPr>
          <w:i/>
          <w:iCs/>
        </w:rPr>
        <w:t xml:space="preserve">Water Research</w:t>
      </w:r>
      <w:r>
        <w:t xml:space="preserve"> </w:t>
      </w:r>
      <w:r>
        <w:rPr>
          <w:b/>
          <w:bCs/>
        </w:rPr>
        <w:t xml:space="preserve">68</w:t>
      </w:r>
      <w:r>
        <w:t xml:space="preserve">, 444–453 (2015).</w:t>
      </w:r>
    </w:p>
    <w:bookmarkEnd w:id="115"/>
    <w:bookmarkStart w:id="117" w:name="ref-lu2023mibderived"/>
    <w:p>
      <w:pPr>
        <w:pStyle w:val="Bibliography"/>
      </w:pPr>
      <w:r>
        <w:t xml:space="preserve">20.</w:t>
      </w:r>
      <w:r>
        <w:t xml:space="preserve"> </w:t>
      </w:r>
      <w:r>
        <w:t xml:space="preserve">	</w:t>
      </w:r>
      <w:r>
        <w:t xml:space="preserve">Lu, J.</w:t>
      </w:r>
      <w:r>
        <w:t xml:space="preserve"> </w:t>
      </w:r>
      <w:r>
        <w:rPr>
          <w:i/>
          <w:iCs/>
        </w:rPr>
        <w:t xml:space="preserve">et al.</w:t>
      </w:r>
      <w:r>
        <w:t xml:space="preserve"> </w:t>
      </w:r>
      <w:hyperlink r:id="rId116">
        <w:r>
          <w:rPr>
            <w:rStyle w:val="Hyperlink"/>
          </w:rPr>
          <w:t xml:space="preserve">MIB</w:t>
        </w:r>
        <w:r>
          <w:rPr>
            <w:rStyle w:val="Hyperlink"/>
          </w:rPr>
          <w:t xml:space="preserve">-derived odor management based upon hydraulic regulation in small drinking water reservoirs: Principle and application</w:t>
        </w:r>
      </w:hyperlink>
      <w:r>
        <w:t xml:space="preserve">.</w:t>
      </w:r>
      <w:r>
        <w:t xml:space="preserve"> </w:t>
      </w:r>
      <w:r>
        <w:rPr>
          <w:i/>
          <w:iCs/>
        </w:rPr>
        <w:t xml:space="preserve">Water Research</w:t>
      </w:r>
      <w:r>
        <w:t xml:space="preserve"> </w:t>
      </w:r>
      <w:r>
        <w:rPr>
          <w:b/>
          <w:bCs/>
        </w:rPr>
        <w:t xml:space="preserve">244</w:t>
      </w:r>
      <w:r>
        <w:t xml:space="preserve">, 120485 (2023).</w:t>
      </w:r>
    </w:p>
    <w:bookmarkEnd w:id="117"/>
    <w:bookmarkStart w:id="119" w:name="ref-izaguirre2007benthic"/>
    <w:p>
      <w:pPr>
        <w:pStyle w:val="Bibliography"/>
      </w:pPr>
      <w:r>
        <w:t xml:space="preserve">21.</w:t>
      </w:r>
      <w:r>
        <w:t xml:space="preserve"> </w:t>
      </w:r>
      <w:r>
        <w:t xml:space="preserve">	</w:t>
      </w:r>
      <w:r>
        <w:t xml:space="preserve">Izaguirre, G., Jungblut, A. &amp; Neilan, B. A.</w:t>
      </w:r>
      <w:r>
        <w:t xml:space="preserve"> </w:t>
      </w:r>
      <w:hyperlink r:id="rId118">
        <w:r>
          <w:rPr>
            <w:rStyle w:val="Hyperlink"/>
          </w:rPr>
          <w:t xml:space="preserve">Benthic cyanobacteria (oscillatoriaceae) that produce microcystin-</w:t>
        </w:r>
        <w:r>
          <w:rPr>
            <w:rStyle w:val="Hyperlink"/>
          </w:rPr>
          <w:t xml:space="preserve">LR</w:t>
        </w:r>
        <w:r>
          <w:rPr>
            <w:rStyle w:val="Hyperlink"/>
          </w:rPr>
          <w:t xml:space="preserve">, isolated from four reservoirs in</w:t>
        </w:r>
        <w:r>
          <w:rPr>
            <w:rStyle w:val="Hyperlink"/>
          </w:rPr>
          <w:t xml:space="preserve"> </w:t>
        </w:r>
        <w:r>
          <w:rPr>
            <w:rStyle w:val="Hyperlink"/>
          </w:rPr>
          <w:t xml:space="preserve">Southern California</w:t>
        </w:r>
      </w:hyperlink>
      <w:r>
        <w:t xml:space="preserve">.</w:t>
      </w:r>
      <w:r>
        <w:t xml:space="preserve"> </w:t>
      </w:r>
      <w:r>
        <w:rPr>
          <w:i/>
          <w:iCs/>
        </w:rPr>
        <w:t xml:space="preserve">Water Research</w:t>
      </w:r>
      <w:r>
        <w:t xml:space="preserve"> </w:t>
      </w:r>
      <w:r>
        <w:rPr>
          <w:b/>
          <w:bCs/>
        </w:rPr>
        <w:t xml:space="preserve">41</w:t>
      </w:r>
      <w:r>
        <w:t xml:space="preserve">, 492–498 (2007).</w:t>
      </w:r>
    </w:p>
    <w:bookmarkEnd w:id="119"/>
    <w:bookmarkStart w:id="121" w:name="ref-vanderploeg1995biology"/>
    <w:p>
      <w:pPr>
        <w:pStyle w:val="Bibliography"/>
      </w:pPr>
      <w:r>
        <w:t xml:space="preserve">22.</w:t>
      </w:r>
      <w:r>
        <w:t xml:space="preserve"> </w:t>
      </w:r>
      <w:r>
        <w:t xml:space="preserve">	</w:t>
      </w:r>
      <w:r>
        <w:t xml:space="preserve">Van Der Ploeg, M., Dennis, M. &amp; De Regt, M.</w:t>
      </w:r>
      <w:r>
        <w:t xml:space="preserve"> </w:t>
      </w:r>
      <w:hyperlink r:id="rId120">
        <w:r>
          <w:rPr>
            <w:rStyle w:val="Hyperlink"/>
          </w:rPr>
          <w:t xml:space="preserve">Biology of</w:t>
        </w:r>
        <w:r>
          <w:rPr>
            <w:rStyle w:val="Hyperlink"/>
          </w:rPr>
          <w:t xml:space="preserve"> </w:t>
        </w:r>
        <w:r>
          <w:rPr>
            <w:rStyle w:val="Hyperlink"/>
            <w:i/>
            <w:iCs/>
          </w:rPr>
          <w:t xml:space="preserve">Oscillatoria chalybea</w:t>
        </w:r>
        <w:r>
          <w:rPr>
            <w:rStyle w:val="Hyperlink"/>
          </w:rPr>
          <w:t xml:space="preserve">, a 2-methylisoborneol producing blue-green alga of</w:t>
        </w:r>
        <w:r>
          <w:rPr>
            <w:rStyle w:val="Hyperlink"/>
          </w:rPr>
          <w:t xml:space="preserve"> </w:t>
        </w:r>
        <w:r>
          <w:rPr>
            <w:rStyle w:val="Hyperlink"/>
          </w:rPr>
          <w:t xml:space="preserve">Mississippi Catfish Ponds</w:t>
        </w:r>
      </w:hyperlink>
      <w:r>
        <w:t xml:space="preserve">.</w:t>
      </w:r>
      <w:r>
        <w:t xml:space="preserve"> </w:t>
      </w:r>
      <w:r>
        <w:rPr>
          <w:i/>
          <w:iCs/>
        </w:rPr>
        <w:t xml:space="preserve">Water Science and Technology</w:t>
      </w:r>
      <w:r>
        <w:t xml:space="preserve"> </w:t>
      </w:r>
      <w:r>
        <w:rPr>
          <w:b/>
          <w:bCs/>
        </w:rPr>
        <w:t xml:space="preserve">31</w:t>
      </w:r>
      <w:r>
        <w:t xml:space="preserve">, 173–180 (1995).</w:t>
      </w:r>
    </w:p>
    <w:bookmarkEnd w:id="121"/>
    <w:bookmarkStart w:id="123" w:name="ref-juttner2007biochemical"/>
    <w:p>
      <w:pPr>
        <w:pStyle w:val="Bibliography"/>
      </w:pPr>
      <w:r>
        <w:t xml:space="preserve">23.</w:t>
      </w:r>
      <w:r>
        <w:t xml:space="preserve"> </w:t>
      </w:r>
      <w:r>
        <w:t xml:space="preserve">	</w:t>
      </w:r>
      <w:r>
        <w:t xml:space="preserve">Jüttner, F. &amp; Watson, S. B.</w:t>
      </w:r>
      <w:r>
        <w:t xml:space="preserve"> </w:t>
      </w:r>
      <w:hyperlink r:id="rId122">
        <w:r>
          <w:rPr>
            <w:rStyle w:val="Hyperlink"/>
          </w:rPr>
          <w:t xml:space="preserve">Biochemical and ecological control of geosmin and 2-methylisoborneol in source waters</w:t>
        </w:r>
      </w:hyperlink>
      <w:r>
        <w:t xml:space="preserve">.</w:t>
      </w:r>
      <w:r>
        <w:t xml:space="preserve"> </w:t>
      </w:r>
      <w:r>
        <w:rPr>
          <w:i/>
          <w:iCs/>
        </w:rPr>
        <w:t xml:space="preserve">Applied and Environmental Microbiology</w:t>
      </w:r>
      <w:r>
        <w:t xml:space="preserve"> </w:t>
      </w:r>
      <w:r>
        <w:rPr>
          <w:b/>
          <w:bCs/>
        </w:rPr>
        <w:t xml:space="preserve">73</w:t>
      </w:r>
      <w:r>
        <w:t xml:space="preserve">, 4395–4406 (2007).</w:t>
      </w:r>
    </w:p>
    <w:bookmarkEnd w:id="123"/>
    <w:bookmarkStart w:id="125" w:name="ref-su2014spatial"/>
    <w:p>
      <w:pPr>
        <w:pStyle w:val="Bibliography"/>
      </w:pPr>
      <w:r>
        <w:t xml:space="preserve">24.</w:t>
      </w:r>
      <w:r>
        <w:t xml:space="preserve"> </w:t>
      </w:r>
      <w:r>
        <w:t xml:space="preserve">	</w:t>
      </w:r>
      <w:r>
        <w:t xml:space="preserve">Su, M., Yu, J., Pan, S., An, W. &amp; Yang, M.</w:t>
      </w:r>
      <w:r>
        <w:t xml:space="preserve"> </w:t>
      </w:r>
      <w:hyperlink r:id="rId124">
        <w:r>
          <w:rPr>
            <w:rStyle w:val="Hyperlink"/>
          </w:rPr>
          <w:t xml:space="preserve">Spatial and temporal variations of two cyanobacteria in the mesotrophic</w:t>
        </w:r>
        <w:r>
          <w:rPr>
            <w:rStyle w:val="Hyperlink"/>
          </w:rPr>
          <w:t xml:space="preserve"> </w:t>
        </w:r>
        <w:r>
          <w:rPr>
            <w:rStyle w:val="Hyperlink"/>
          </w:rPr>
          <w:t xml:space="preserve">Miyun Reservoir</w:t>
        </w:r>
        <w:r>
          <w:rPr>
            <w:rStyle w:val="Hyperlink"/>
          </w:rPr>
          <w:t xml:space="preserve">,</w:t>
        </w:r>
        <w:r>
          <w:rPr>
            <w:rStyle w:val="Hyperlink"/>
          </w:rPr>
          <w:t xml:space="preserve"> </w:t>
        </w:r>
        <w:r>
          <w:rPr>
            <w:rStyle w:val="Hyperlink"/>
          </w:rPr>
          <w:t xml:space="preserve">China</w:t>
        </w:r>
      </w:hyperlink>
      <w:r>
        <w:t xml:space="preserve">.</w:t>
      </w:r>
      <w:r>
        <w:t xml:space="preserve"> </w:t>
      </w:r>
      <w:r>
        <w:rPr>
          <w:i/>
          <w:iCs/>
        </w:rPr>
        <w:t xml:space="preserve">Journal of Environmental Sciences</w:t>
      </w:r>
      <w:r>
        <w:t xml:space="preserve"> </w:t>
      </w:r>
      <w:r>
        <w:rPr>
          <w:b/>
          <w:bCs/>
        </w:rPr>
        <w:t xml:space="preserve">26</w:t>
      </w:r>
      <w:r>
        <w:t xml:space="preserve">, 289–298 (2014).</w:t>
      </w:r>
    </w:p>
    <w:bookmarkEnd w:id="125"/>
    <w:bookmarkStart w:id="127" w:name="ref-lu2022driving"/>
    <w:p>
      <w:pPr>
        <w:pStyle w:val="Bibliography"/>
      </w:pPr>
      <w:r>
        <w:t xml:space="preserve">25.</w:t>
      </w:r>
      <w:r>
        <w:t xml:space="preserve"> </w:t>
      </w:r>
      <w:r>
        <w:t xml:space="preserve">	</w:t>
      </w:r>
      <w:r>
        <w:t xml:space="preserve">Lu, J.</w:t>
      </w:r>
      <w:r>
        <w:t xml:space="preserve"> </w:t>
      </w:r>
      <w:r>
        <w:rPr>
          <w:i/>
          <w:iCs/>
        </w:rPr>
        <w:t xml:space="preserve">et al.</w:t>
      </w:r>
      <w:r>
        <w:t xml:space="preserve"> 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w:t>
      </w:r>
      <w:r>
        <w:t xml:space="preserve">118670 (2022) doi:</w:t>
      </w:r>
      <w:hyperlink r:id="rId126">
        <w:r>
          <w:rPr>
            <w:rStyle w:val="Hyperlink"/>
          </w:rPr>
          <w:t xml:space="preserve">10.1016/j.watres.2022.118670</w:t>
        </w:r>
      </w:hyperlink>
      <w:r>
        <w:t xml:space="preserve">.</w:t>
      </w:r>
    </w:p>
    <w:bookmarkEnd w:id="127"/>
    <w:bookmarkStart w:id="129" w:name="ref-zhang2009effects"/>
    <w:p>
      <w:pPr>
        <w:pStyle w:val="Bibliography"/>
      </w:pPr>
      <w:r>
        <w:t xml:space="preserve">26.</w:t>
      </w:r>
      <w:r>
        <w:t xml:space="preserve"> </w:t>
      </w:r>
      <w:r>
        <w:t xml:space="preserve">	</w:t>
      </w:r>
      <w:r>
        <w:t xml:space="preserve">Zhang, T., Li, L., Song, L. &amp; Chen, W.</w:t>
      </w:r>
      <w:r>
        <w:t xml:space="preserve"> </w:t>
      </w:r>
      <w:hyperlink r:id="rId128">
        <w:r>
          <w:rPr>
            <w:rStyle w:val="Hyperlink"/>
          </w:rPr>
          <w:t xml:space="preserve">Effects of temperature and light on the growth and geosmin production of</w:t>
        </w:r>
        <w:r>
          <w:rPr>
            <w:rStyle w:val="Hyperlink"/>
          </w:rPr>
          <w:t xml:space="preserve"> </w:t>
        </w:r>
        <w:r>
          <w:rPr>
            <w:rStyle w:val="Hyperlink"/>
            <w:i/>
            <w:iCs/>
          </w:rPr>
          <w:t xml:space="preserve">Lyngbya kuetzingii</w:t>
        </w:r>
        <w:r>
          <w:rPr>
            <w:rStyle w:val="Hyperlink"/>
          </w:rPr>
          <w:t xml:space="preserve"> </w:t>
        </w:r>
        <w:r>
          <w:rPr>
            <w:rStyle w:val="Hyperlink"/>
          </w:rPr>
          <w:t xml:space="preserve">(cyanophyta)</w:t>
        </w:r>
      </w:hyperlink>
      <w:r>
        <w:t xml:space="preserve">.</w:t>
      </w:r>
      <w:r>
        <w:t xml:space="preserve"> </w:t>
      </w:r>
      <w:r>
        <w:rPr>
          <w:i/>
          <w:iCs/>
        </w:rPr>
        <w:t xml:space="preserve">Journal of Applied Phycology</w:t>
      </w:r>
      <w:r>
        <w:t xml:space="preserve"> </w:t>
      </w:r>
      <w:r>
        <w:rPr>
          <w:b/>
          <w:bCs/>
        </w:rPr>
        <w:t xml:space="preserve">21</w:t>
      </w:r>
      <w:r>
        <w:t xml:space="preserve">, 279–285 (2009).</w:t>
      </w:r>
    </w:p>
    <w:bookmarkEnd w:id="129"/>
    <w:bookmarkStart w:id="131" w:name="ref-cao2023early"/>
    <w:p>
      <w:pPr>
        <w:pStyle w:val="Bibliography"/>
      </w:pPr>
      <w:r>
        <w:t xml:space="preserve">27.</w:t>
      </w:r>
      <w:r>
        <w:t xml:space="preserve"> </w:t>
      </w:r>
      <w:r>
        <w:t xml:space="preserve">	</w:t>
      </w:r>
      <w:r>
        <w:t xml:space="preserve">Cao, T.</w:t>
      </w:r>
      <w:r>
        <w:t xml:space="preserve"> </w:t>
      </w:r>
      <w:r>
        <w:rPr>
          <w:i/>
          <w:iCs/>
        </w:rPr>
        <w:t xml:space="preserve">et al.</w:t>
      </w:r>
      <w:r>
        <w:t xml:space="preserve"> </w:t>
      </w:r>
      <w:hyperlink r:id="rId130">
        <w:r>
          <w:rPr>
            <w:rStyle w:val="Hyperlink"/>
          </w:rPr>
          <w:t xml:space="preserve">Early warning of MIB episode based on gene abundance and expression in drinking water reservoirs</w:t>
        </w:r>
      </w:hyperlink>
      <w:r>
        <w:t xml:space="preserve">.</w:t>
      </w:r>
      <w:r>
        <w:t xml:space="preserve"> </w:t>
      </w:r>
      <w:r>
        <w:rPr>
          <w:i/>
          <w:iCs/>
        </w:rPr>
        <w:t xml:space="preserve">Water Research</w:t>
      </w:r>
      <w:r>
        <w:t xml:space="preserve"> </w:t>
      </w:r>
      <w:r>
        <w:rPr>
          <w:b/>
          <w:bCs/>
        </w:rPr>
        <w:t xml:space="preserve">231</w:t>
      </w:r>
      <w:r>
        <w:t xml:space="preserve">, 119667 (2023).</w:t>
      </w:r>
    </w:p>
    <w:bookmarkEnd w:id="131"/>
    <w:bookmarkStart w:id="133" w:name="ref-clercin2019influence"/>
    <w:p>
      <w:pPr>
        <w:pStyle w:val="Bibliography"/>
      </w:pPr>
      <w:r>
        <w:t xml:space="preserve">28.</w:t>
      </w:r>
      <w:r>
        <w:t xml:space="preserve"> </w:t>
      </w:r>
      <w:r>
        <w:t xml:space="preserve">	</w:t>
      </w:r>
      <w:r>
        <w:t xml:space="preserve">Clercin, N. A. &amp; Druschel, G. K.</w:t>
      </w:r>
      <w:r>
        <w:t xml:space="preserve"> </w:t>
      </w:r>
      <w:hyperlink r:id="rId132">
        <w:r>
          <w:rPr>
            <w:rStyle w:val="Hyperlink"/>
          </w:rPr>
          <w:t xml:space="preserve">Influence of environmental factors on the production of MIB and geosmin metabolites by bacteria in a eutrophic reservoir</w:t>
        </w:r>
      </w:hyperlink>
      <w:r>
        <w:t xml:space="preserve">.</w:t>
      </w:r>
      <w:r>
        <w:t xml:space="preserve"> </w:t>
      </w:r>
      <w:r>
        <w:rPr>
          <w:i/>
          <w:iCs/>
        </w:rPr>
        <w:t xml:space="preserve">Water Resources Research</w:t>
      </w:r>
      <w:r>
        <w:t xml:space="preserve"> </w:t>
      </w:r>
      <w:r>
        <w:rPr>
          <w:b/>
          <w:bCs/>
        </w:rPr>
        <w:t xml:space="preserve">55</w:t>
      </w:r>
      <w:r>
        <w:t xml:space="preserve">, 5413–5430 (2019).</w:t>
      </w:r>
    </w:p>
    <w:bookmarkEnd w:id="133"/>
    <w:bookmarkStart w:id="134" w:name="ref-bentley1981geosmin"/>
    <w:p>
      <w:pPr>
        <w:pStyle w:val="Bibliography"/>
      </w:pPr>
      <w:r>
        <w:t xml:space="preserve">29.</w:t>
      </w:r>
      <w:r>
        <w:t xml:space="preserve"> </w:t>
      </w:r>
      <w:r>
        <w:t xml:space="preserve">	</w:t>
      </w:r>
      <w:r>
        <w:t xml:space="preserve">Bentley, R. &amp; Meganathan, R. Geosmin and methylisoborneol biosynthesis in streptomycetes. Evidence for an isoprenoid pathway and its absence in non-differentiating isolates.</w:t>
      </w:r>
      <w:r>
        <w:t xml:space="preserve"> </w:t>
      </w:r>
      <w:r>
        <w:rPr>
          <w:i/>
          <w:iCs/>
        </w:rPr>
        <w:t xml:space="preserve">FEBS Letters</w:t>
      </w:r>
      <w:r>
        <w:t xml:space="preserve"> </w:t>
      </w:r>
      <w:r>
        <w:rPr>
          <w:b/>
          <w:bCs/>
        </w:rPr>
        <w:t xml:space="preserve">125</w:t>
      </w:r>
      <w:r>
        <w:t xml:space="preserve">, 220 (1981).</w:t>
      </w:r>
    </w:p>
    <w:bookmarkEnd w:id="134"/>
    <w:bookmarkStart w:id="136" w:name="ref-wu1988differential"/>
    <w:p>
      <w:pPr>
        <w:pStyle w:val="Bibliography"/>
      </w:pPr>
      <w:r>
        <w:t xml:space="preserve">30.</w:t>
      </w:r>
      <w:r>
        <w:t xml:space="preserve"> </w:t>
      </w:r>
      <w:r>
        <w:t xml:space="preserve">	</w:t>
      </w:r>
      <w:r>
        <w:t xml:space="preserve">Wu, J. &amp; Jüttner, F.</w:t>
      </w:r>
      <w:r>
        <w:t xml:space="preserve"> </w:t>
      </w:r>
      <w:hyperlink r:id="rId135">
        <w:r>
          <w:rPr>
            <w:rStyle w:val="Hyperlink"/>
          </w:rPr>
          <w:t xml:space="preserve">Differential partitioning of geosmin and 2-methylisoborneol between cellular constituents in</w:t>
        </w:r>
        <w:r>
          <w:rPr>
            <w:rStyle w:val="Hyperlink"/>
          </w:rPr>
          <w:t xml:space="preserve"> </w:t>
        </w:r>
        <w:r>
          <w:rPr>
            <w:rStyle w:val="Hyperlink"/>
            <w:i/>
            <w:iCs/>
          </w:rPr>
          <w:t xml:space="preserve">Oscillatoria tenuis</w:t>
        </w:r>
      </w:hyperlink>
      <w:r>
        <w:t xml:space="preserve">.</w:t>
      </w:r>
      <w:r>
        <w:t xml:space="preserve"> </w:t>
      </w:r>
      <w:r>
        <w:rPr>
          <w:i/>
          <w:iCs/>
        </w:rPr>
        <w:t xml:space="preserve">Archives of Microbiology</w:t>
      </w:r>
      <w:r>
        <w:t xml:space="preserve"> </w:t>
      </w:r>
      <w:r>
        <w:rPr>
          <w:b/>
          <w:bCs/>
        </w:rPr>
        <w:t xml:space="preserve">150</w:t>
      </w:r>
      <w:r>
        <w:t xml:space="preserve">, 580–583 (1988).</w:t>
      </w:r>
    </w:p>
    <w:bookmarkEnd w:id="136"/>
    <w:bookmarkStart w:id="138" w:name="ref-rashash1995influence"/>
    <w:p>
      <w:pPr>
        <w:pStyle w:val="Bibliography"/>
      </w:pPr>
      <w:r>
        <w:t xml:space="preserve">31.</w:t>
      </w:r>
      <w:r>
        <w:t xml:space="preserve"> </w:t>
      </w:r>
      <w:r>
        <w:t xml:space="preserve">	</w:t>
      </w:r>
      <w:r>
        <w:t xml:space="preserve">Rashash, D. m. C., Dietrich, A. m., Hoehn, R. c. &amp; Parker, B. c.</w:t>
      </w:r>
      <w:r>
        <w:t xml:space="preserve"> </w:t>
      </w:r>
      <w:hyperlink r:id="rId137">
        <w:r>
          <w:rPr>
            <w:rStyle w:val="Hyperlink"/>
          </w:rPr>
          <w:t xml:space="preserve">The influence of growth conditions on odor-compound production by two chrysophytes and two cyanobacteria</w:t>
        </w:r>
      </w:hyperlink>
      <w:r>
        <w:t xml:space="preserve">.</w:t>
      </w:r>
      <w:r>
        <w:t xml:space="preserve"> </w:t>
      </w:r>
      <w:r>
        <w:rPr>
          <w:i/>
          <w:iCs/>
        </w:rPr>
        <w:t xml:space="preserve">Water Science and Technology</w:t>
      </w:r>
      <w:r>
        <w:t xml:space="preserve"> </w:t>
      </w:r>
      <w:r>
        <w:rPr>
          <w:b/>
          <w:bCs/>
        </w:rPr>
        <w:t xml:space="preserve">31</w:t>
      </w:r>
      <w:r>
        <w:t xml:space="preserve">, 165–172 (1995).</w:t>
      </w:r>
    </w:p>
    <w:bookmarkEnd w:id="138"/>
    <w:bookmarkStart w:id="140" w:name="ref-zhang2016methylisoborneol"/>
    <w:p>
      <w:pPr>
        <w:pStyle w:val="Bibliography"/>
      </w:pPr>
      <w:r>
        <w:t xml:space="preserve">32.</w:t>
      </w:r>
      <w:r>
        <w:t xml:space="preserve"> </w:t>
      </w:r>
      <w:r>
        <w:t xml:space="preserve">	</w:t>
      </w:r>
      <w:r>
        <w:t xml:space="preserve">Zhang, T., Zheng, L., Li, L. &amp; Song, L.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w:t>
      </w:r>
      <w:r>
        <w:t xml:space="preserve">1–10 (2016) doi:</w:t>
      </w:r>
      <w:hyperlink r:id="rId139">
        <w:r>
          <w:rPr>
            <w:rStyle w:val="Hyperlink"/>
          </w:rPr>
          <w:t xml:space="preserve">10.1007/s10811-016-0864-x</w:t>
        </w:r>
      </w:hyperlink>
      <w:r>
        <w:t xml:space="preserve">.</w:t>
      </w:r>
    </w:p>
    <w:bookmarkEnd w:id="140"/>
    <w:bookmarkStart w:id="142" w:name="ref-cook2001the"/>
    <w:p>
      <w:pPr>
        <w:pStyle w:val="Bibliography"/>
      </w:pPr>
      <w:r>
        <w:t xml:space="preserve">33.</w:t>
      </w:r>
      <w:r>
        <w:t xml:space="preserve"> </w:t>
      </w:r>
      <w:r>
        <w:t xml:space="preserve">	</w:t>
      </w:r>
      <w:r>
        <w:t xml:space="preserve">Cook, D., Newcombe, G. &amp; Sztajnbok, P.</w:t>
      </w:r>
      <w:r>
        <w:t xml:space="preserve"> </w:t>
      </w:r>
      <w:hyperlink r:id="rId141">
        <w:r>
          <w:rPr>
            <w:rStyle w:val="Hyperlink"/>
          </w:rPr>
          <w:t xml:space="preserve">The application of powdered activated carbon for</w:t>
        </w:r>
        <w:r>
          <w:rPr>
            <w:rStyle w:val="Hyperlink"/>
          </w:rPr>
          <w:t xml:space="preserve"> </w:t>
        </w:r>
        <w:r>
          <w:rPr>
            <w:rStyle w:val="Hyperlink"/>
          </w:rPr>
          <w:t xml:space="preserve">MIB</w:t>
        </w:r>
        <w:r>
          <w:rPr>
            <w:rStyle w:val="Hyperlink"/>
          </w:rPr>
          <w:t xml:space="preserve"> </w:t>
        </w:r>
        <w:r>
          <w:rPr>
            <w:rStyle w:val="Hyperlink"/>
          </w:rPr>
          <w:t xml:space="preserve">and geosmin removal: Predicting</w:t>
        </w:r>
        <w:r>
          <w:rPr>
            <w:rStyle w:val="Hyperlink"/>
          </w:rPr>
          <w:t xml:space="preserve"> </w:t>
        </w:r>
        <w:r>
          <w:rPr>
            <w:rStyle w:val="Hyperlink"/>
          </w:rPr>
          <w:t xml:space="preserve">PAC</w:t>
        </w:r>
        <w:r>
          <w:rPr>
            <w:rStyle w:val="Hyperlink"/>
          </w:rPr>
          <w:t xml:space="preserve"> </w:t>
        </w:r>
        <w:r>
          <w:rPr>
            <w:rStyle w:val="Hyperlink"/>
          </w:rPr>
          <w:t xml:space="preserve">doses in four raw waters</w:t>
        </w:r>
      </w:hyperlink>
      <w:r>
        <w:t xml:space="preserve">.</w:t>
      </w:r>
      <w:r>
        <w:t xml:space="preserve"> </w:t>
      </w:r>
      <w:r>
        <w:rPr>
          <w:i/>
          <w:iCs/>
        </w:rPr>
        <w:t xml:space="preserve">Water Research</w:t>
      </w:r>
      <w:r>
        <w:t xml:space="preserve"> </w:t>
      </w:r>
      <w:r>
        <w:rPr>
          <w:b/>
          <w:bCs/>
        </w:rPr>
        <w:t xml:space="preserve">35</w:t>
      </w:r>
      <w:r>
        <w:t xml:space="preserve">, 1325–1333 (2001).</w:t>
      </w:r>
    </w:p>
    <w:bookmarkEnd w:id="142"/>
    <w:bookmarkStart w:id="144" w:name="ref-li2018kinetics"/>
    <w:p>
      <w:pPr>
        <w:pStyle w:val="Bibliography"/>
      </w:pPr>
      <w:r>
        <w:t xml:space="preserve">34.</w:t>
      </w:r>
      <w:r>
        <w:t xml:space="preserve"> </w:t>
      </w:r>
      <w:r>
        <w:t xml:space="preserve">	</w:t>
      </w:r>
      <w:r>
        <w:t xml:space="preserve">Li, L.</w:t>
      </w:r>
      <w:r>
        <w:t xml:space="preserve"> </w:t>
      </w:r>
      <w:r>
        <w:rPr>
          <w:i/>
          <w:iCs/>
        </w:rPr>
        <w:t xml:space="preserve">et al.</w:t>
      </w:r>
      <w:r>
        <w:t xml:space="preserve"> </w:t>
      </w:r>
      <w:hyperlink r:id="rId143">
        <w:r>
          <w:rPr>
            <w:rStyle w:val="Hyperlink"/>
          </w:rPr>
          <w:t xml:space="preserve">Kinetics and mechanism of</w:t>
        </w:r>
        <w:r>
          <w:rPr>
            <w:rStyle w:val="Hyperlink"/>
          </w:rPr>
          <w:t xml:space="preserve"> </w:t>
        </w:r>
        <w:r>
          <w:rPr>
            <w:rStyle w:val="Hyperlink"/>
            <w:i/>
            <w:iCs/>
          </w:rPr>
          <w:t xml:space="preserve">Pseudoanabaena</w:t>
        </w:r>
        <w:r>
          <w:rPr>
            <w:rStyle w:val="Hyperlink"/>
          </w:rPr>
          <w:t xml:space="preserve"> </w:t>
        </w:r>
        <w:r>
          <w:rPr>
            <w:rStyle w:val="Hyperlink"/>
          </w:rPr>
          <w:t xml:space="preserve">cell inactivation, 2-</w:t>
        </w:r>
        <w:r>
          <w:rPr>
            <w:rStyle w:val="Hyperlink"/>
          </w:rPr>
          <w:t xml:space="preserve">MIB</w:t>
        </w:r>
        <w:r>
          <w:rPr>
            <w:rStyle w:val="Hyperlink"/>
          </w:rPr>
          <w:t xml:space="preserve"> </w:t>
        </w:r>
        <w:r>
          <w:rPr>
            <w:rStyle w:val="Hyperlink"/>
          </w:rPr>
          <w:t xml:space="preserve">release and degradation under exposure of ozone, chlorine and permanganate</w:t>
        </w:r>
      </w:hyperlink>
      <w:r>
        <w:t xml:space="preserve">.</w:t>
      </w:r>
      <w:r>
        <w:t xml:space="preserve"> </w:t>
      </w:r>
      <w:r>
        <w:rPr>
          <w:i/>
          <w:iCs/>
        </w:rPr>
        <w:t xml:space="preserve">Water Research</w:t>
      </w:r>
      <w:r>
        <w:t xml:space="preserve"> </w:t>
      </w:r>
      <w:r>
        <w:rPr>
          <w:b/>
          <w:bCs/>
        </w:rPr>
        <w:t xml:space="preserve">147</w:t>
      </w:r>
      <w:r>
        <w:t xml:space="preserve">, 422–428 (2018).</w:t>
      </w:r>
    </w:p>
    <w:bookmarkEnd w:id="144"/>
    <w:bookmarkStart w:id="146" w:name="ref-pan2022desorption"/>
    <w:p>
      <w:pPr>
        <w:pStyle w:val="Bibliography"/>
      </w:pPr>
      <w:r>
        <w:t xml:space="preserve">35.</w:t>
      </w:r>
      <w:r>
        <w:t xml:space="preserve"> </w:t>
      </w:r>
      <w:r>
        <w:t xml:space="preserve">	</w:t>
      </w:r>
      <w:r>
        <w:t xml:space="preserve">Pan, L., Nakayama, A., Matsui, Y., Matsushita, T. &amp; Shirasaki, N.</w:t>
      </w:r>
      <w:r>
        <w:t xml:space="preserve"> </w:t>
      </w:r>
      <w:hyperlink r:id="rId145">
        <w:r>
          <w:rPr>
            <w:rStyle w:val="Hyperlink"/>
          </w:rPr>
          <w:t xml:space="preserve">Desorption of micropollutant from superfine and normal powdered activated carbon in submerged-membrane system due to influent concentration change in the presence of natural organic matter: Experiments and two-component branched-pore kinetic model</w:t>
        </w:r>
      </w:hyperlink>
      <w:r>
        <w:t xml:space="preserve">.</w:t>
      </w:r>
      <w:r>
        <w:t xml:space="preserve"> </w:t>
      </w:r>
      <w:r>
        <w:rPr>
          <w:i/>
          <w:iCs/>
        </w:rPr>
        <w:t xml:space="preserve">Water Research</w:t>
      </w:r>
      <w:r>
        <w:t xml:space="preserve"> </w:t>
      </w:r>
      <w:r>
        <w:rPr>
          <w:b/>
          <w:bCs/>
        </w:rPr>
        <w:t xml:space="preserve">208</w:t>
      </w:r>
      <w:r>
        <w:t xml:space="preserve">, 117872 (2022).</w:t>
      </w:r>
    </w:p>
    <w:bookmarkEnd w:id="146"/>
    <w:bookmarkStart w:id="148" w:name="ref-mustapha2021a"/>
    <w:p>
      <w:pPr>
        <w:pStyle w:val="Bibliography"/>
      </w:pPr>
      <w:r>
        <w:t xml:space="preserve">36.</w:t>
      </w:r>
      <w:r>
        <w:t xml:space="preserve"> </w:t>
      </w:r>
      <w:r>
        <w:t xml:space="preserve">	</w:t>
      </w:r>
      <w:r>
        <w:t xml:space="preserve">Mustapha, S.</w:t>
      </w:r>
      <w:r>
        <w:t xml:space="preserve"> </w:t>
      </w:r>
      <w:r>
        <w:rPr>
          <w:i/>
          <w:iCs/>
        </w:rPr>
        <w:t xml:space="preserve">et al.</w:t>
      </w:r>
      <w:r>
        <w:t xml:space="preserve"> </w:t>
      </w:r>
      <w:hyperlink r:id="rId147">
        <w:r>
          <w:rPr>
            <w:rStyle w:val="Hyperlink"/>
          </w:rPr>
          <w:t xml:space="preserve">A critical review on geosmin and 2-methylisoborneol in water: Sources , effects, detection, and removal techniques</w:t>
        </w:r>
      </w:hyperlink>
      <w:r>
        <w:t xml:space="preserve">.</w:t>
      </w:r>
      <w:r>
        <w:t xml:space="preserve"> </w:t>
      </w:r>
      <w:r>
        <w:rPr>
          <w:i/>
          <w:iCs/>
        </w:rPr>
        <w:t xml:space="preserve">Environmental Monitoring and Assessment</w:t>
      </w:r>
      <w:r>
        <w:t xml:space="preserve"> </w:t>
      </w:r>
      <w:r>
        <w:rPr>
          <w:b/>
          <w:bCs/>
        </w:rPr>
        <w:t xml:space="preserve">193</w:t>
      </w:r>
      <w:r>
        <w:t xml:space="preserve">, (2021).</w:t>
      </w:r>
    </w:p>
    <w:bookmarkEnd w:id="148"/>
    <w:bookmarkStart w:id="150" w:name="ref-wang2024production"/>
    <w:p>
      <w:pPr>
        <w:pStyle w:val="Bibliography"/>
      </w:pPr>
      <w:r>
        <w:t xml:space="preserve">37.</w:t>
      </w:r>
      <w:r>
        <w:t xml:space="preserve"> </w:t>
      </w:r>
      <w:r>
        <w:t xml:space="preserve">	</w:t>
      </w:r>
      <w:r>
        <w:t xml:space="preserve">Wang, H.</w:t>
      </w:r>
      <w:r>
        <w:t xml:space="preserve"> </w:t>
      </w:r>
      <w:r>
        <w:rPr>
          <w:i/>
          <w:iCs/>
        </w:rPr>
        <w:t xml:space="preserve">et al.</w:t>
      </w:r>
      <w:r>
        <w:t xml:space="preserve"> </w:t>
      </w:r>
      <w:hyperlink r:id="rId149">
        <w:r>
          <w:rPr>
            <w:rStyle w:val="Hyperlink"/>
          </w:rPr>
          <w:t xml:space="preserve">Production and release of 2-MIB in pseudanabaena: Effects of growth phases on cell characteristics and 2-MIB yield</w:t>
        </w:r>
      </w:hyperlink>
      <w:r>
        <w:t xml:space="preserve">.</w:t>
      </w:r>
      <w:r>
        <w:t xml:space="preserve"> </w:t>
      </w:r>
      <w:r>
        <w:rPr>
          <w:i/>
          <w:iCs/>
        </w:rPr>
        <w:t xml:space="preserve">Ecotoxicology and Environmental Safety</w:t>
      </w:r>
      <w:r>
        <w:t xml:space="preserve"> </w:t>
      </w:r>
      <w:r>
        <w:rPr>
          <w:b/>
          <w:bCs/>
        </w:rPr>
        <w:t xml:space="preserve">274</w:t>
      </w:r>
      <w:r>
        <w:t xml:space="preserve">, 116198 (2024).</w:t>
      </w:r>
    </w:p>
    <w:bookmarkEnd w:id="150"/>
    <w:bookmarkStart w:id="152" w:name="ref-oh2017effects"/>
    <w:p>
      <w:pPr>
        <w:pStyle w:val="Bibliography"/>
      </w:pPr>
      <w:r>
        <w:t xml:space="preserve">38.</w:t>
      </w:r>
      <w:r>
        <w:t xml:space="preserve"> </w:t>
      </w:r>
      <w:r>
        <w:t xml:space="preserve">	</w:t>
      </w:r>
      <w:r>
        <w:t xml:space="preserve">Oh, H.-S., Lee, C. S., Srivastava, A., Oh, H.-M. &amp; Ahn, C.-Y.</w:t>
      </w:r>
      <w:r>
        <w:t xml:space="preserve"> </w:t>
      </w:r>
      <w:hyperlink r:id="rId151">
        <w:r>
          <w:rPr>
            <w:rStyle w:val="Hyperlink"/>
          </w:rPr>
          <w:t xml:space="preserve">Effects of environmental factors on cyanobacterial production of odorous compounds: Geosmin and 2-methylisoborneol</w:t>
        </w:r>
      </w:hyperlink>
      <w:r>
        <w:t xml:space="preserve">.</w:t>
      </w:r>
      <w:r>
        <w:t xml:space="preserve"> </w:t>
      </w:r>
      <w:r>
        <w:rPr>
          <w:i/>
          <w:iCs/>
        </w:rPr>
        <w:t xml:space="preserve">Journal of Microbiology and Biotechnology</w:t>
      </w:r>
      <w:r>
        <w:t xml:space="preserve"> </w:t>
      </w:r>
      <w:r>
        <w:rPr>
          <w:b/>
          <w:bCs/>
        </w:rPr>
        <w:t xml:space="preserve">27</w:t>
      </w:r>
      <w:r>
        <w:t xml:space="preserve">, 1316–1323 (2017).</w:t>
      </w:r>
    </w:p>
    <w:bookmarkEnd w:id="152"/>
    <w:bookmarkStart w:id="154" w:name="ref-alghanmi2018effect"/>
    <w:p>
      <w:pPr>
        <w:pStyle w:val="Bibliography"/>
      </w:pPr>
      <w:r>
        <w:t xml:space="preserve">39.</w:t>
      </w:r>
      <w:r>
        <w:t xml:space="preserve"> </w:t>
      </w:r>
      <w:r>
        <w:t xml:space="preserve">	</w:t>
      </w:r>
      <w:r>
        <w:t xml:space="preserve">Alghanmi, H. A., Alkam, F. M. &amp; AL-Taee, M. M.</w:t>
      </w:r>
      <w:r>
        <w:t xml:space="preserve"> </w:t>
      </w:r>
      <w:hyperlink r:id="rId153">
        <w:r>
          <w:rPr>
            <w:rStyle w:val="Hyperlink"/>
          </w:rPr>
          <w:t xml:space="preserve">Effect of light and temperature on new cyanobacteria producers for geosmin and 2-methylisoborneol</w:t>
        </w:r>
      </w:hyperlink>
      <w:r>
        <w:t xml:space="preserve">.</w:t>
      </w:r>
      <w:r>
        <w:t xml:space="preserve"> </w:t>
      </w:r>
      <w:r>
        <w:rPr>
          <w:i/>
          <w:iCs/>
        </w:rPr>
        <w:t xml:space="preserve">Journal of Applied Phycology</w:t>
      </w:r>
      <w:r>
        <w:t xml:space="preserve"> </w:t>
      </w:r>
      <w:r>
        <w:rPr>
          <w:b/>
          <w:bCs/>
        </w:rPr>
        <w:t xml:space="preserve">30</w:t>
      </w:r>
      <w:r>
        <w:t xml:space="preserve">, 319–328 (2018).</w:t>
      </w:r>
    </w:p>
    <w:bookmarkEnd w:id="154"/>
    <w:bookmarkStart w:id="156" w:name="ref-giglio2011biosynthesis"/>
    <w:p>
      <w:pPr>
        <w:pStyle w:val="Bibliography"/>
      </w:pPr>
      <w:r>
        <w:t xml:space="preserve">40.</w:t>
      </w:r>
      <w:r>
        <w:t xml:space="preserve"> </w:t>
      </w:r>
      <w:r>
        <w:t xml:space="preserve">	</w:t>
      </w:r>
      <w:r>
        <w:t xml:space="preserve">Giglio, S., Chou, W. K. W., Ikeda, H., Cane, D. E. &amp; Monis, P. T.</w:t>
      </w:r>
      <w:r>
        <w:t xml:space="preserve"> </w:t>
      </w:r>
      <w:hyperlink r:id="rId155">
        <w:r>
          <w:rPr>
            <w:rStyle w:val="Hyperlink"/>
          </w:rPr>
          <w:t xml:space="preserve">Biosynthesis of 2-methylisoborneol in cyanobacteria</w:t>
        </w:r>
      </w:hyperlink>
      <w:r>
        <w:t xml:space="preserve">.</w:t>
      </w:r>
      <w:r>
        <w:t xml:space="preserve"> </w:t>
      </w:r>
      <w:r>
        <w:rPr>
          <w:i/>
          <w:iCs/>
        </w:rPr>
        <w:t xml:space="preserve">Environmental Science &amp; Technology</w:t>
      </w:r>
      <w:r>
        <w:t xml:space="preserve"> </w:t>
      </w:r>
      <w:r>
        <w:rPr>
          <w:b/>
          <w:bCs/>
        </w:rPr>
        <w:t xml:space="preserve">45</w:t>
      </w:r>
      <w:r>
        <w:t xml:space="preserve">, 992–998 (2011).</w:t>
      </w:r>
    </w:p>
    <w:bookmarkEnd w:id="156"/>
    <w:bookmarkStart w:id="158" w:name="ref-wang2011genes"/>
    <w:p>
      <w:pPr>
        <w:pStyle w:val="Bibliography"/>
      </w:pPr>
      <w:r>
        <w:t xml:space="preserve">41.</w:t>
      </w:r>
      <w:r>
        <w:t xml:space="preserve"> </w:t>
      </w:r>
      <w:r>
        <w:t xml:space="preserve">	</w:t>
      </w:r>
      <w:r>
        <w:t xml:space="preserve">Wang, Z., Xu, Y., Shao, J., Wang, J. &amp; Li, R.</w:t>
      </w:r>
      <w:r>
        <w:t xml:space="preserve"> </w:t>
      </w:r>
      <w:hyperlink r:id="rId157">
        <w:r>
          <w:rPr>
            <w:rStyle w:val="Hyperlink"/>
          </w:rPr>
          <w:t xml:space="preserve">Genes associated with 2-methylisoborneol biosynthesis in cyanobacteria: Isolation, characterization, and expression in response to light</w:t>
        </w:r>
      </w:hyperlink>
      <w:r>
        <w:t xml:space="preserve">.</w:t>
      </w:r>
      <w:r>
        <w:t xml:space="preserve"> </w:t>
      </w:r>
      <w:r>
        <w:rPr>
          <w:i/>
          <w:iCs/>
        </w:rPr>
        <w:t xml:space="preserve">Plos One</w:t>
      </w:r>
      <w:r>
        <w:t xml:space="preserve"> </w:t>
      </w:r>
      <w:r>
        <w:rPr>
          <w:b/>
          <w:bCs/>
        </w:rPr>
        <w:t xml:space="preserve">6</w:t>
      </w:r>
      <w:r>
        <w:t xml:space="preserve">, E18665 (2011).</w:t>
      </w:r>
    </w:p>
    <w:bookmarkEnd w:id="158"/>
    <w:bookmarkStart w:id="160" w:name="ref-komatsu2008identification"/>
    <w:p>
      <w:pPr>
        <w:pStyle w:val="Bibliography"/>
      </w:pPr>
      <w:r>
        <w:t xml:space="preserve">42.</w:t>
      </w:r>
      <w:r>
        <w:t xml:space="preserve"> </w:t>
      </w:r>
      <w:r>
        <w:t xml:space="preserve">	</w:t>
      </w:r>
      <w:r>
        <w:t xml:space="preserve">Komatsu, M., Tsuda, M., omura, S., Oikawa, H. &amp; Ikeda, H.</w:t>
      </w:r>
      <w:r>
        <w:t xml:space="preserve"> </w:t>
      </w:r>
      <w:hyperlink r:id="rId159">
        <w:r>
          <w:rPr>
            <w:rStyle w:val="Hyperlink"/>
          </w:rPr>
          <w:t xml:space="preserve">Identification and functional analysis of genes controlling biosynthesis of 2-methylisoborneol</w:t>
        </w:r>
      </w:hyperlink>
      <w:r>
        <w:t xml:space="preserve">.</w:t>
      </w:r>
      <w:r>
        <w:t xml:space="preserve"> </w:t>
      </w:r>
      <w:r>
        <w:rPr>
          <w:i/>
          <w:iCs/>
        </w:rPr>
        <w:t xml:space="preserve">Proceedings of the National Academy of Sciences</w:t>
      </w:r>
      <w:r>
        <w:t xml:space="preserve"> </w:t>
      </w:r>
      <w:r>
        <w:rPr>
          <w:b/>
          <w:bCs/>
        </w:rPr>
        <w:t xml:space="preserve">105</w:t>
      </w:r>
      <w:r>
        <w:t xml:space="preserve">, 7422–7427 (2008).</w:t>
      </w:r>
    </w:p>
    <w:bookmarkEnd w:id="160"/>
    <w:bookmarkStart w:id="162" w:name="ref-andreas2024the"/>
    <w:p>
      <w:pPr>
        <w:pStyle w:val="Bibliography"/>
      </w:pPr>
      <w:r>
        <w:t xml:space="preserve">43.</w:t>
      </w:r>
      <w:r>
        <w:t xml:space="preserve"> </w:t>
      </w:r>
      <w:r>
        <w:t xml:space="preserve">	</w:t>
      </w:r>
      <w:r>
        <w:t xml:space="preserve">Andreas, M. P. &amp; Giessen, T. W.</w:t>
      </w:r>
      <w:r>
        <w:t xml:space="preserve"> </w:t>
      </w:r>
      <w:hyperlink r:id="rId161">
        <w:r>
          <w:rPr>
            <w:rStyle w:val="Hyperlink"/>
          </w:rPr>
          <w:t xml:space="preserve">The biosynthesis of the odorant 2-methylisoborneol is compartmentalized inside a protein shell</w:t>
        </w:r>
      </w:hyperlink>
      <w:r>
        <w:t xml:space="preserve">.</w:t>
      </w:r>
      <w:r>
        <w:t xml:space="preserve"> </w:t>
      </w:r>
      <w:r>
        <w:rPr>
          <w:i/>
          <w:iCs/>
        </w:rPr>
        <w:t xml:space="preserve">Nature Communications</w:t>
      </w:r>
      <w:r>
        <w:t xml:space="preserve"> </w:t>
      </w:r>
      <w:r>
        <w:rPr>
          <w:b/>
          <w:bCs/>
        </w:rPr>
        <w:t xml:space="preserve">15</w:t>
      </w:r>
      <w:r>
        <w:t xml:space="preserve">, (2024).</w:t>
      </w:r>
    </w:p>
    <w:bookmarkEnd w:id="162"/>
    <w:bookmarkStart w:id="164" w:name="ref-jia2019light"/>
    <w:p>
      <w:pPr>
        <w:pStyle w:val="Bibliography"/>
      </w:pPr>
      <w:r>
        <w:t xml:space="preserve">44.</w:t>
      </w:r>
      <w:r>
        <w:t xml:space="preserve"> </w:t>
      </w:r>
      <w:r>
        <w:t xml:space="preserve">	</w:t>
      </w:r>
      <w:r>
        <w:t xml:space="preserve">Jia, Z.</w:t>
      </w:r>
      <w:r>
        <w:t xml:space="preserve"> </w:t>
      </w:r>
      <w:r>
        <w:rPr>
          <w:i/>
          <w:iCs/>
        </w:rPr>
        <w:t xml:space="preserve">et al.</w:t>
      </w:r>
      <w:r>
        <w:t xml:space="preserve"> </w:t>
      </w:r>
      <w:hyperlink r:id="rId163">
        <w:r>
          <w:rPr>
            <w:rStyle w:val="Hyperlink"/>
          </w:rPr>
          <w:t xml:space="preserve">Light as a possible regulator of</w:t>
        </w:r>
        <w:r>
          <w:rPr>
            <w:rStyle w:val="Hyperlink"/>
          </w:rPr>
          <w:t xml:space="preserve"> </w:t>
        </w:r>
        <w:r>
          <w:rPr>
            <w:rStyle w:val="Hyperlink"/>
          </w:rPr>
          <w:t xml:space="preserve">MIB</w:t>
        </w:r>
        <w:r>
          <w:rPr>
            <w:rStyle w:val="Hyperlink"/>
          </w:rPr>
          <w:t xml:space="preserve">-producing</w:t>
        </w:r>
        <w:r>
          <w:rPr>
            <w:rStyle w:val="Hyperlink"/>
          </w:rPr>
          <w:t xml:space="preserve"> </w:t>
        </w:r>
        <w:r>
          <w:rPr>
            <w:rStyle w:val="Hyperlink"/>
            <w:i/>
            <w:iCs/>
          </w:rPr>
          <w:t xml:space="preserve">Planktothrix</w:t>
        </w:r>
        <w:r>
          <w:rPr>
            <w:rStyle w:val="Hyperlink"/>
          </w:rPr>
          <w:t xml:space="preserve"> </w:t>
        </w:r>
        <w:r>
          <w:rPr>
            <w:rStyle w:val="Hyperlink"/>
          </w:rPr>
          <w:t xml:space="preserve">in source water reservoir, mechanism and</w:t>
        </w:r>
        <w:r>
          <w:rPr>
            <w:rStyle w:val="Hyperlink"/>
          </w:rPr>
          <w:t xml:space="preserve"> </w:t>
        </w:r>
        <w:r>
          <w:rPr>
            <w:rStyle w:val="Hyperlink"/>
            <w:i/>
            <w:iCs/>
          </w:rPr>
          <w:t xml:space="preserve">in-situ</w:t>
        </w:r>
        <w:r>
          <w:rPr>
            <w:rStyle w:val="Hyperlink"/>
          </w:rPr>
          <w:t xml:space="preserve"> </w:t>
        </w:r>
        <w:r>
          <w:rPr>
            <w:rStyle w:val="Hyperlink"/>
          </w:rPr>
          <w:t xml:space="preserve">verification</w:t>
        </w:r>
      </w:hyperlink>
      <w:r>
        <w:t xml:space="preserve">.</w:t>
      </w:r>
      <w:r>
        <w:t xml:space="preserve"> </w:t>
      </w:r>
      <w:r>
        <w:rPr>
          <w:i/>
          <w:iCs/>
        </w:rPr>
        <w:t xml:space="preserve">Harmful Algae</w:t>
      </w:r>
      <w:r>
        <w:t xml:space="preserve"> </w:t>
      </w:r>
      <w:r>
        <w:rPr>
          <w:b/>
          <w:bCs/>
        </w:rPr>
        <w:t xml:space="preserve">88</w:t>
      </w:r>
      <w:r>
        <w:t xml:space="preserve">, 101658 (2019).</w:t>
      </w:r>
    </w:p>
    <w:bookmarkEnd w:id="164"/>
    <w:bookmarkStart w:id="166" w:name="ref-wang2015effects"/>
    <w:p>
      <w:pPr>
        <w:pStyle w:val="Bibliography"/>
      </w:pPr>
      <w:r>
        <w:t xml:space="preserve">45.</w:t>
      </w:r>
      <w:r>
        <w:t xml:space="preserve"> </w:t>
      </w:r>
      <w:r>
        <w:t xml:space="preserve">	</w:t>
      </w:r>
      <w:r>
        <w:t xml:space="preserve">Wang, Z. &amp; Li, R.</w:t>
      </w:r>
      <w:r>
        <w:t xml:space="preserve"> </w:t>
      </w:r>
      <w:hyperlink r:id="rId165">
        <w:r>
          <w:rPr>
            <w:rStyle w:val="Hyperlink"/>
          </w:rPr>
          <w:t xml:space="preserve">Effects of light and temperature on the odor production of 2-methylisoborneol-producing</w:t>
        </w:r>
        <w:r>
          <w:rPr>
            <w:rStyle w:val="Hyperlink"/>
          </w:rPr>
          <w:t xml:space="preserve"> </w:t>
        </w:r>
        <w:r>
          <w:rPr>
            <w:rStyle w:val="Hyperlink"/>
            <w:i/>
            <w:iCs/>
          </w:rPr>
          <w:t xml:space="preserve">Pseudanabaena</w:t>
        </w:r>
        <w:r>
          <w:rPr>
            <w:rStyle w:val="Hyperlink"/>
          </w:rPr>
          <w:t xml:space="preserve"> </w:t>
        </w:r>
        <w:r>
          <w:rPr>
            <w:rStyle w:val="Hyperlink"/>
          </w:rPr>
          <w:t xml:space="preserve">sp.</w:t>
        </w:r>
        <w:r>
          <w:rPr>
            <w:rStyle w:val="Hyperlink"/>
          </w:rPr>
          <w:t xml:space="preserve"> </w:t>
        </w:r>
        <w:r>
          <w:rPr>
            <w:rStyle w:val="Hyperlink"/>
          </w:rPr>
          <w:t xml:space="preserve">and</w:t>
        </w:r>
        <w:r>
          <w:rPr>
            <w:rStyle w:val="Hyperlink"/>
          </w:rPr>
          <w:t xml:space="preserve"> </w:t>
        </w:r>
        <w:r>
          <w:rPr>
            <w:rStyle w:val="Hyperlink"/>
          </w:rPr>
          <w:t xml:space="preserve">geosmin-producing</w:t>
        </w:r>
        <w:r>
          <w:rPr>
            <w:rStyle w:val="Hyperlink"/>
          </w:rPr>
          <w:t xml:space="preserve"> </w:t>
        </w:r>
        <w:r>
          <w:rPr>
            <w:rStyle w:val="Hyperlink"/>
            <w:i/>
            <w:iCs/>
          </w:rPr>
          <w:t xml:space="preserve">Anabaena ucrainica</w:t>
        </w:r>
        <w:r>
          <w:rPr>
            <w:rStyle w:val="Hyperlink"/>
          </w:rPr>
          <w:t xml:space="preserve"> </w:t>
        </w:r>
        <w:r>
          <w:rPr>
            <w:rStyle w:val="Hyperlink"/>
          </w:rPr>
          <w:t xml:space="preserve">(cyanobacteria)</w:t>
        </w:r>
      </w:hyperlink>
      <w:r>
        <w:t xml:space="preserve">.</w:t>
      </w:r>
      <w:r>
        <w:t xml:space="preserve"> </w:t>
      </w:r>
      <w:r>
        <w:rPr>
          <w:i/>
          <w:iCs/>
        </w:rPr>
        <w:t xml:space="preserve">Biochemical Systematics and Ecology</w:t>
      </w:r>
      <w:r>
        <w:t xml:space="preserve"> </w:t>
      </w:r>
      <w:r>
        <w:rPr>
          <w:b/>
          <w:bCs/>
        </w:rPr>
        <w:t xml:space="preserve">58</w:t>
      </w:r>
      <w:r>
        <w:t xml:space="preserve">, 219–226 (2015).</w:t>
      </w:r>
    </w:p>
    <w:bookmarkEnd w:id="166"/>
    <w:bookmarkStart w:id="168" w:name="ref-zimba1999evaluating"/>
    <w:p>
      <w:pPr>
        <w:pStyle w:val="Bibliography"/>
      </w:pPr>
      <w:r>
        <w:t xml:space="preserve">46.</w:t>
      </w:r>
      <w:r>
        <w:t xml:space="preserve"> </w:t>
      </w:r>
      <w:r>
        <w:t xml:space="preserve">	</w:t>
      </w:r>
      <w:r>
        <w:t xml:space="preserve">Zimba, P. V., Dionigi, C. P. &amp; Millie, D. F.</w:t>
      </w:r>
      <w:r>
        <w:t xml:space="preserve"> </w:t>
      </w:r>
      <w:hyperlink r:id="rId167">
        <w:r>
          <w:rPr>
            <w:rStyle w:val="Hyperlink"/>
          </w:rPr>
          <w:t xml:space="preserve">Evaluating the relationship between photopigment synthesis and 2-methylisoborneol accumulation in cyanobacteria</w:t>
        </w:r>
      </w:hyperlink>
      <w:r>
        <w:t xml:space="preserve">.</w:t>
      </w:r>
      <w:r>
        <w:t xml:space="preserve"> </w:t>
      </w:r>
      <w:r>
        <w:rPr>
          <w:i/>
          <w:iCs/>
        </w:rPr>
        <w:t xml:space="preserve">Journal of Phycology</w:t>
      </w:r>
      <w:r>
        <w:t xml:space="preserve"> </w:t>
      </w:r>
      <w:r>
        <w:rPr>
          <w:b/>
          <w:bCs/>
        </w:rPr>
        <w:t xml:space="preserve">35</w:t>
      </w:r>
      <w:r>
        <w:t xml:space="preserve">, 1422–1429 (1999).</w:t>
      </w:r>
    </w:p>
    <w:bookmarkEnd w:id="168"/>
    <w:bookmarkStart w:id="170" w:name="ref-eisenhoffer2013bringing"/>
    <w:p>
      <w:pPr>
        <w:pStyle w:val="Bibliography"/>
      </w:pPr>
      <w:r>
        <w:t xml:space="preserve">47.</w:t>
      </w:r>
      <w:r>
        <w:t xml:space="preserve"> </w:t>
      </w:r>
      <w:r>
        <w:t xml:space="preserve">	</w:t>
      </w:r>
      <w:r>
        <w:t xml:space="preserve">Eisenhoffer, G. T. &amp; Rosenblatt, J.</w:t>
      </w:r>
      <w:r>
        <w:t xml:space="preserve"> </w:t>
      </w:r>
      <w:hyperlink r:id="rId169">
        <w:r>
          <w:rPr>
            <w:rStyle w:val="Hyperlink"/>
          </w:rPr>
          <w:t xml:space="preserve">Bringing balance by force: Live cell extrusion controls epithelial cell numbers</w:t>
        </w:r>
      </w:hyperlink>
      <w:r>
        <w:t xml:space="preserve">.</w:t>
      </w:r>
      <w:r>
        <w:t xml:space="preserve"> </w:t>
      </w:r>
      <w:r>
        <w:rPr>
          <w:i/>
          <w:iCs/>
        </w:rPr>
        <w:t xml:space="preserve">Trends in Cell Biology</w:t>
      </w:r>
      <w:r>
        <w:t xml:space="preserve"> </w:t>
      </w:r>
      <w:r>
        <w:rPr>
          <w:b/>
          <w:bCs/>
        </w:rPr>
        <w:t xml:space="preserve">23</w:t>
      </w:r>
      <w:r>
        <w:t xml:space="preserve">, 185–192 (2013).</w:t>
      </w:r>
    </w:p>
    <w:bookmarkEnd w:id="170"/>
    <w:bookmarkStart w:id="172" w:name="ref-bermudez2024cell"/>
    <w:p>
      <w:pPr>
        <w:pStyle w:val="Bibliography"/>
      </w:pPr>
      <w:r>
        <w:t xml:space="preserve">48.</w:t>
      </w:r>
      <w:r>
        <w:t xml:space="preserve"> </w:t>
      </w:r>
      <w:r>
        <w:t xml:space="preserve">	</w:t>
      </w:r>
      <w:r>
        <w:t xml:space="preserve">Bermudez, A. G., Latham, Z., Hu, J. &amp; Lin, N.</w:t>
      </w:r>
      <w:r>
        <w:t xml:space="preserve"> </w:t>
      </w:r>
      <w:hyperlink r:id="rId171">
        <w:r>
          <w:rPr>
            <w:rStyle w:val="Hyperlink"/>
          </w:rPr>
          <w:t xml:space="preserve">Cell crowding-induced geometric constraint regulates chromatin organizations</w:t>
        </w:r>
      </w:hyperlink>
      <w:r>
        <w:t xml:space="preserve">.</w:t>
      </w:r>
      <w:r>
        <w:t xml:space="preserve"> </w:t>
      </w:r>
      <w:r>
        <w:rPr>
          <w:i/>
          <w:iCs/>
        </w:rPr>
        <w:t xml:space="preserve">Biophysical Journal</w:t>
      </w:r>
      <w:r>
        <w:t xml:space="preserve"> </w:t>
      </w:r>
      <w:r>
        <w:rPr>
          <w:b/>
          <w:bCs/>
        </w:rPr>
        <w:t xml:space="preserve">123</w:t>
      </w:r>
      <w:r>
        <w:t xml:space="preserve">, 407a (2024).</w:t>
      </w:r>
    </w:p>
    <w:bookmarkEnd w:id="172"/>
    <w:bookmarkStart w:id="174" w:name="ref-yang2024etv4"/>
    <w:p>
      <w:pPr>
        <w:pStyle w:val="Bibliography"/>
      </w:pPr>
      <w:r>
        <w:t xml:space="preserve">49.</w:t>
      </w:r>
      <w:r>
        <w:t xml:space="preserve"> </w:t>
      </w:r>
      <w:r>
        <w:t xml:space="preserve">	</w:t>
      </w:r>
      <w:r>
        <w:t xml:space="preserve">Yang, S.</w:t>
      </w:r>
      <w:r>
        <w:t xml:space="preserve"> </w:t>
      </w:r>
      <w:r>
        <w:rPr>
          <w:i/>
          <w:iCs/>
        </w:rPr>
        <w:t xml:space="preserve">et al.</w:t>
      </w:r>
      <w:r>
        <w:t xml:space="preserve"> </w:t>
      </w:r>
      <w:hyperlink r:id="rId173">
        <w:r>
          <w:rPr>
            <w:rStyle w:val="Hyperlink"/>
          </w:rPr>
          <w:t xml:space="preserve">ETV4 is a mechanical transducer linking cell crowding dynamics to lineage specification</w:t>
        </w:r>
      </w:hyperlink>
      <w:r>
        <w:t xml:space="preserve">.</w:t>
      </w:r>
      <w:r>
        <w:t xml:space="preserve"> </w:t>
      </w:r>
      <w:r>
        <w:rPr>
          <w:i/>
          <w:iCs/>
        </w:rPr>
        <w:t xml:space="preserve">Nature Cell Biology</w:t>
      </w:r>
      <w:r>
        <w:t xml:space="preserve"> </w:t>
      </w:r>
      <w:r>
        <w:rPr>
          <w:b/>
          <w:bCs/>
        </w:rPr>
        <w:t xml:space="preserve">26</w:t>
      </w:r>
      <w:r>
        <w:t xml:space="preserve">, 903–916 (2024).</w:t>
      </w:r>
    </w:p>
    <w:bookmarkEnd w:id="174"/>
    <w:bookmarkStart w:id="176" w:name="ref-lawsonkeister2021jamming"/>
    <w:p>
      <w:pPr>
        <w:pStyle w:val="Bibliography"/>
      </w:pPr>
      <w:r>
        <w:t xml:space="preserve">50.</w:t>
      </w:r>
      <w:r>
        <w:t xml:space="preserve"> </w:t>
      </w:r>
      <w:r>
        <w:t xml:space="preserve">	</w:t>
      </w:r>
      <w:r>
        <w:t xml:space="preserve">Lawson-Keister, E. &amp; Manning, M. L.</w:t>
      </w:r>
      <w:r>
        <w:t xml:space="preserve"> </w:t>
      </w:r>
      <w:hyperlink r:id="rId175">
        <w:r>
          <w:rPr>
            <w:rStyle w:val="Hyperlink"/>
          </w:rPr>
          <w:t xml:space="preserve">Jamming and arrest of cell motion in biological tissues</w:t>
        </w:r>
      </w:hyperlink>
      <w:r>
        <w:t xml:space="preserve">.</w:t>
      </w:r>
      <w:r>
        <w:t xml:space="preserve"> </w:t>
      </w:r>
      <w:r>
        <w:rPr>
          <w:i/>
          <w:iCs/>
        </w:rPr>
        <w:t xml:space="preserve">Current Opinion in Cell Biology</w:t>
      </w:r>
      <w:r>
        <w:t xml:space="preserve"> </w:t>
      </w:r>
      <w:r>
        <w:rPr>
          <w:b/>
          <w:bCs/>
        </w:rPr>
        <w:t xml:space="preserve">72</w:t>
      </w:r>
      <w:r>
        <w:t xml:space="preserve">, 146–155 (2021).</w:t>
      </w:r>
    </w:p>
    <w:bookmarkEnd w:id="176"/>
    <w:bookmarkStart w:id="178" w:name="ref-drewinko1984cultured"/>
    <w:p>
      <w:pPr>
        <w:pStyle w:val="Bibliography"/>
      </w:pPr>
      <w:r>
        <w:t xml:space="preserve">51.</w:t>
      </w:r>
      <w:r>
        <w:t xml:space="preserve"> </w:t>
      </w:r>
      <w:r>
        <w:t xml:space="preserve">	</w:t>
      </w:r>
      <w:r>
        <w:t xml:space="preserve">Drewinko, B., Yang, L. Y., Barlogie, B. &amp; Trujillo, J. M.</w:t>
      </w:r>
      <w:r>
        <w:t xml:space="preserve"> </w:t>
      </w:r>
      <w:hyperlink r:id="rId177">
        <w:r>
          <w:rPr>
            <w:rStyle w:val="Hyperlink"/>
          </w:rPr>
          <w:t xml:space="preserve">Cultured human tumour cells may be arrested in all stages of the cycle during stationary phase: Demonstration of quiescent cells in G1, s and G2 phase</w:t>
        </w:r>
      </w:hyperlink>
      <w:r>
        <w:t xml:space="preserve">.</w:t>
      </w:r>
      <w:r>
        <w:t xml:space="preserve"> </w:t>
      </w:r>
      <w:r>
        <w:rPr>
          <w:i/>
          <w:iCs/>
        </w:rPr>
        <w:t xml:space="preserve">Cell Proliferation</w:t>
      </w:r>
      <w:r>
        <w:t xml:space="preserve"> </w:t>
      </w:r>
      <w:r>
        <w:rPr>
          <w:b/>
          <w:bCs/>
        </w:rPr>
        <w:t xml:space="preserve">17</w:t>
      </w:r>
      <w:r>
        <w:t xml:space="preserve">, 453–463 (1984).</w:t>
      </w:r>
    </w:p>
    <w:bookmarkEnd w:id="178"/>
    <w:bookmarkStart w:id="180" w:name="ref-eisenhoffer2012crowding"/>
    <w:p>
      <w:pPr>
        <w:pStyle w:val="Bibliography"/>
      </w:pPr>
      <w:r>
        <w:t xml:space="preserve">52.</w:t>
      </w:r>
      <w:r>
        <w:t xml:space="preserve"> </w:t>
      </w:r>
      <w:r>
        <w:t xml:space="preserve">	</w:t>
      </w:r>
      <w:r>
        <w:t xml:space="preserve">Eisenhoffer, G. T.</w:t>
      </w:r>
      <w:r>
        <w:t xml:space="preserve"> </w:t>
      </w:r>
      <w:r>
        <w:rPr>
          <w:i/>
          <w:iCs/>
        </w:rPr>
        <w:t xml:space="preserve">et al.</w:t>
      </w:r>
      <w:r>
        <w:t xml:space="preserve"> </w:t>
      </w:r>
      <w:hyperlink r:id="rId179">
        <w:r>
          <w:rPr>
            <w:rStyle w:val="Hyperlink"/>
          </w:rPr>
          <w:t xml:space="preserve">Crowding induces live cell extrusion to maintain homeostatic cell numbers in epithelia</w:t>
        </w:r>
      </w:hyperlink>
      <w:r>
        <w:t xml:space="preserve">.</w:t>
      </w:r>
      <w:r>
        <w:t xml:space="preserve"> </w:t>
      </w:r>
      <w:r>
        <w:rPr>
          <w:i/>
          <w:iCs/>
        </w:rPr>
        <w:t xml:space="preserve">Nature</w:t>
      </w:r>
      <w:r>
        <w:t xml:space="preserve"> </w:t>
      </w:r>
      <w:r>
        <w:rPr>
          <w:b/>
          <w:bCs/>
        </w:rPr>
        <w:t xml:space="preserve">484</w:t>
      </w:r>
      <w:r>
        <w:t xml:space="preserve">, 546–549 (2012).</w:t>
      </w:r>
    </w:p>
    <w:bookmarkEnd w:id="180"/>
    <w:bookmarkStart w:id="182" w:name="ref-bar2004attenuation"/>
    <w:p>
      <w:pPr>
        <w:pStyle w:val="Bibliography"/>
      </w:pPr>
      <w:r>
        <w:t xml:space="preserve">53.</w:t>
      </w:r>
      <w:r>
        <w:t xml:space="preserve"> </w:t>
      </w:r>
      <w:r>
        <w:t xml:space="preserve">	</w:t>
      </w:r>
      <w:r>
        <w:t xml:space="preserve">Bar, J., Cohen-Noyman, E., Geiger, B. &amp; Oren, M.</w:t>
      </w:r>
      <w:r>
        <w:t xml:space="preserve"> </w:t>
      </w:r>
      <w:hyperlink r:id="rId181">
        <w:r>
          <w:rPr>
            <w:rStyle w:val="Hyperlink"/>
          </w:rPr>
          <w:t xml:space="preserve">Attenuation of the p53 response to DNA damage by high cell density</w:t>
        </w:r>
      </w:hyperlink>
      <w:r>
        <w:t xml:space="preserve">.</w:t>
      </w:r>
      <w:r>
        <w:t xml:space="preserve"> </w:t>
      </w:r>
      <w:r>
        <w:rPr>
          <w:i/>
          <w:iCs/>
        </w:rPr>
        <w:t xml:space="preserve">Oncogene</w:t>
      </w:r>
      <w:r>
        <w:t xml:space="preserve"> </w:t>
      </w:r>
      <w:r>
        <w:rPr>
          <w:b/>
          <w:bCs/>
        </w:rPr>
        <w:t xml:space="preserve">23</w:t>
      </w:r>
      <w:r>
        <w:t xml:space="preserve">, 2128–2137 (2004).</w:t>
      </w:r>
    </w:p>
    <w:bookmarkEnd w:id="182"/>
    <w:bookmarkStart w:id="184" w:name="ref-nishio2017hippo"/>
    <w:p>
      <w:pPr>
        <w:pStyle w:val="Bibliography"/>
      </w:pPr>
      <w:r>
        <w:t xml:space="preserve">54.</w:t>
      </w:r>
      <w:r>
        <w:t xml:space="preserve"> </w:t>
      </w:r>
      <w:r>
        <w:t xml:space="preserve">	</w:t>
      </w:r>
      <w:r>
        <w:t xml:space="preserve">Nishio, M.</w:t>
      </w:r>
      <w:r>
        <w:t xml:space="preserve"> </w:t>
      </w:r>
      <w:r>
        <w:rPr>
          <w:i/>
          <w:iCs/>
        </w:rPr>
        <w:t xml:space="preserve">et al.</w:t>
      </w:r>
      <w:r>
        <w:t xml:space="preserve"> </w:t>
      </w:r>
      <w:hyperlink r:id="rId183">
        <w:r>
          <w:rPr>
            <w:rStyle w:val="Hyperlink"/>
          </w:rPr>
          <w:t xml:space="preserve">Hippo vs. Crab: Tissue‐specific functions of the mammalian hippo pathway</w:t>
        </w:r>
      </w:hyperlink>
      <w:r>
        <w:t xml:space="preserve">.</w:t>
      </w:r>
      <w:r>
        <w:t xml:space="preserve"> </w:t>
      </w:r>
      <w:r>
        <w:rPr>
          <w:i/>
          <w:iCs/>
        </w:rPr>
        <w:t xml:space="preserve">Genes to Cells</w:t>
      </w:r>
      <w:r>
        <w:t xml:space="preserve"> </w:t>
      </w:r>
      <w:r>
        <w:rPr>
          <w:b/>
          <w:bCs/>
        </w:rPr>
        <w:t xml:space="preserve">22</w:t>
      </w:r>
      <w:r>
        <w:t xml:space="preserve">, 6–31 (2017).</w:t>
      </w:r>
    </w:p>
    <w:bookmarkEnd w:id="184"/>
    <w:bookmarkStart w:id="186" w:name="ref-sheridan1981studies"/>
    <w:p>
      <w:pPr>
        <w:pStyle w:val="Bibliography"/>
      </w:pPr>
      <w:r>
        <w:t xml:space="preserve">55.</w:t>
      </w:r>
      <w:r>
        <w:t xml:space="preserve"> </w:t>
      </w:r>
      <w:r>
        <w:t xml:space="preserve">	</w:t>
      </w:r>
      <w:r>
        <w:t xml:space="preserve">Sheridan, J. W. &amp; Simmons, R. J.</w:t>
      </w:r>
      <w:r>
        <w:t xml:space="preserve"> </w:t>
      </w:r>
      <w:hyperlink r:id="rId185">
        <w:r>
          <w:rPr>
            <w:rStyle w:val="Hyperlink"/>
          </w:rPr>
          <w:t xml:space="preserve">Studies on a human melanoma cell line: Effect of cell crowding and nutrient depletion on the biophysical and kinetic characteristics of the cells</w:t>
        </w:r>
      </w:hyperlink>
      <w:r>
        <w:t xml:space="preserve">.</w:t>
      </w:r>
      <w:r>
        <w:t xml:space="preserve"> </w:t>
      </w:r>
      <w:r>
        <w:rPr>
          <w:i/>
          <w:iCs/>
        </w:rPr>
        <w:t xml:space="preserve">Journal of Cellular Physiology</w:t>
      </w:r>
      <w:r>
        <w:t xml:space="preserve"> </w:t>
      </w:r>
      <w:r>
        <w:rPr>
          <w:b/>
          <w:bCs/>
        </w:rPr>
        <w:t xml:space="preserve">107</w:t>
      </w:r>
      <w:r>
        <w:t xml:space="preserve">, 85–100 (1981).</w:t>
      </w:r>
    </w:p>
    <w:bookmarkEnd w:id="186"/>
    <w:bookmarkStart w:id="188" w:name="ref-tjørve2017the"/>
    <w:p>
      <w:pPr>
        <w:pStyle w:val="Bibliography"/>
      </w:pPr>
      <w:r>
        <w:t xml:space="preserve">56.</w:t>
      </w:r>
      <w:r>
        <w:t xml:space="preserve"> </w:t>
      </w:r>
      <w:r>
        <w:t xml:space="preserve">	</w:t>
      </w:r>
      <w:r>
        <w:t xml:space="preserve">Tjørve, K. M. C. &amp; Tjørve, E.</w:t>
      </w:r>
      <w:r>
        <w:t xml:space="preserve"> </w:t>
      </w:r>
      <w:hyperlink r:id="rId187">
        <w:r>
          <w:rPr>
            <w:rStyle w:val="Hyperlink"/>
          </w:rPr>
          <w:t xml:space="preserve">The use of gompertz models in growth analyses, and new gompertz-model approach: An addition to the unified-richards family</w:t>
        </w:r>
      </w:hyperlink>
      <w:r>
        <w:t xml:space="preserve">.</w:t>
      </w:r>
      <w:r>
        <w:t xml:space="preserve"> </w:t>
      </w:r>
      <w:r>
        <w:rPr>
          <w:i/>
          <w:iCs/>
        </w:rPr>
        <w:t xml:space="preserve">PLOS ONE</w:t>
      </w:r>
      <w:r>
        <w:t xml:space="preserve"> </w:t>
      </w:r>
      <w:r>
        <w:rPr>
          <w:b/>
          <w:bCs/>
        </w:rPr>
        <w:t xml:space="preserve">12</w:t>
      </w:r>
      <w:r>
        <w:t xml:space="preserve">, e0178691 (2017).</w:t>
      </w:r>
    </w:p>
    <w:bookmarkEnd w:id="188"/>
    <w:bookmarkStart w:id="190" w:name="ref-lv2015stability"/>
    <w:p>
      <w:pPr>
        <w:pStyle w:val="Bibliography"/>
      </w:pPr>
      <w:r>
        <w:t xml:space="preserve">57.</w:t>
      </w:r>
      <w:r>
        <w:t xml:space="preserve"> </w:t>
      </w:r>
      <w:r>
        <w:t xml:space="preserve">	</w:t>
      </w:r>
      <w:r>
        <w:t xml:space="preserve">Lv, J., Wang, K. &amp; Jiao, J.</w:t>
      </w:r>
      <w:r>
        <w:t xml:space="preserve"> </w:t>
      </w:r>
      <w:hyperlink r:id="rId189">
        <w:r>
          <w:rPr>
            <w:rStyle w:val="Hyperlink"/>
          </w:rPr>
          <w:t xml:space="preserve">Stability of stochastic richards growth model</w:t>
        </w:r>
      </w:hyperlink>
      <w:r>
        <w:t xml:space="preserve">.</w:t>
      </w:r>
      <w:r>
        <w:t xml:space="preserve"> </w:t>
      </w:r>
      <w:r>
        <w:rPr>
          <w:i/>
          <w:iCs/>
        </w:rPr>
        <w:t xml:space="preserve">Applied Mathematical Modelling</w:t>
      </w:r>
      <w:r>
        <w:t xml:space="preserve"> </w:t>
      </w:r>
      <w:r>
        <w:rPr>
          <w:b/>
          <w:bCs/>
        </w:rPr>
        <w:t xml:space="preserve">39</w:t>
      </w:r>
      <w:r>
        <w:t xml:space="preserve">, 4821–4827 (2015).</w:t>
      </w:r>
    </w:p>
    <w:bookmarkEnd w:id="190"/>
    <w:bookmarkStart w:id="192" w:name="ref-peleg1998reinterpretation"/>
    <w:p>
      <w:pPr>
        <w:pStyle w:val="Bibliography"/>
      </w:pPr>
      <w:r>
        <w:t xml:space="preserve">58.</w:t>
      </w:r>
      <w:r>
        <w:t xml:space="preserve"> </w:t>
      </w:r>
      <w:r>
        <w:t xml:space="preserve">	</w:t>
      </w:r>
      <w:r>
        <w:t xml:space="preserve">Peleg, M. &amp; Cole, M. B.</w:t>
      </w:r>
      <w:r>
        <w:t xml:space="preserve"> </w:t>
      </w:r>
      <w:hyperlink r:id="rId191">
        <w:r>
          <w:rPr>
            <w:rStyle w:val="Hyperlink"/>
          </w:rPr>
          <w:t xml:space="preserve">Reinterpretation of microbial survival curves</w:t>
        </w:r>
      </w:hyperlink>
      <w:r>
        <w:t xml:space="preserve">.</w:t>
      </w:r>
      <w:r>
        <w:t xml:space="preserve"> </w:t>
      </w:r>
      <w:r>
        <w:rPr>
          <w:i/>
          <w:iCs/>
        </w:rPr>
        <w:t xml:space="preserve">Critical Reviews in Food Science and Nutrition</w:t>
      </w:r>
      <w:r>
        <w:t xml:space="preserve"> </w:t>
      </w:r>
      <w:r>
        <w:rPr>
          <w:b/>
          <w:bCs/>
        </w:rPr>
        <w:t xml:space="preserve">38</w:t>
      </w:r>
      <w:r>
        <w:t xml:space="preserve">, 353–380 (1998).</w:t>
      </w:r>
    </w:p>
    <w:bookmarkEnd w:id="192"/>
    <w:bookmarkStart w:id="194" w:name="ref-wang2023cell"/>
    <w:p>
      <w:pPr>
        <w:pStyle w:val="Bibliography"/>
      </w:pPr>
      <w:r>
        <w:t xml:space="preserve">59.</w:t>
      </w:r>
      <w:r>
        <w:t xml:space="preserve"> </w:t>
      </w:r>
      <w:r>
        <w:t xml:space="preserve">	</w:t>
      </w:r>
      <w:r>
        <w:t xml:space="preserve">Wang, Y.</w:t>
      </w:r>
      <w:r>
        <w:t xml:space="preserve"> </w:t>
      </w:r>
      <w:r>
        <w:rPr>
          <w:i/>
          <w:iCs/>
        </w:rPr>
        <w:t xml:space="preserve">et al.</w:t>
      </w:r>
      <w:r>
        <w:t xml:space="preserve"> </w:t>
      </w:r>
      <w:hyperlink r:id="rId193">
        <w:r>
          <w:rPr>
            <w:rStyle w:val="Hyperlink"/>
          </w:rPr>
          <w:t xml:space="preserve">Cell population growth kinetics in the presence of stochastic heterogeneity of cell phenotype</w:t>
        </w:r>
      </w:hyperlink>
      <w:r>
        <w:t xml:space="preserve">.</w:t>
      </w:r>
      <w:r>
        <w:t xml:space="preserve"> </w:t>
      </w:r>
      <w:r>
        <w:rPr>
          <w:i/>
          <w:iCs/>
        </w:rPr>
        <w:t xml:space="preserve">Journal of Theoretical Biology</w:t>
      </w:r>
      <w:r>
        <w:t xml:space="preserve"> </w:t>
      </w:r>
      <w:r>
        <w:rPr>
          <w:b/>
          <w:bCs/>
        </w:rPr>
        <w:t xml:space="preserve">575</w:t>
      </w:r>
      <w:r>
        <w:t xml:space="preserve">, 111645 (2023).</w:t>
      </w:r>
    </w:p>
    <w:bookmarkEnd w:id="194"/>
    <w:bookmarkStart w:id="196" w:name="ref-karim2023random"/>
    <w:p>
      <w:pPr>
        <w:pStyle w:val="Bibliography"/>
      </w:pPr>
      <w:r>
        <w:t xml:space="preserve">60.</w:t>
      </w:r>
      <w:r>
        <w:t xml:space="preserve"> </w:t>
      </w:r>
      <w:r>
        <w:t xml:space="preserve">	</w:t>
      </w:r>
      <w:r>
        <w:t xml:space="preserve">Karim, M. A. U., Aithal, V. &amp; Bhowmick, A. R.</w:t>
      </w:r>
      <w:r>
        <w:t xml:space="preserve"> </w:t>
      </w:r>
      <w:hyperlink r:id="rId195">
        <w:r>
          <w:rPr>
            <w:rStyle w:val="Hyperlink"/>
          </w:rPr>
          <w:t xml:space="preserve">Random variation in model parameters: A comprehensive review of stochastic logistic growth equation</w:t>
        </w:r>
      </w:hyperlink>
      <w:r>
        <w:t xml:space="preserve">.</w:t>
      </w:r>
      <w:r>
        <w:t xml:space="preserve"> </w:t>
      </w:r>
      <w:r>
        <w:rPr>
          <w:i/>
          <w:iCs/>
        </w:rPr>
        <w:t xml:space="preserve">Ecological Modelling</w:t>
      </w:r>
      <w:r>
        <w:t xml:space="preserve"> </w:t>
      </w:r>
      <w:r>
        <w:rPr>
          <w:b/>
          <w:bCs/>
        </w:rPr>
        <w:t xml:space="preserve">484</w:t>
      </w:r>
      <w:r>
        <w:t xml:space="preserve">, 110475 (2023).</w:t>
      </w:r>
    </w:p>
    <w:bookmarkEnd w:id="196"/>
    <w:bookmarkStart w:id="198" w:name="ref-li2010cyanobacterial"/>
    <w:p>
      <w:pPr>
        <w:pStyle w:val="Bibliography"/>
      </w:pPr>
      <w:r>
        <w:t xml:space="preserve">61.</w:t>
      </w:r>
      <w:r>
        <w:t xml:space="preserve"> </w:t>
      </w:r>
      <w:r>
        <w:t xml:space="preserve">	</w:t>
      </w:r>
      <w:r>
        <w:t xml:space="preserve">Li, Z.</w:t>
      </w:r>
      <w:r>
        <w:t xml:space="preserve"> </w:t>
      </w:r>
      <w:r>
        <w:rPr>
          <w:i/>
          <w:iCs/>
        </w:rPr>
        <w:t xml:space="preserve">et al.</w:t>
      </w:r>
      <w:r>
        <w:t xml:space="preserve"> </w:t>
      </w:r>
      <w:hyperlink r:id="rId197">
        <w:r>
          <w:rPr>
            <w:rStyle w:val="Hyperlink"/>
          </w:rPr>
          <w:t xml:space="preserve">Cyanobacterial population and harmful metabolites dynamics during a bloom in yanghe reservoir, north</w:t>
        </w:r>
        <w:r>
          <w:rPr>
            <w:rStyle w:val="Hyperlink"/>
          </w:rPr>
          <w:t xml:space="preserve"> </w:t>
        </w:r>
        <w:r>
          <w:rPr>
            <w:rStyle w:val="Hyperlink"/>
          </w:rPr>
          <w:t xml:space="preserve">China</w:t>
        </w:r>
      </w:hyperlink>
      <w:r>
        <w:t xml:space="preserve">.</w:t>
      </w:r>
      <w:r>
        <w:t xml:space="preserve"> </w:t>
      </w:r>
      <w:r>
        <w:rPr>
          <w:i/>
          <w:iCs/>
        </w:rPr>
        <w:t xml:space="preserve">Harmful Algae</w:t>
      </w:r>
      <w:r>
        <w:t xml:space="preserve"> </w:t>
      </w:r>
      <w:r>
        <w:rPr>
          <w:b/>
          <w:bCs/>
        </w:rPr>
        <w:t xml:space="preserve">9</w:t>
      </w:r>
      <w:r>
        <w:t xml:space="preserve">, 481–488 (2010).</w:t>
      </w:r>
    </w:p>
    <w:bookmarkEnd w:id="198"/>
    <w:bookmarkStart w:id="200" w:name="ref-liang2005removal"/>
    <w:p>
      <w:pPr>
        <w:pStyle w:val="Bibliography"/>
      </w:pPr>
      <w:r>
        <w:t xml:space="preserve">62.</w:t>
      </w:r>
      <w:r>
        <w:t xml:space="preserve"> </w:t>
      </w:r>
      <w:r>
        <w:t xml:space="preserve">	</w:t>
      </w:r>
      <w:r>
        <w:t xml:space="preserve">Liang, C., Wang, D., Yang, M., Sun, W. &amp; Zhang, S.</w:t>
      </w:r>
      <w:r>
        <w:t xml:space="preserve"> </w:t>
      </w:r>
      <w:hyperlink r:id="rId199">
        <w:r>
          <w:rPr>
            <w:rStyle w:val="Hyperlink"/>
          </w:rPr>
          <w:t xml:space="preserve">Removal of eathy-must odorants in drinking water by powdered activated carbon</w:t>
        </w:r>
      </w:hyperlink>
      <w:r>
        <w:t xml:space="preserve">.</w:t>
      </w:r>
      <w:r>
        <w:t xml:space="preserve"> </w:t>
      </w:r>
      <w:r>
        <w:rPr>
          <w:i/>
          <w:iCs/>
        </w:rPr>
        <w:t xml:space="preserve">Journal of Environmental Science and Health</w:t>
      </w:r>
      <w:r>
        <w:t xml:space="preserve"> </w:t>
      </w:r>
      <w:r>
        <w:rPr>
          <w:b/>
          <w:bCs/>
        </w:rPr>
        <w:t xml:space="preserve">40</w:t>
      </w:r>
      <w:r>
        <w:t xml:space="preserve">, 767–778 (2005).</w:t>
      </w:r>
    </w:p>
    <w:bookmarkEnd w:id="200"/>
    <w:bookmarkStart w:id="201" w:name="ref-sherr1993preservation"/>
    <w:p>
      <w:pPr>
        <w:pStyle w:val="Bibliography"/>
      </w:pPr>
      <w:r>
        <w:t xml:space="preserve">63.</w:t>
      </w:r>
      <w:r>
        <w:t xml:space="preserve"> </w:t>
      </w:r>
      <w:r>
        <w:t xml:space="preserve">	</w:t>
      </w:r>
      <w:r>
        <w:t xml:space="preserve">Sherr, E. B. &amp; Sherr, B. F. Preservation and storage of samples for enumeration of heterotrophic protists.</w:t>
      </w:r>
      <w:r>
        <w:t xml:space="preserve"> </w:t>
      </w:r>
      <w:r>
        <w:rPr>
          <w:i/>
          <w:iCs/>
        </w:rPr>
        <w:t xml:space="preserve">Handbook of Methods in Aquatic Microbial Ecology. Lewis Publishers, Boca Raton</w:t>
      </w:r>
      <w:r>
        <w:t xml:space="preserve"> </w:t>
      </w:r>
      <w:r>
        <w:t xml:space="preserve">207–212 (1993).</w:t>
      </w:r>
    </w:p>
    <w:bookmarkEnd w:id="201"/>
    <w:bookmarkStart w:id="202" w:name="ref-komarek1998cyanoprokaryota"/>
    <w:p>
      <w:pPr>
        <w:pStyle w:val="Bibliography"/>
      </w:pPr>
      <w:r>
        <w:t xml:space="preserve">64.</w:t>
      </w:r>
      <w:r>
        <w:t xml:space="preserve"> </w:t>
      </w:r>
      <w:r>
        <w:t xml:space="preserve">	</w:t>
      </w:r>
      <w:r>
        <w:t xml:space="preserve">Komárek, J. &amp; Anagnostidis, K.</w:t>
      </w:r>
      <w:r>
        <w:t xml:space="preserve"> </w:t>
      </w:r>
      <w:r>
        <w:rPr>
          <w:i/>
          <w:iCs/>
        </w:rPr>
        <w:t xml:space="preserve">Cyanoprokaryota 1</w:t>
      </w:r>
      <w:r>
        <w:t xml:space="preserve">.</w:t>
      </w:r>
      <w:r>
        <w:t xml:space="preserve"> </w:t>
      </w:r>
      <w:r>
        <w:rPr>
          <w:i/>
          <w:iCs/>
        </w:rPr>
        <w:t xml:space="preserve">Susswasserflora Von Mitteleuropa</w:t>
      </w:r>
      <w:r>
        <w:t xml:space="preserve"> </w:t>
      </w:r>
      <w:r>
        <w:t xml:space="preserve">vol. 19(1) (Deu, 1998).</w:t>
      </w:r>
    </w:p>
    <w:bookmarkEnd w:id="202"/>
    <w:bookmarkStart w:id="203" w:name="ref-komarek2014taxonomic"/>
    <w:p>
      <w:pPr>
        <w:pStyle w:val="Bibliography"/>
      </w:pPr>
      <w:r>
        <w:t xml:space="preserve">65.</w:t>
      </w:r>
      <w:r>
        <w:t xml:space="preserve"> </w:t>
      </w:r>
      <w:r>
        <w:t xml:space="preserve">	</w:t>
      </w:r>
      <w:r>
        <w:t xml:space="preserve">Komarek, J., Kastovsky, J., Mares, J. &amp; Johansen, J. R. Taxonomic classification of cyanoprokaryotes (cyanobacterial genera) 2014, using a polyphasic approach.</w:t>
      </w:r>
      <w:r>
        <w:t xml:space="preserve"> </w:t>
      </w:r>
      <w:r>
        <w:rPr>
          <w:i/>
          <w:iCs/>
        </w:rPr>
        <w:t xml:space="preserve">Preslia</w:t>
      </w:r>
      <w:r>
        <w:t xml:space="preserve"> </w:t>
      </w:r>
      <w:r>
        <w:rPr>
          <w:b/>
          <w:bCs/>
        </w:rPr>
        <w:t xml:space="preserve">86</w:t>
      </w:r>
      <w:r>
        <w:t xml:space="preserve">, 295–335 (2014).</w:t>
      </w:r>
    </w:p>
    <w:bookmarkEnd w:id="203"/>
    <w:bookmarkStart w:id="204" w:name="ref-utermohl1958vervollkommnung"/>
    <w:p>
      <w:pPr>
        <w:pStyle w:val="Bibliography"/>
      </w:pPr>
      <w:r>
        <w:t xml:space="preserve">66.</w:t>
      </w:r>
      <w:r>
        <w:t xml:space="preserve"> </w:t>
      </w:r>
      <w:r>
        <w:t xml:space="preserve">	</w:t>
      </w:r>
      <w:r>
        <w:t xml:space="preserve">Utermöhl, H. Zur vervollkommnung der quantitativen phytoplankton-methodik.</w:t>
      </w:r>
      <w:r>
        <w:t xml:space="preserve"> </w:t>
      </w:r>
      <w:r>
        <w:rPr>
          <w:i/>
          <w:iCs/>
        </w:rPr>
        <w:t xml:space="preserve">Mitteilungen Internationale Vereinigung Für Theoretische Und Angewandte Limnologie</w:t>
      </w:r>
      <w:r>
        <w:t xml:space="preserve"> </w:t>
      </w:r>
      <w:r>
        <w:rPr>
          <w:b/>
          <w:bCs/>
        </w:rPr>
        <w:t xml:space="preserve">9</w:t>
      </w:r>
      <w:r>
        <w:t xml:space="preserve">, 1–38 (1958).</w:t>
      </w:r>
    </w:p>
    <w:bookmarkEnd w:id="204"/>
    <w:bookmarkStart w:id="206" w:name="ref-r2021r"/>
    <w:p>
      <w:pPr>
        <w:pStyle w:val="Bibliography"/>
      </w:pPr>
      <w:r>
        <w:t xml:space="preserve">67.</w:t>
      </w:r>
      <w:r>
        <w:t xml:space="preserve"> </w:t>
      </w:r>
      <w:r>
        <w:t xml:space="preserve">	</w:t>
      </w:r>
      <w:r>
        <w:t xml:space="preserve">R Core Team.</w:t>
      </w:r>
      <w:r>
        <w:t xml:space="preserve"> </w:t>
      </w:r>
      <w:hyperlink r:id="rId205">
        <w:r>
          <w:rPr>
            <w:rStyle w:val="Hyperlink"/>
            <w:i/>
            <w:iCs/>
          </w:rPr>
          <w:t xml:space="preserve">R</w:t>
        </w:r>
        <w:r>
          <w:rPr>
            <w:rStyle w:val="Hyperlink"/>
            <w:i/>
            <w:iCs/>
          </w:rPr>
          <w:t xml:space="preserve">: A language and environment for statistical computing</w:t>
        </w:r>
      </w:hyperlink>
      <w:r>
        <w:t xml:space="preserve">. (R Foundation for Statistical Computing, 2021).</w:t>
      </w:r>
    </w:p>
    <w:bookmarkEnd w:id="206"/>
    <w:bookmarkStart w:id="208" w:name="ref-timbers2022r"/>
    <w:p>
      <w:pPr>
        <w:pStyle w:val="Bibliography"/>
      </w:pPr>
      <w:r>
        <w:t xml:space="preserve">68.</w:t>
      </w:r>
      <w:r>
        <w:t xml:space="preserve"> </w:t>
      </w:r>
      <w:r>
        <w:t xml:space="preserve">	</w:t>
      </w:r>
      <w:r>
        <w:t xml:space="preserve">Timbers, T., Campbell, T. &amp; Lee, M. R and the tidyverse. in</w:t>
      </w:r>
      <w:r>
        <w:t xml:space="preserve"> </w:t>
      </w:r>
      <w:r>
        <w:rPr>
          <w:i/>
          <w:iCs/>
        </w:rPr>
        <w:t xml:space="preserve">Data science</w:t>
      </w:r>
      <w:r>
        <w:t xml:space="preserve"> </w:t>
      </w:r>
      <w:r>
        <w:t xml:space="preserve">1–26 (Chapman; Hall/CRC, 2022). doi:</w:t>
      </w:r>
      <w:hyperlink r:id="rId207">
        <w:r>
          <w:rPr>
            <w:rStyle w:val="Hyperlink"/>
          </w:rPr>
          <w:t xml:space="preserve">10.1201/9781003080978-1</w:t>
        </w:r>
      </w:hyperlink>
      <w:r>
        <w:t xml:space="preserve">.</w:t>
      </w:r>
    </w:p>
    <w:bookmarkEnd w:id="208"/>
    <w:bookmarkStart w:id="209" w:name="ref-wood2017generalized"/>
    <w:p>
      <w:pPr>
        <w:pStyle w:val="Bibliography"/>
      </w:pPr>
      <w:r>
        <w:t xml:space="preserve">69.</w:t>
      </w:r>
      <w:r>
        <w:t xml:space="preserve"> </w:t>
      </w:r>
      <w:r>
        <w:t xml:space="preserve">	</w:t>
      </w:r>
      <w:r>
        <w:t xml:space="preserve">Wood, S. N.</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(Chapman; Hall/CRC, 2017).</w:t>
      </w:r>
    </w:p>
    <w:bookmarkEnd w:id="209"/>
    <w:bookmarkStart w:id="211" w:name="ref-koenker2017handbook"/>
    <w:p>
      <w:pPr>
        <w:pStyle w:val="Bibliography"/>
      </w:pPr>
      <w:r>
        <w:t xml:space="preserve">70.</w:t>
      </w:r>
      <w:r>
        <w:t xml:space="preserve"> </w:t>
      </w:r>
      <w:r>
        <w:t xml:space="preserve">	</w:t>
      </w:r>
      <w:r>
        <w:rPr>
          <w:i/>
          <w:iCs/>
        </w:rPr>
        <w:t xml:space="preserve">Handbook of quantile regression</w:t>
      </w:r>
      <w:r>
        <w:t xml:space="preserve">. (Chapman; Hall/CRC, 2017). doi:</w:t>
      </w:r>
      <w:hyperlink r:id="rId210">
        <w:r>
          <w:rPr>
            <w:rStyle w:val="Hyperlink"/>
          </w:rPr>
          <w:t xml:space="preserve">10.1201/9781315120256</w:t>
        </w:r>
      </w:hyperlink>
      <w:r>
        <w:t xml:space="preserve">.</w:t>
      </w:r>
    </w:p>
    <w:bookmarkEnd w:id="211"/>
    <w:bookmarkStart w:id="213" w:name="ref-wickham2009ggplot"/>
    <w:p>
      <w:pPr>
        <w:pStyle w:val="Bibliography"/>
      </w:pPr>
      <w:r>
        <w:t xml:space="preserve">71.</w:t>
      </w:r>
      <w:r>
        <w:t xml:space="preserve"> </w:t>
      </w:r>
      <w:r>
        <w:t xml:space="preserve">	</w:t>
      </w:r>
      <w:r>
        <w:t xml:space="preserve">Wickham, H. Introduction. in</w:t>
      </w:r>
      <w:r>
        <w:t xml:space="preserve"> </w:t>
      </w:r>
      <w:r>
        <w:rPr>
          <w:i/>
          <w:iCs/>
        </w:rPr>
        <w:t xml:space="preserve">ggplot2</w:t>
      </w:r>
      <w:r>
        <w:t xml:space="preserve"> </w:t>
      </w:r>
      <w:r>
        <w:t xml:space="preserve">1–7 (Springer New York, 2009). doi:</w:t>
      </w:r>
      <w:hyperlink r:id="rId212">
        <w:r>
          <w:rPr>
            <w:rStyle w:val="Hyperlink"/>
          </w:rPr>
          <w:t xml:space="preserve">10.1007/978-0-387-98141-3_1</w:t>
        </w:r>
      </w:hyperlink>
      <w:r>
        <w:t xml:space="preserve">.</w:t>
      </w:r>
    </w:p>
    <w:bookmarkEnd w:id="213"/>
    <w:bookmarkStart w:id="215" w:name="ref-liu2019production"/>
    <w:p>
      <w:pPr>
        <w:pStyle w:val="Bibliography"/>
      </w:pPr>
      <w:r>
        <w:t xml:space="preserve">72.</w:t>
      </w:r>
      <w:r>
        <w:t xml:space="preserve"> </w:t>
      </w:r>
      <w:r>
        <w:t xml:space="preserve">	</w:t>
      </w:r>
      <w:r>
        <w:t xml:space="preserve">Liu, T.</w:t>
      </w:r>
      <w:r>
        <w:t xml:space="preserve"> </w:t>
      </w:r>
      <w:r>
        <w:rPr>
          <w:i/>
          <w:iCs/>
        </w:rPr>
        <w:t xml:space="preserve">et al.</w:t>
      </w:r>
      <w:r>
        <w:t xml:space="preserve"> </w:t>
      </w:r>
      <w:hyperlink r:id="rId214">
        <w:r>
          <w:rPr>
            <w:rStyle w:val="Hyperlink"/>
          </w:rPr>
          <w:t xml:space="preserve">Production and fate of fishy odorants produced by two freshwater chrysophyte species under different temperature and light conditions</w:t>
        </w:r>
      </w:hyperlink>
      <w:r>
        <w:t xml:space="preserve">.</w:t>
      </w:r>
      <w:r>
        <w:t xml:space="preserve"> </w:t>
      </w:r>
      <w:r>
        <w:rPr>
          <w:i/>
          <w:iCs/>
        </w:rPr>
        <w:t xml:space="preserve">Water Research</w:t>
      </w:r>
      <w:r>
        <w:t xml:space="preserve"> </w:t>
      </w:r>
      <w:r>
        <w:rPr>
          <w:b/>
          <w:bCs/>
        </w:rPr>
        <w:t xml:space="preserve">157</w:t>
      </w:r>
      <w:r>
        <w:t xml:space="preserve">, 529–534 (2019).</w:t>
      </w:r>
    </w:p>
    <w:bookmarkEnd w:id="215"/>
    <w:bookmarkStart w:id="217" w:name="ref-perkins2019managing"/>
    <w:p>
      <w:pPr>
        <w:pStyle w:val="Bibliography"/>
      </w:pPr>
      <w:r>
        <w:t xml:space="preserve">73.</w:t>
      </w:r>
      <w:r>
        <w:t xml:space="preserve"> </w:t>
      </w:r>
      <w:r>
        <w:t xml:space="preserve">	</w:t>
      </w:r>
      <w:r>
        <w:t xml:space="preserve">Perkins, R. G.</w:t>
      </w:r>
      <w:r>
        <w:t xml:space="preserve"> </w:t>
      </w:r>
      <w:r>
        <w:rPr>
          <w:i/>
          <w:iCs/>
        </w:rPr>
        <w:t xml:space="preserve">et al.</w:t>
      </w:r>
      <w:r>
        <w:t xml:space="preserve"> </w:t>
      </w:r>
      <w:hyperlink r:id="rId216">
        <w:r>
          <w:rPr>
            <w:rStyle w:val="Hyperlink"/>
          </w:rPr>
          <w:t xml:space="preserve">Managing taste and odour metabolite production in drinking water reservoirs: The importance of ammonium as a key nutrient trigger</w:t>
        </w:r>
      </w:hyperlink>
      <w:r>
        <w:t xml:space="preserve">.</w:t>
      </w:r>
      <w:r>
        <w:t xml:space="preserve"> </w:t>
      </w:r>
      <w:r>
        <w:rPr>
          <w:i/>
          <w:iCs/>
        </w:rPr>
        <w:t xml:space="preserve">Journal of Environmental Management</w:t>
      </w:r>
      <w:r>
        <w:t xml:space="preserve"> </w:t>
      </w:r>
      <w:r>
        <w:rPr>
          <w:b/>
          <w:bCs/>
        </w:rPr>
        <w:t xml:space="preserve">244</w:t>
      </w:r>
      <w:r>
        <w:t xml:space="preserve">, 276–284 (2019).</w:t>
      </w:r>
    </w:p>
    <w:bookmarkEnd w:id="217"/>
    <w:bookmarkStart w:id="219" w:name="ref-bafford1993intracellular"/>
    <w:p>
      <w:pPr>
        <w:pStyle w:val="Bibliography"/>
      </w:pPr>
      <w:r>
        <w:t xml:space="preserve">74.</w:t>
      </w:r>
      <w:r>
        <w:t xml:space="preserve"> </w:t>
      </w:r>
      <w:r>
        <w:t xml:space="preserve">	</w:t>
      </w:r>
      <w:r>
        <w:t xml:space="preserve">Bafford, R. A., Seagull, R. W., Chung, S. &amp; Millie, D. F.</w:t>
      </w:r>
      <w:r>
        <w:t xml:space="preserve"> </w:t>
      </w:r>
      <w:hyperlink r:id="rId218">
        <w:r>
          <w:rPr>
            <w:rStyle w:val="Hyperlink"/>
          </w:rPr>
          <w:t xml:space="preserve">INTRACELLULAR LOCALIZATION OF THE TASTE/ODOR METABOLITE 2‐METHYLISOBORNEOL IN OSCILLATORIA LIMOSA (CYANOPHYTA)1</w:t>
        </w:r>
      </w:hyperlink>
      <w:r>
        <w:t xml:space="preserve">.</w:t>
      </w:r>
      <w:r>
        <w:t xml:space="preserve"> </w:t>
      </w:r>
      <w:r>
        <w:rPr>
          <w:i/>
          <w:iCs/>
        </w:rPr>
        <w:t xml:space="preserve">Journal of Phycology</w:t>
      </w:r>
      <w:r>
        <w:t xml:space="preserve"> </w:t>
      </w:r>
      <w:r>
        <w:rPr>
          <w:b/>
          <w:bCs/>
        </w:rPr>
        <w:t xml:space="preserve">29</w:t>
      </w:r>
      <w:r>
        <w:t xml:space="preserve">, 91–95 (1993).</w:t>
      </w:r>
    </w:p>
    <w:bookmarkEnd w:id="219"/>
    <w:bookmarkStart w:id="221" w:name="ref-pavel2018contact"/>
    <w:p>
      <w:pPr>
        <w:pStyle w:val="Bibliography"/>
      </w:pPr>
      <w:r>
        <w:t xml:space="preserve">75.</w:t>
      </w:r>
      <w:r>
        <w:t xml:space="preserve"> </w:t>
      </w:r>
      <w:r>
        <w:t xml:space="preserve">	</w:t>
      </w:r>
      <w:r>
        <w:t xml:space="preserve">Pavel, M.</w:t>
      </w:r>
      <w:r>
        <w:t xml:space="preserve"> </w:t>
      </w:r>
      <w:r>
        <w:rPr>
          <w:i/>
          <w:iCs/>
        </w:rPr>
        <w:t xml:space="preserve">et al.</w:t>
      </w:r>
      <w:r>
        <w:t xml:space="preserve"> </w:t>
      </w:r>
      <w:hyperlink r:id="rId220">
        <w:r>
          <w:rPr>
            <w:rStyle w:val="Hyperlink"/>
          </w:rPr>
          <w:t xml:space="preserve">Contact inhibition controls cell survival and proliferation via YAP/TAZ-autophagy axis</w:t>
        </w:r>
      </w:hyperlink>
      <w:r>
        <w:t xml:space="preserve">.</w:t>
      </w:r>
      <w:r>
        <w:t xml:space="preserve"> </w:t>
      </w:r>
      <w:r>
        <w:rPr>
          <w:i/>
          <w:iCs/>
        </w:rPr>
        <w:t xml:space="preserve">Nature Communications</w:t>
      </w:r>
      <w:r>
        <w:t xml:space="preserve"> </w:t>
      </w:r>
      <w:r>
        <w:rPr>
          <w:b/>
          <w:bCs/>
        </w:rPr>
        <w:t xml:space="preserve">9</w:t>
      </w:r>
      <w:r>
        <w:t xml:space="preserve">, (2018).</w:t>
      </w:r>
    </w:p>
    <w:bookmarkEnd w:id="221"/>
    <w:bookmarkStart w:id="223" w:name="ref-li2022cooccurrence"/>
    <w:p>
      <w:pPr>
        <w:pStyle w:val="Bibliography"/>
      </w:pPr>
      <w:r>
        <w:t xml:space="preserve">76.</w:t>
      </w:r>
      <w:r>
        <w:t xml:space="preserve"> </w:t>
      </w:r>
      <w:r>
        <w:t xml:space="preserve">	</w:t>
      </w:r>
      <w:r>
        <w:t xml:space="preserve">Li, H.</w:t>
      </w:r>
      <w:r>
        <w:t xml:space="preserve"> </w:t>
      </w:r>
      <w:r>
        <w:rPr>
          <w:i/>
          <w:iCs/>
        </w:rPr>
        <w:t xml:space="preserve">et al.</w:t>
      </w:r>
      <w:r>
        <w:t xml:space="preserve"> </w:t>
      </w:r>
      <w:hyperlink r:id="rId222">
        <w:r>
          <w:rPr>
            <w:rStyle w:val="Hyperlink"/>
          </w:rPr>
          <w:t xml:space="preserve">Co-occurrence of multiple cyanotoxins and taste-and-odor compounds in the large eutrophic lake taihu, china: Dynamics, driving factors, and challenges for risk assessment</w:t>
        </w:r>
      </w:hyperlink>
      <w:r>
        <w:t xml:space="preserve">.</w:t>
      </w:r>
      <w:r>
        <w:t xml:space="preserve"> </w:t>
      </w:r>
      <w:r>
        <w:rPr>
          <w:i/>
          <w:iCs/>
        </w:rPr>
        <w:t xml:space="preserve">Environmental Pollution</w:t>
      </w:r>
      <w:r>
        <w:t xml:space="preserve"> </w:t>
      </w:r>
      <w:r>
        <w:rPr>
          <w:b/>
          <w:bCs/>
        </w:rPr>
        <w:t xml:space="preserve">294</w:t>
      </w:r>
      <w:r>
        <w:t xml:space="preserve">, 118594 (2022).</w:t>
      </w:r>
    </w:p>
    <w:bookmarkEnd w:id="223"/>
    <w:bookmarkStart w:id="225" w:name="ref-shi2023distribution"/>
    <w:p>
      <w:pPr>
        <w:pStyle w:val="Bibliography"/>
      </w:pPr>
      <w:r>
        <w:t xml:space="preserve">77.</w:t>
      </w:r>
      <w:r>
        <w:t xml:space="preserve"> </w:t>
      </w:r>
      <w:r>
        <w:t xml:space="preserve">	</w:t>
      </w:r>
      <w:r>
        <w:t xml:space="preserve">Shi, X.</w:t>
      </w:r>
      <w:r>
        <w:t xml:space="preserve"> </w:t>
      </w:r>
      <w:r>
        <w:rPr>
          <w:i/>
          <w:iCs/>
        </w:rPr>
        <w:t xml:space="preserve">et al.</w:t>
      </w:r>
      <w:r>
        <w:t xml:space="preserve"> </w:t>
      </w:r>
      <w:hyperlink r:id="rId224">
        <w:r>
          <w:rPr>
            <w:rStyle w:val="Hyperlink"/>
          </w:rPr>
          <w:t xml:space="preserve">Distribution, driving forces, and risk assessment of 2-MIB and its producer in a drinking water source-oriented shallow lake</w:t>
        </w:r>
      </w:hyperlink>
      <w:r>
        <w:t xml:space="preserve">.</w:t>
      </w:r>
      <w:r>
        <w:t xml:space="preserve"> </w:t>
      </w:r>
      <w:r>
        <w:rPr>
          <w:i/>
          <w:iCs/>
        </w:rPr>
        <w:t xml:space="preserve">Environmental Science and Pollution Research</w:t>
      </w:r>
      <w:r>
        <w:t xml:space="preserve"> </w:t>
      </w:r>
      <w:r>
        <w:rPr>
          <w:b/>
          <w:bCs/>
        </w:rPr>
        <w:t xml:space="preserve">30</w:t>
      </w:r>
      <w:r>
        <w:t xml:space="preserve">, 71194–71208 (2023).</w:t>
      </w:r>
    </w:p>
    <w:bookmarkEnd w:id="225"/>
    <w:bookmarkStart w:id="227" w:name="ref-nan2021enclosure"/>
    <w:p>
      <w:pPr>
        <w:pStyle w:val="Bibliography"/>
      </w:pPr>
      <w:r>
        <w:t xml:space="preserve">78.</w:t>
      </w:r>
      <w:r>
        <w:t xml:space="preserve"> </w:t>
      </w:r>
      <w:r>
        <w:t xml:space="preserve">	</w:t>
      </w:r>
      <w:r>
        <w:t xml:space="preserve">Nan, J.</w:t>
      </w:r>
      <w:r>
        <w:t xml:space="preserve"> </w:t>
      </w:r>
      <w:r>
        <w:rPr>
          <w:i/>
          <w:iCs/>
        </w:rPr>
        <w:t xml:space="preserve">et al.</w:t>
      </w:r>
      <w:r>
        <w:t xml:space="preserve"> </w:t>
      </w:r>
      <w:hyperlink r:id="rId226">
        <w:r>
          <w:rPr>
            <w:rStyle w:val="Hyperlink"/>
          </w:rPr>
          <w:t xml:space="preserve">Enclosure culture ban and its effects on water quality and phytoplankton community in a subtropical shallow lake</w:t>
        </w:r>
      </w:hyperlink>
      <w:r>
        <w:t xml:space="preserve">.</w:t>
      </w:r>
      <w:r>
        <w:t xml:space="preserve"> </w:t>
      </w:r>
      <w:r>
        <w:rPr>
          <w:i/>
          <w:iCs/>
        </w:rPr>
        <w:t xml:space="preserve">Aquaculture Research</w:t>
      </w:r>
      <w:r>
        <w:t xml:space="preserve"> </w:t>
      </w:r>
      <w:r>
        <w:rPr>
          <w:b/>
          <w:bCs/>
        </w:rPr>
        <w:t xml:space="preserve">53</w:t>
      </w:r>
      <w:r>
        <w:t xml:space="preserve">, 221–231 (2021).</w:t>
      </w:r>
    </w:p>
    <w:bookmarkEnd w:id="227"/>
    <w:bookmarkStart w:id="229" w:name="ref-wang2019causality"/>
    <w:p>
      <w:pPr>
        <w:pStyle w:val="Bibliography"/>
      </w:pPr>
      <w:r>
        <w:t xml:space="preserve">79.</w:t>
      </w:r>
      <w:r>
        <w:t xml:space="preserve"> </w:t>
      </w:r>
      <w:r>
        <w:t xml:space="preserve">	</w:t>
      </w:r>
      <w:r>
        <w:t xml:space="preserve">Wang, M., Yoshimura, C., Allam, A., Kimura, F. &amp; Honma, T.</w:t>
      </w:r>
      <w:r>
        <w:t xml:space="preserve"> </w:t>
      </w:r>
      <w:hyperlink r:id="rId228">
        <w:r>
          <w:rPr>
            <w:rStyle w:val="Hyperlink"/>
          </w:rPr>
          <w:t xml:space="preserve">Causality analysis and prediction of 2-methylisoborneol production in a reservoir using empirical dynamic modeling</w:t>
        </w:r>
      </w:hyperlink>
      <w:r>
        <w:t xml:space="preserve">.</w:t>
      </w:r>
      <w:r>
        <w:t xml:space="preserve"> </w:t>
      </w:r>
      <w:r>
        <w:rPr>
          <w:i/>
          <w:iCs/>
        </w:rPr>
        <w:t xml:space="preserve">Water Research</w:t>
      </w:r>
      <w:r>
        <w:t xml:space="preserve"> </w:t>
      </w:r>
      <w:r>
        <w:rPr>
          <w:b/>
          <w:bCs/>
        </w:rPr>
        <w:t xml:space="preserve">163</w:t>
      </w:r>
      <w:r>
        <w:t xml:space="preserve">, 114864 (2019).</w:t>
      </w:r>
    </w:p>
    <w:bookmarkEnd w:id="229"/>
    <w:bookmarkStart w:id="231" w:name="ref-yu2019taste"/>
    <w:p>
      <w:pPr>
        <w:pStyle w:val="Bibliography"/>
      </w:pPr>
      <w:r>
        <w:t xml:space="preserve">80.</w:t>
      </w:r>
      <w:r>
        <w:t xml:space="preserve"> </w:t>
      </w:r>
      <w:r>
        <w:t xml:space="preserve">	</w:t>
      </w:r>
      <w:r>
        <w:t xml:space="preserve">Yu, C.</w:t>
      </w:r>
      <w:r>
        <w:t xml:space="preserve"> </w:t>
      </w:r>
      <w:r>
        <w:rPr>
          <w:i/>
          <w:iCs/>
        </w:rPr>
        <w:t xml:space="preserve">et al.</w:t>
      </w:r>
      <w:r>
        <w:t xml:space="preserve"> </w:t>
      </w:r>
      <w:hyperlink r:id="rId230">
        <w:r>
          <w:rPr>
            <w:rStyle w:val="Hyperlink"/>
          </w:rPr>
          <w:t xml:space="preserve">Taste and odor compounds associated with aquatic plants in taihu lake: Distribution and producing potential</w:t>
        </w:r>
      </w:hyperlink>
      <w:r>
        <w:t xml:space="preserve">.</w:t>
      </w:r>
      <w:r>
        <w:t xml:space="preserve"> </w:t>
      </w:r>
      <w:r>
        <w:rPr>
          <w:i/>
          <w:iCs/>
        </w:rPr>
        <w:t xml:space="preserve">Environmental Science and Pollution Research</w:t>
      </w:r>
      <w:r>
        <w:t xml:space="preserve"> </w:t>
      </w:r>
      <w:r>
        <w:rPr>
          <w:b/>
          <w:bCs/>
        </w:rPr>
        <w:t xml:space="preserve">26</w:t>
      </w:r>
      <w:r>
        <w:t xml:space="preserve">, 34510–34520 (2019).</w:t>
      </w:r>
    </w:p>
    <w:bookmarkEnd w:id="231"/>
    <w:bookmarkStart w:id="233" w:name="ref-su2022lightdominated"/>
    <w:p>
      <w:pPr>
        <w:pStyle w:val="Bibliography"/>
      </w:pPr>
      <w:r>
        <w:t xml:space="preserve">81.</w:t>
      </w:r>
      <w:r>
        <w:t xml:space="preserve"> </w:t>
      </w:r>
      <w:r>
        <w:t xml:space="preserve">	</w:t>
      </w:r>
      <w:r>
        <w:t xml:space="preserve">Su, M.</w:t>
      </w:r>
      <w:r>
        <w:t xml:space="preserve"> </w:t>
      </w:r>
      <w:r>
        <w:rPr>
          <w:i/>
          <w:iCs/>
        </w:rPr>
        <w:t xml:space="preserve">et al.</w:t>
      </w:r>
      <w:r>
        <w:t xml:space="preserve"> </w:t>
      </w:r>
      <w:hyperlink r:id="rId232">
        <w:r>
          <w:rPr>
            <w:rStyle w:val="Hyperlink"/>
          </w:rPr>
          <w:t xml:space="preserve">Light-dominated selection shaping filamentous cyanobacterial assemblages drives odor problem in a drinking water reservoir</w:t>
        </w:r>
      </w:hyperlink>
      <w:r>
        <w:t xml:space="preserve">.</w:t>
      </w:r>
      <w:r>
        <w:t xml:space="preserve"> </w:t>
      </w:r>
      <w:r>
        <w:rPr>
          <w:i/>
          <w:iCs/>
        </w:rPr>
        <w:t xml:space="preserve">npj Clean Water</w:t>
      </w:r>
      <w:r>
        <w:t xml:space="preserve"> </w:t>
      </w:r>
      <w:r>
        <w:rPr>
          <w:b/>
          <w:bCs/>
        </w:rPr>
        <w:t xml:space="preserve">5</w:t>
      </w:r>
      <w:r>
        <w:t xml:space="preserve">, 37 (2022).</w:t>
      </w:r>
    </w:p>
    <w:bookmarkEnd w:id="233"/>
    <w:bookmarkStart w:id="235" w:name="ref-su2019succession"/>
    <w:p>
      <w:pPr>
        <w:pStyle w:val="Bibliography"/>
      </w:pPr>
      <w:r>
        <w:t xml:space="preserve">82.</w:t>
      </w:r>
      <w:r>
        <w:t xml:space="preserve"> </w:t>
      </w:r>
      <w:r>
        <w:t xml:space="preserve">	</w:t>
      </w:r>
      <w:r>
        <w:t xml:space="preserve">Su, M.</w:t>
      </w:r>
      <w:r>
        <w:t xml:space="preserve"> </w:t>
      </w:r>
      <w:r>
        <w:rPr>
          <w:i/>
          <w:iCs/>
        </w:rPr>
        <w:t xml:space="preserve">et al.</w:t>
      </w:r>
      <w:r>
        <w:t xml:space="preserve"> </w:t>
      </w:r>
      <w:hyperlink r:id="rId234">
        <w:r>
          <w:rPr>
            <w:rStyle w:val="Hyperlink"/>
          </w:rPr>
          <w:t xml:space="preserve">Succession and interaction of surface and subsurface cyanobacterial blooms in oligotrophic/mesotrophic reservoirs: A case study in</w:t>
        </w:r>
        <w:r>
          <w:rPr>
            <w:rStyle w:val="Hyperlink"/>
          </w:rPr>
          <w:t xml:space="preserve"> </w:t>
        </w:r>
        <w:r>
          <w:rPr>
            <w:rStyle w:val="Hyperlink"/>
          </w:rPr>
          <w:t xml:space="preserve">Miyun Reservoir</w:t>
        </w:r>
      </w:hyperlink>
      <w:r>
        <w:t xml:space="preserve">.</w:t>
      </w:r>
      <w:r>
        <w:t xml:space="preserve"> </w:t>
      </w:r>
      <w:r>
        <w:rPr>
          <w:i/>
          <w:iCs/>
        </w:rPr>
        <w:t xml:space="preserve">Science of the Total Environment</w:t>
      </w:r>
      <w:r>
        <w:t xml:space="preserve"> </w:t>
      </w:r>
      <w:r>
        <w:rPr>
          <w:b/>
          <w:bCs/>
        </w:rPr>
        <w:t xml:space="preserve">649</w:t>
      </w:r>
      <w:r>
        <w:t xml:space="preserve">, 1553–1562 (2019).</w:t>
      </w:r>
    </w:p>
    <w:bookmarkEnd w:id="235"/>
    <w:bookmarkStart w:id="237" w:name="ref-qi2020characterization"/>
    <w:p>
      <w:pPr>
        <w:pStyle w:val="Bibliography"/>
      </w:pPr>
      <w:r>
        <w:t xml:space="preserve">83.</w:t>
      </w:r>
      <w:r>
        <w:t xml:space="preserve"> </w:t>
      </w:r>
      <w:r>
        <w:t xml:space="preserve">	</w:t>
      </w:r>
      <w:r>
        <w:t xml:space="preserve">Qi, C.</w:t>
      </w:r>
      <w:r>
        <w:t xml:space="preserve"> </w:t>
      </w:r>
      <w:r>
        <w:rPr>
          <w:i/>
          <w:iCs/>
        </w:rPr>
        <w:t xml:space="preserve">et al.</w:t>
      </w:r>
      <w:r>
        <w:t xml:space="preserve"> </w:t>
      </w:r>
      <w:hyperlink r:id="rId236">
        <w:r>
          <w:rPr>
            <w:rStyle w:val="Hyperlink"/>
          </w:rPr>
          <w:t xml:space="preserve">Characterization of odorants in contrasting ecotypes of lake taihu: Algae-dominated versus macrophyte-dominated zones</w:t>
        </w:r>
      </w:hyperlink>
      <w:r>
        <w:t xml:space="preserve">.</w:t>
      </w:r>
      <w:r>
        <w:t xml:space="preserve"> </w:t>
      </w:r>
      <w:r>
        <w:rPr>
          <w:i/>
          <w:iCs/>
        </w:rPr>
        <w:t xml:space="preserve">Environmental Science and Pollution Research</w:t>
      </w:r>
      <w:r>
        <w:t xml:space="preserve"> </w:t>
      </w:r>
      <w:r>
        <w:rPr>
          <w:b/>
          <w:bCs/>
        </w:rPr>
        <w:t xml:space="preserve">27</w:t>
      </w:r>
      <w:r>
        <w:t xml:space="preserve">, 42221–42229 (2020).</w:t>
      </w:r>
    </w:p>
    <w:bookmarkEnd w:id="237"/>
    <w:bookmarkStart w:id="239" w:name="ref-rong2018source"/>
    <w:p>
      <w:pPr>
        <w:pStyle w:val="Bibliography"/>
      </w:pPr>
      <w:r>
        <w:t xml:space="preserve">84.</w:t>
      </w:r>
      <w:r>
        <w:t xml:space="preserve"> </w:t>
      </w:r>
      <w:r>
        <w:t xml:space="preserve">	</w:t>
      </w:r>
      <w:r>
        <w:t xml:space="preserve">Rong, C.</w:t>
      </w:r>
      <w:r>
        <w:t xml:space="preserve"> </w:t>
      </w:r>
      <w:r>
        <w:rPr>
          <w:i/>
          <w:iCs/>
        </w:rPr>
        <w:t xml:space="preserve">et al.</w:t>
      </w:r>
      <w:r>
        <w:t xml:space="preserve"> </w:t>
      </w:r>
      <w:hyperlink r:id="rId238">
        <w:r>
          <w:rPr>
            <w:rStyle w:val="Hyperlink"/>
          </w:rPr>
          <w:t xml:space="preserve">Source water odor in one reservoir in hot and humid areas of southern</w:t>
        </w:r>
        <w:r>
          <w:rPr>
            <w:rStyle w:val="Hyperlink"/>
          </w:rPr>
          <w:t xml:space="preserve"> </w:t>
        </w:r>
        <w:r>
          <w:rPr>
            <w:rStyle w:val="Hyperlink"/>
          </w:rPr>
          <w:t xml:space="preserve">China</w:t>
        </w:r>
        <w:r>
          <w:rPr>
            <w:rStyle w:val="Hyperlink"/>
          </w:rPr>
          <w:t xml:space="preserve">: Occurrence, diagnosis and possible mitigation measures</w:t>
        </w:r>
      </w:hyperlink>
      <w:r>
        <w:t xml:space="preserve">.</w:t>
      </w:r>
      <w:r>
        <w:t xml:space="preserve"> </w:t>
      </w:r>
      <w:r>
        <w:rPr>
          <w:i/>
          <w:iCs/>
        </w:rPr>
        <w:t xml:space="preserve">Environmental Sciences Europe</w:t>
      </w:r>
      <w:r>
        <w:t xml:space="preserve"> </w:t>
      </w:r>
      <w:r>
        <w:rPr>
          <w:b/>
          <w:bCs/>
        </w:rPr>
        <w:t xml:space="preserve">30</w:t>
      </w:r>
      <w:r>
        <w:t xml:space="preserve">, (2018).</w:t>
      </w:r>
    </w:p>
    <w:bookmarkEnd w:id="239"/>
    <w:bookmarkStart w:id="241" w:name="ref-deng2019the"/>
    <w:p>
      <w:pPr>
        <w:pStyle w:val="Bibliography"/>
      </w:pPr>
      <w:r>
        <w:t xml:space="preserve">85.</w:t>
      </w:r>
      <w:r>
        <w:t xml:space="preserve"> </w:t>
      </w:r>
      <w:r>
        <w:t xml:space="preserve">	</w:t>
      </w:r>
      <w:r>
        <w:t xml:space="preserve">Deng, X.</w:t>
      </w:r>
      <w:r>
        <w:t xml:space="preserve"> </w:t>
      </w:r>
      <w:r>
        <w:rPr>
          <w:i/>
          <w:iCs/>
        </w:rPr>
        <w:t xml:space="preserve">et al.</w:t>
      </w:r>
      <w:r>
        <w:t xml:space="preserve"> </w:t>
      </w:r>
      <w:hyperlink r:id="rId240">
        <w:r>
          <w:rPr>
            <w:rStyle w:val="Hyperlink"/>
          </w:rPr>
          <w:t xml:space="preserve">The relationships between odors and environmental factors at bloom and non-bloom area in lake taihu, china</w:t>
        </w:r>
      </w:hyperlink>
      <w:r>
        <w:t xml:space="preserve">.</w:t>
      </w:r>
      <w:r>
        <w:t xml:space="preserve"> </w:t>
      </w:r>
      <w:r>
        <w:rPr>
          <w:i/>
          <w:iCs/>
        </w:rPr>
        <w:t xml:space="preserve">Chemosphere</w:t>
      </w:r>
      <w:r>
        <w:t xml:space="preserve"> </w:t>
      </w:r>
      <w:r>
        <w:rPr>
          <w:b/>
          <w:bCs/>
        </w:rPr>
        <w:t xml:space="preserve">218</w:t>
      </w:r>
      <w:r>
        <w:t xml:space="preserve">, 569–576 (2019).</w:t>
      </w:r>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94" Target="http://aem.asm.org/content/57/12/3429.abstract" TargetMode="External" /><Relationship Type="http://schemas.openxmlformats.org/officeDocument/2006/relationships/hyperlink" Id="rId110" Target="https://doi.org/10.1002/anie.200702496" TargetMode="External" /><Relationship Type="http://schemas.openxmlformats.org/officeDocument/2006/relationships/hyperlink" Id="rId185" Target="https://doi.org/10.1002/jcp.1041070111" TargetMode="External" /><Relationship Type="http://schemas.openxmlformats.org/officeDocument/2006/relationships/hyperlink" Id="rId212" Target="https://doi.org/10.1007/978-0-387-98141-3_1" TargetMode="External" /><Relationship Type="http://schemas.openxmlformats.org/officeDocument/2006/relationships/hyperlink" Id="rId135" Target="https://doi.org/10.1007/bf00408253" TargetMode="External" /><Relationship Type="http://schemas.openxmlformats.org/officeDocument/2006/relationships/hyperlink" Id="rId147" Target="https://doi.org/10.1007/s10661-021-08980-9" TargetMode="External" /><Relationship Type="http://schemas.openxmlformats.org/officeDocument/2006/relationships/hyperlink" Id="rId128" Target="https://doi.org/10.1007/s10811-008-9363-z" TargetMode="External" /><Relationship Type="http://schemas.openxmlformats.org/officeDocument/2006/relationships/hyperlink" Id="rId139" Target="https://doi.org/10.1007/s10811-016-0864-x" TargetMode="External" /><Relationship Type="http://schemas.openxmlformats.org/officeDocument/2006/relationships/hyperlink" Id="rId153" Target="https://doi.org/10.1007/s10811-017-1233-0" TargetMode="External" /><Relationship Type="http://schemas.openxmlformats.org/officeDocument/2006/relationships/hyperlink" Id="rId230" Target="https://doi.org/10.1007/s11356-019-06188-6" TargetMode="External" /><Relationship Type="http://schemas.openxmlformats.org/officeDocument/2006/relationships/hyperlink" Id="rId236" Target="https://doi.org/10.1007/s11356-020-07896-0" TargetMode="External" /><Relationship Type="http://schemas.openxmlformats.org/officeDocument/2006/relationships/hyperlink" Id="rId224"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20" Target="https://doi.org/10.1016/0273-1223(95)00473-Z" TargetMode="External" /><Relationship Type="http://schemas.openxmlformats.org/officeDocument/2006/relationships/hyperlink" Id="rId141" Target="https://doi.org/10.1016/S0043-1354(00)00363-8" TargetMode="External" /><Relationship Type="http://schemas.openxmlformats.org/officeDocument/2006/relationships/hyperlink" Id="rId96" Target="https://doi.org/10.1016/S0048-9697(01)01049-X" TargetMode="External" /><Relationship Type="http://schemas.openxmlformats.org/officeDocument/2006/relationships/hyperlink" Id="rId92" Target="https://doi.org/10.1016/S0273-1223(99)00538-7" TargetMode="External" /><Relationship Type="http://schemas.openxmlformats.org/officeDocument/2006/relationships/hyperlink" Id="rId189" Target="https://doi.org/10.1016/j.apm.2015.04.016" TargetMode="External" /><Relationship Type="http://schemas.openxmlformats.org/officeDocument/2006/relationships/hyperlink" Id="rId171" Target="https://doi.org/10.1016/j.bpj.2023.11.2493" TargetMode="External" /><Relationship Type="http://schemas.openxmlformats.org/officeDocument/2006/relationships/hyperlink" Id="rId165" Target="https://doi.org/10.1016/j.bse.2014.12.013" TargetMode="External" /><Relationship Type="http://schemas.openxmlformats.org/officeDocument/2006/relationships/hyperlink" Id="rId175" Target="https://doi.org/10.1016/j.ceb.2021.07.011" TargetMode="External" /><Relationship Type="http://schemas.openxmlformats.org/officeDocument/2006/relationships/hyperlink" Id="rId104" Target="https://doi.org/10.1016/j.ceja.2023.100455" TargetMode="External" /><Relationship Type="http://schemas.openxmlformats.org/officeDocument/2006/relationships/hyperlink" Id="rId240" Target="https://doi.org/10.1016/j.chemosphere.2018.11.121" TargetMode="External" /><Relationship Type="http://schemas.openxmlformats.org/officeDocument/2006/relationships/hyperlink" Id="rId149" Target="https://doi.org/10.1016/j.ecoenv.2024.116198" TargetMode="External" /><Relationship Type="http://schemas.openxmlformats.org/officeDocument/2006/relationships/hyperlink" Id="rId195" Target="https://doi.org/10.1016/j.ecolmodel.2023.110475" TargetMode="External" /><Relationship Type="http://schemas.openxmlformats.org/officeDocument/2006/relationships/hyperlink" Id="rId222" Target="https://doi.org/10.1016/j.envpol.2021.118594" TargetMode="External" /><Relationship Type="http://schemas.openxmlformats.org/officeDocument/2006/relationships/hyperlink" Id="rId197" Target="https://doi.org/10.1016/j.hal.2010.03.003" TargetMode="External" /><Relationship Type="http://schemas.openxmlformats.org/officeDocument/2006/relationships/hyperlink" Id="rId163" Target="https://doi.org/10.1016/j.hal.2019.101658" TargetMode="External" /><Relationship Type="http://schemas.openxmlformats.org/officeDocument/2006/relationships/hyperlink" Id="rId216" Target="https://doi.org/10.1016/j.jenvman.2019.04.123" TargetMode="External" /><Relationship Type="http://schemas.openxmlformats.org/officeDocument/2006/relationships/hyperlink" Id="rId112" Target="https://doi.org/10.1016/j.jes.2021.03.026" TargetMode="External" /><Relationship Type="http://schemas.openxmlformats.org/officeDocument/2006/relationships/hyperlink" Id="rId193" Target="https://doi.org/10.1016/j.jtbi.2023.111645" TargetMode="External" /><Relationship Type="http://schemas.openxmlformats.org/officeDocument/2006/relationships/hyperlink" Id="rId169" Target="https://doi.org/10.1016/j.tcb.2012.11.006" TargetMode="External" /><Relationship Type="http://schemas.openxmlformats.org/officeDocument/2006/relationships/hyperlink" Id="rId118" Target="https://doi.org/10.1016/j.watres.2006.10.012" TargetMode="External" /><Relationship Type="http://schemas.openxmlformats.org/officeDocument/2006/relationships/hyperlink" Id="rId84" Target="https://doi.org/10.1016/j.watres.2014.09.037" TargetMode="External" /><Relationship Type="http://schemas.openxmlformats.org/officeDocument/2006/relationships/hyperlink" Id="rId114" Target="https://doi.org/10.1016/j.watres.2014.09.038" TargetMode="External" /><Relationship Type="http://schemas.openxmlformats.org/officeDocument/2006/relationships/hyperlink" Id="rId143" Target="https://doi.org/10.1016/j.watres.2018.10.023" TargetMode="External" /><Relationship Type="http://schemas.openxmlformats.org/officeDocument/2006/relationships/hyperlink" Id="rId214" Target="https://doi.org/10.1016/j.watres.2019.04.004" TargetMode="External" /><Relationship Type="http://schemas.openxmlformats.org/officeDocument/2006/relationships/hyperlink" Id="rId98" Target="https://doi.org/10.1016/j.watres.2019.06.066" TargetMode="External" /><Relationship Type="http://schemas.openxmlformats.org/officeDocument/2006/relationships/hyperlink" Id="rId228" Target="https://doi.org/10.1016/j.watres.2019.114864" TargetMode="External" /><Relationship Type="http://schemas.openxmlformats.org/officeDocument/2006/relationships/hyperlink" Id="rId82" Target="https://doi.org/10.1016/j.watres.2020.116478" TargetMode="External" /><Relationship Type="http://schemas.openxmlformats.org/officeDocument/2006/relationships/hyperlink" Id="rId145" Target="https://doi.org/10.1016/j.watres.2021.117872" TargetMode="External" /><Relationship Type="http://schemas.openxmlformats.org/officeDocument/2006/relationships/hyperlink" Id="rId126" Target="https://doi.org/10.1016/j.watres.2022.118670" TargetMode="External" /><Relationship Type="http://schemas.openxmlformats.org/officeDocument/2006/relationships/hyperlink" Id="rId130" Target="https://doi.org/10.1016/j.watres.2023.119667" TargetMode="External" /><Relationship Type="http://schemas.openxmlformats.org/officeDocument/2006/relationships/hyperlink" Id="rId116" Target="https://doi.org/10.1016/j.watres.2023.120485" TargetMode="External" /><Relationship Type="http://schemas.openxmlformats.org/officeDocument/2006/relationships/hyperlink" Id="rId90" Target="https://doi.org/10.1016/s0273-1223(99)00531-4" TargetMode="External" /><Relationship Type="http://schemas.openxmlformats.org/officeDocument/2006/relationships/hyperlink" Id="rId124" Target="https://doi.org/10.1016/s1001-0742(13)60433-7" TargetMode="External" /><Relationship Type="http://schemas.openxmlformats.org/officeDocument/2006/relationships/hyperlink" Id="rId88" Target="https://doi.org/10.1021/acsestwater.3c00477" TargetMode="External" /><Relationship Type="http://schemas.openxmlformats.org/officeDocument/2006/relationships/hyperlink" Id="rId155" Target="https://doi.org/10.1021/es102992p" TargetMode="External" /><Relationship Type="http://schemas.openxmlformats.org/officeDocument/2006/relationships/hyperlink" Id="rId132" Target="https://doi.org/10.1029/2018wr023651" TargetMode="External" /><Relationship Type="http://schemas.openxmlformats.org/officeDocument/2006/relationships/hyperlink" Id="rId179" Target="https://doi.org/10.1038/nature10999" TargetMode="External" /><Relationship Type="http://schemas.openxmlformats.org/officeDocument/2006/relationships/hyperlink" Id="rId220" Target="https://doi.org/10.1038/s41467-018-05388-x" TargetMode="External" /><Relationship Type="http://schemas.openxmlformats.org/officeDocument/2006/relationships/hyperlink" Id="rId161" Target="https://doi.org/10.1038/s41467-024-54175-4" TargetMode="External" /><Relationship Type="http://schemas.openxmlformats.org/officeDocument/2006/relationships/hyperlink" Id="rId232" Target="https://doi.org/10.1038/s41545-022-00181-2" TargetMode="External" /><Relationship Type="http://schemas.openxmlformats.org/officeDocument/2006/relationships/hyperlink" Id="rId173" Target="https://doi.org/10.1038/s41556-024-01415-w" TargetMode="External" /><Relationship Type="http://schemas.openxmlformats.org/officeDocument/2006/relationships/hyperlink" Id="rId181" Target="https://doi.org/10.1038/sj.onc.1207325" TargetMode="External" /><Relationship Type="http://schemas.openxmlformats.org/officeDocument/2006/relationships/hyperlink" Id="rId167" Target="https://doi.org/10.1046/j.1529-8817.1999.3561422.x" TargetMode="External" /><Relationship Type="http://schemas.openxmlformats.org/officeDocument/2006/relationships/hyperlink" Id="rId159" Target="https://doi.org/10.1073/pnas.0802312105" TargetMode="External" /><Relationship Type="http://schemas.openxmlformats.org/officeDocument/2006/relationships/hyperlink" Id="rId108" Target="https://doi.org/10.1073/pnas.1422108112" TargetMode="External" /><Relationship Type="http://schemas.openxmlformats.org/officeDocument/2006/relationships/hyperlink" Id="rId191" Target="https://doi.org/10.1080/10408699891274246" TargetMode="External" /><Relationship Type="http://schemas.openxmlformats.org/officeDocument/2006/relationships/hyperlink" Id="rId199" Target="https://doi.org/10.1081/ese-200048262" TargetMode="External" /><Relationship Type="http://schemas.openxmlformats.org/officeDocument/2006/relationships/hyperlink" Id="rId226" Target="https://doi.org/10.1111/are.15568" TargetMode="External" /><Relationship Type="http://schemas.openxmlformats.org/officeDocument/2006/relationships/hyperlink" Id="rId183" Target="https://doi.org/10.1111/gtc.12461" TargetMode="External" /><Relationship Type="http://schemas.openxmlformats.org/officeDocument/2006/relationships/hyperlink" Id="rId177" Target="https://doi.org/10.1111/j.1365-2184.1984.tb00604.x" TargetMode="External" /><Relationship Type="http://schemas.openxmlformats.org/officeDocument/2006/relationships/hyperlink" Id="rId218" Target="https://doi.org/10.1111/j.1529-8817.1993.tb00285.x" TargetMode="External" /><Relationship Type="http://schemas.openxmlformats.org/officeDocument/2006/relationships/hyperlink" Id="rId122" Target="https://doi.org/10.1128/aem.02250-06" TargetMode="External" /><Relationship Type="http://schemas.openxmlformats.org/officeDocument/2006/relationships/hyperlink" Id="rId106" Target="https://doi.org/10.1139/f76-004" TargetMode="External" /><Relationship Type="http://schemas.openxmlformats.org/officeDocument/2006/relationships/hyperlink" Id="rId238" Target="https://doi.org/10.1186/s12302-018-0175-8" TargetMode="External" /><Relationship Type="http://schemas.openxmlformats.org/officeDocument/2006/relationships/hyperlink" Id="rId207" Target="https://doi.org/10.1201/9781003080978-1" TargetMode="External" /><Relationship Type="http://schemas.openxmlformats.org/officeDocument/2006/relationships/hyperlink" Id="rId210" Target="https://doi.org/10.1201/9781315120256" TargetMode="External" /><Relationship Type="http://schemas.openxmlformats.org/officeDocument/2006/relationships/hyperlink" Id="rId157" Target="https://doi.org/10.1371/journal.pone.0018665" TargetMode="External" /><Relationship Type="http://schemas.openxmlformats.org/officeDocument/2006/relationships/hyperlink" Id="rId187" Target="https://doi.org/10.1371/journal.pone.0178691" TargetMode="External" /><Relationship Type="http://schemas.openxmlformats.org/officeDocument/2006/relationships/hyperlink" Id="rId101" Target="https://doi.org/10.2166/wpt.2022.167" TargetMode="External" /><Relationship Type="http://schemas.openxmlformats.org/officeDocument/2006/relationships/hyperlink" Id="rId86" Target="https://doi.org/10.2166/wst.2004.0524" TargetMode="External" /><Relationship Type="http://schemas.openxmlformats.org/officeDocument/2006/relationships/hyperlink" Id="rId151" Target="https://doi.org/10.4014/jmb.1702.02069" TargetMode="External" /><Relationship Type="http://schemas.openxmlformats.org/officeDocument/2006/relationships/hyperlink" Id="rId234"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205"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2025-09-24T14:36:34Z</dcterms:created>
  <dcterms:modified xsi:type="dcterms:W3CDTF">2025-09-24T14:36:34Z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_extensions/drwater/dwinst/nature.csl</vt:lpwstr>
  </property>
  <property fmtid="{D5CDD505-2E9C-101B-9397-08002B2CF9AE}" pid="13" name="doublespacing">
    <vt:lpwstr>True</vt:lpwstr>
  </property>
  <property fmtid="{D5CDD505-2E9C-101B-9397-08002B2CF9AE}" pid="14" name="endfloat">
    <vt:lpwstr>True</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isMS">
    <vt:lpwstr>True</vt:lpwstr>
  </property>
  <property fmtid="{D5CDD505-2E9C-101B-9397-08002B2CF9AE}" pid="19" name="knitr">
    <vt:lpwstr/>
  </property>
  <property fmtid="{D5CDD505-2E9C-101B-9397-08002B2CF9AE}" pid="20" name="labels">
    <vt:lpwstr/>
  </property>
  <property fmtid="{D5CDD505-2E9C-101B-9397-08002B2CF9AE}" pid="21" name="lightbox">
    <vt:lpwstr>auto</vt:lpwstr>
  </property>
  <property fmtid="{D5CDD505-2E9C-101B-9397-08002B2CF9AE}" pid="22" name="linenumber">
    <vt:lpwstr>True</vt:lpwstr>
  </property>
  <property fmtid="{D5CDD505-2E9C-101B-9397-08002B2CF9AE}" pid="23" name="msname">
    <vt:lpwstr>MS</vt:lpwstr>
  </property>
  <property fmtid="{D5CDD505-2E9C-101B-9397-08002B2CF9AE}" pid="24" name="revealjs-plugins">
    <vt:lpwstr/>
  </property>
  <property fmtid="{D5CDD505-2E9C-101B-9397-08002B2CF9AE}" pid="25" name="smname">
    <vt:lpwstr>SM</vt:lpwstr>
  </property>
  <property fmtid="{D5CDD505-2E9C-101B-9397-08002B2CF9AE}" pid="26" name="submitid">
    <vt:lpwstr/>
  </property>
  <property fmtid="{D5CDD505-2E9C-101B-9397-08002B2CF9AE}" pid="27" name="submitjournal">
    <vt:lpwstr>Journal of Hazardous Materials</vt:lpwstr>
  </property>
  <property fmtid="{D5CDD505-2E9C-101B-9397-08002B2CF9AE}" pid="28" name="toc-title">
    <vt:lpwstr>Table of contents</vt:lpwstr>
  </property>
</Properties>
</file>