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 [Considering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 {.clab options=</w:t>
      </w:r>
      <w:r>
        <w:t xml:space="preserve">“r2q0901”</w:t>
      </w:r>
      <w:r>
        <w:t xml:space="preserve">}</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 [Total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 {.clab options=</w:t>
      </w:r>
      <w:r>
        <w:t xml:space="preserve">“r2q1101”</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 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P350 workstation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69</w:t>
      </w:r>
      <w:r>
        <w:t xml:space="preserve">) and quantile regression (</w:t>
      </w:r>
      <w:r>
        <w:rPr>
          <w:rStyle w:val="VerbatimChar"/>
        </w:rPr>
        <w:t xml:space="preserve">quantreg</w:t>
      </w:r>
      <w:r>
        <w:t xml:space="preserve">;</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2025-09-24T14:20:47Z</dcterms:created>
  <dcterms:modified xsi:type="dcterms:W3CDTF">2025-09-24T14:20:47Z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