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100049, [Str "100049"].</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rPr>
          <w:vertAlign w:val="superscript"/>
        </w:rP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rPr>
          <w:vertAlign w:val="superscript"/>
        </w:rPr>
        <w:t xml:space="preserve">4–12</w:t>
      </w:r>
      <w:r>
        <w:t xml:space="preserve">.</w:t>
      </w:r>
      <w:r>
        <w:t xml:space="preserve"> </w:t>
      </w:r>
      <w:r>
        <w:t xml:space="preserve">This compound is produced by various microorganisms, including actinomycetes</w:t>
      </w:r>
      <w:r>
        <w:rPr>
          <w:vertAlign w:val="superscript"/>
        </w:rPr>
        <w:t xml:space="preserve">13,14</w:t>
      </w:r>
      <w:r>
        <w:t xml:space="preserve">, cyanobacteria</w:t>
      </w:r>
      <w:r>
        <w:rPr>
          <w:vertAlign w:val="superscript"/>
        </w:rPr>
        <w:t xml:space="preserve">15</w:t>
      </w:r>
      <w:r>
        <w:t xml:space="preserve">, fungi</w:t>
      </w:r>
      <w:r>
        <w:rPr>
          <w:vertAlign w:val="superscript"/>
        </w:rPr>
        <w:t xml:space="preserve">16</w:t>
      </w:r>
      <w:r>
        <w:t xml:space="preserve">, and myxobacteria</w:t>
      </w:r>
      <w:r>
        <w:rPr>
          <w:vertAlign w:val="superscript"/>
        </w:rP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rPr>
          <w:vertAlign w:val="superscript"/>
        </w:rP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29,30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31,32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rPr>
          <w:vertAlign w:val="superscript"/>
        </w:rP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rPr>
          <w:vertAlign w:val="superscript"/>
        </w:rP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32,37–39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rPr>
          <w:vertAlign w:val="superscript"/>
        </w:rP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25,37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32,44,45</w:t>
      </w:r>
      <w:r>
        <w:t xml:space="preserve">. One hypothesis suggests that cyanobacteria may increase extracellular MIB release under stress to inhibit competing algal species, thereby maintaining ecological dominance</w:t>
      </w:r>
      <w:r>
        <w:rPr>
          <w:vertAlign w:val="superscript"/>
        </w:rPr>
        <w:t xml:space="preserve">45</w:t>
      </w:r>
      <w:r>
        <w:t xml:space="preserve">. Alternatively, extracellular MIB may simply result from cell damage or death under adverse conditions</w:t>
      </w:r>
      <w:r>
        <w:rPr>
          <w:vertAlign w:val="superscript"/>
        </w:rPr>
        <w:t xml:space="preserve">32,46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47–50</w:t>
      </w:r>
      <w:r>
        <w:t xml:space="preserve">. Crowding-induced growth limitation arises from resource competition, spatial constraints, and cell cycle arrest</w:t>
      </w:r>
      <w:r>
        <w:rPr>
          <w:vertAlign w:val="superscript"/>
        </w:rPr>
        <w:t xml:space="preserve">51,52</w:t>
      </w:r>
      <w:r>
        <w:t xml:space="preserve">, while cell death may result from programmed cell death, metabolic stress, mechanical damage, or cell-to-cell interactions</w:t>
      </w:r>
      <w:r>
        <w:rPr>
          <w:vertAlign w:val="superscript"/>
        </w:rP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56–58</w:t>
      </w:r>
      <w:r>
        <w:t xml:space="preserve">. This model is particularly useful for analyzing shifts in metabolic activity and the timing of metabolite release, making it well-suited for studying MIB dynamics</w:t>
      </w:r>
      <w:r>
        <w:rPr>
          <w:vertAlign w:val="superscript"/>
        </w:rPr>
        <w:t xml:space="preserve">59,60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61</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rPr>
          <w:vertAlign w:val="superscript"/>
        </w:rPr>
        <w:t xml:space="preserve">19,35,62</w:t>
      </w:r>
      <w:r>
        <w:t xml:space="preserve">.</w:t>
      </w:r>
    </w:p>
    <w:p>
      <w:pPr>
        <w:pStyle w:val="BodyText"/>
      </w:pPr>
      <w:r>
        <w:t xml:space="preserve">For phytoplankton enumeration, subsamples (1000 mL) were fixed with 5% Lugol’s iodine solution</w:t>
      </w:r>
      <w:r>
        <w:rPr>
          <w:vertAlign w:val="superscript"/>
        </w:rPr>
        <w:t xml:space="preserve">63</w:t>
      </w:r>
      <w:r>
        <w:t xml:space="preserve">, settled for 48 hours, and pre-concentrated 20-fold before analysis.</w:t>
      </w:r>
      <w:r>
        <w:t xml:space="preserve"> </w:t>
      </w:r>
      <w:r>
        <w:t xml:space="preserve">Cyanobacterial species were identified based on morphological criteria</w:t>
      </w:r>
      <w:r>
        <w:rPr>
          <w:vertAlign w:val="superscript"/>
        </w:rPr>
        <w:t xml:space="preserve">64</w:t>
      </w:r>
      <w:r>
        <w:t xml:space="preserve">, with taxonomic revisions following ref</w:t>
      </w:r>
      <w:r>
        <w:rPr>
          <w:vertAlign w:val="superscript"/>
        </w:rPr>
        <w:t xml:space="preserve">65</w:t>
      </w:r>
      <w:r>
        <w:t xml:space="preserve">. Cell counts were performed using an upright microscope (Olympus BX53, Japan) following the Utermöhl method</w:t>
      </w:r>
      <w:r>
        <w:rPr>
          <w:vertAlign w:val="superscript"/>
        </w:rP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58,60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67</w:t>
      </w:r>
      <w:r>
        <w:t xml:space="preserve">. Data preprocessing and summarization used</w:t>
      </w:r>
      <w:r>
        <w:t xml:space="preserve"> </w:t>
      </w:r>
      <w:r>
        <w:rPr>
          <w:rStyle w:val="VerbatimChar"/>
        </w:rPr>
        <w:t xml:space="preserve">dplyr</w:t>
      </w:r>
      <w:r>
        <w:rPr>
          <w:vertAlign w:val="superscript"/>
        </w:rP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69</w:t>
      </w:r>
      <w:r>
        <w:t xml:space="preserve">) and quantile regression (</w:t>
      </w:r>
      <w:r>
        <w:rPr>
          <w:rStyle w:val="VerbatimChar"/>
        </w:rPr>
        <w:t xml:space="preserve">quantreg</w:t>
      </w:r>
      <w:r>
        <w:t xml:space="preserve">;</w:t>
      </w:r>
      <w:r>
        <w:rPr>
          <w:vertAlign w:val="superscript"/>
        </w:rPr>
        <w:t xml:space="preserve">70</w:t>
      </w:r>
      <w:r>
        <w:t xml:space="preserve">) were applied where appropriate. Figures were generated using</w:t>
      </w:r>
      <w:r>
        <w:t xml:space="preserve"> </w:t>
      </w:r>
      <w:r>
        <w:rPr>
          <w:rStyle w:val="VerbatimChar"/>
        </w:rPr>
        <w:t xml:space="preserve">ggplot2</w:t>
      </w:r>
      <w:r>
        <w:rPr>
          <w:vertAlign w:val="superscript"/>
        </w:rP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27</w:t>
            </w:r>
            <w:r>
              <w:t xml:space="preserve"> </w:t>
            </w:r>
            <w:r>
              <w:t xml:space="preserve">and</w:t>
            </w:r>
            <w:r>
              <w:rPr>
                <w:vertAlign w:val="superscript"/>
              </w:rP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72,73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74</w:t>
      </w:r>
      <w:r>
        <w:t xml:space="preserve">. The major mechanism of MIB release is cell lysis, occurring either through programmed cell death or mechanical rupture of the cell wall</w:t>
      </w:r>
      <w:r>
        <w:rPr>
          <w:vertAlign w:val="superscript"/>
        </w:rPr>
        <w:t xml:space="preserve">32,37,39,46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32,37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76,77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rPr>
          <w:vertAlign w:val="superscript"/>
        </w:rPr>
        <w:t xml:space="preserve">78–80</w:t>
      </w:r>
      <w:r>
        <w:t xml:space="preserve">, benefiting from minimal competition and resulting in spring MIB peaks. In the Shanghai QCS Reservoir, located at the same latitude, an MIB outbreak caused by Pseudoanabaena was observed at the end of April</w:t>
      </w:r>
      <w:r>
        <w:rPr>
          <w:vertAlign w:val="superscript"/>
        </w:rP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81,82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rPr>
          <w:vertAlign w:val="superscript"/>
        </w:rPr>
        <w:t xml:space="preserve">77,81,83,84</w:t>
      </w:r>
      <w:r>
        <w:t xml:space="preserve">. This ecological succession aligns with observed microcystin concentration trends</w:t>
      </w:r>
      <w:r>
        <w:rPr>
          <w:vertAlign w:val="superscript"/>
        </w:rPr>
        <w:t xml:space="preserve">76</w:t>
      </w:r>
      <w:r>
        <w:t xml:space="preserve"> </w:t>
      </w:r>
      <w:r>
        <w:t xml:space="preserve">and documented phytoplankton community shifts</w:t>
      </w:r>
      <w:r>
        <w:rPr>
          <w:vertAlign w:val="superscript"/>
        </w:rP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dionigi1991effects"/>
    <w:p>
      <w:pPr>
        <w:pStyle w:val="Bibliography"/>
      </w:pPr>
      <w:r>
        <w:t xml:space="preserve">8.</w:t>
      </w:r>
      <w:r>
        <w:t xml:space="preserve"> </w:t>
      </w:r>
      <w:r>
        <w:t xml:space="preserve">	</w:t>
      </w:r>
      <w:r>
        <w:t xml:space="preserve">Dionigi, C. P., Millie, D. F. &amp; Johnsen, P. B.</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w:t>
      </w:r>
      <w:r>
        <w:t xml:space="preserve"> </w:t>
      </w:r>
      <w:r>
        <w:rPr>
          <w:i/>
          <w:iCs/>
        </w:rPr>
        <w:t xml:space="preserve">Applied and Environmental Microbiology</w:t>
      </w:r>
      <w:r>
        <w:t xml:space="preserve"> </w:t>
      </w:r>
      <w:r>
        <w:rPr>
          <w:b/>
          <w:bCs/>
        </w:rPr>
        <w:t xml:space="preserve">57</w:t>
      </w:r>
      <w:r>
        <w:t xml:space="preserve">, 3429–3432 (1991).</w:t>
      </w:r>
    </w:p>
    <w:bookmarkEnd w:id="95"/>
    <w:bookmarkStart w:id="97" w:name="ref-lin2002correlation"/>
    <w:p>
      <w:pPr>
        <w:pStyle w:val="Bibliography"/>
      </w:pPr>
      <w:r>
        <w:t xml:space="preserve">9.</w:t>
      </w:r>
      <w:r>
        <w:t xml:space="preserve"> </w:t>
      </w:r>
      <w:r>
        <w:t xml:space="preserve">	</w:t>
      </w:r>
      <w:r>
        <w:t xml:space="preserve">Lin, T.-F., Wong, J.-Y. &amp; Kao, H.-P.</w:t>
      </w:r>
      <w:r>
        <w:t xml:space="preserve"> </w:t>
      </w:r>
      <w:hyperlink r:id="rId96">
        <w:r>
          <w:rPr>
            <w:rStyle w:val="Hyperlink"/>
          </w:rPr>
          <w:t xml:space="preserve">Correlation of musty odor and 2-</w:t>
        </w:r>
        <w:r>
          <w:rPr>
            <w:rStyle w:val="Hyperlink"/>
          </w:rPr>
          <w:t xml:space="preserve">MIB</w:t>
        </w:r>
        <w:r>
          <w:rPr>
            <w:rStyle w:val="Hyperlink"/>
          </w:rPr>
          <w:t xml:space="preserve"> </w:t>
        </w:r>
        <w:r>
          <w:rPr>
            <w:rStyle w:val="Hyperlink"/>
          </w:rPr>
          <w:t xml:space="preserve">in two drinking water treatment plants in south taiwan</w:t>
        </w:r>
      </w:hyperlink>
      <w:r>
        <w:t xml:space="preserve">.</w:t>
      </w:r>
      <w:r>
        <w:t xml:space="preserve"> </w:t>
      </w:r>
      <w:r>
        <w:rPr>
          <w:i/>
          <w:iCs/>
        </w:rPr>
        <w:t xml:space="preserve">Science of the Total Environment</w:t>
      </w:r>
      <w:r>
        <w:t xml:space="preserve"> </w:t>
      </w:r>
      <w:r>
        <w:rPr>
          <w:b/>
          <w:bCs/>
        </w:rPr>
        <w:t xml:space="preserve">289</w:t>
      </w:r>
      <w:r>
        <w:t xml:space="preserve">, 225–235 (2002).</w:t>
      </w:r>
    </w:p>
    <w:bookmarkEnd w:id="97"/>
    <w:bookmarkStart w:id="99" w:name="ref-li2019variation"/>
    <w:p>
      <w:pPr>
        <w:pStyle w:val="Bibliography"/>
      </w:pPr>
      <w:r>
        <w:t xml:space="preserve">10.</w:t>
      </w:r>
      <w:r>
        <w:t xml:space="preserve"> </w:t>
      </w:r>
      <w:r>
        <w:t xml:space="preserve">	</w:t>
      </w:r>
      <w:r>
        <w:t xml:space="preserve">Li, L., Yang, S., Yu, S. &amp; Zhang, Y.</w:t>
      </w:r>
      <w:r>
        <w:t xml:space="preserve"> </w:t>
      </w:r>
      <w:hyperlink r:id="rId98">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9"/>
    <w:bookmarkStart w:id="100" w:name="ref-american2010algae"/>
    <w:p>
      <w:pPr>
        <w:pStyle w:val="Bibliography"/>
      </w:pPr>
      <w:r>
        <w:t xml:space="preserve">11.</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0"/>
    <w:bookmarkStart w:id="102" w:name="ref-ceronvivas2022geosmin"/>
    <w:p>
      <w:pPr>
        <w:pStyle w:val="Bibliography"/>
      </w:pPr>
      <w:r>
        <w:t xml:space="preserve">12.</w:t>
      </w:r>
      <w:r>
        <w:t xml:space="preserve"> </w:t>
      </w:r>
      <w:r>
        <w:t xml:space="preserve">	</w:t>
      </w:r>
      <w:r>
        <w:t xml:space="preserve">Cerón-Vivas, A., Villamizar León, M. P. &amp; Cajigas, Á. A.</w:t>
      </w:r>
      <w:r>
        <w:t xml:space="preserve"> </w:t>
      </w:r>
      <w:hyperlink r:id="rId101">
        <w:r>
          <w:rPr>
            <w:rStyle w:val="Hyperlink"/>
          </w:rPr>
          <w:t xml:space="preserve">Geosmin and 2-methylisoborneol removal in drinking water treatment</w:t>
        </w:r>
      </w:hyperlink>
      <w:r>
        <w:t xml:space="preserve">.</w:t>
      </w:r>
      <w:r>
        <w:t xml:space="preserve"> </w:t>
      </w:r>
      <w:r>
        <w:rPr>
          <w:i/>
          <w:iCs/>
        </w:rPr>
        <w:t xml:space="preserve">Water Practice and Technology</w:t>
      </w:r>
      <w:r>
        <w:t xml:space="preserve"> </w:t>
      </w:r>
      <w:r>
        <w:rPr>
          <w:b/>
          <w:bCs/>
        </w:rPr>
        <w:t xml:space="preserve">18</w:t>
      </w:r>
      <w:r>
        <w:t xml:space="preserve">, 159–167 (2022).</w:t>
      </w:r>
    </w:p>
    <w:bookmarkEnd w:id="102"/>
    <w:bookmarkStart w:id="103" w:name="ref-gerber1969a"/>
    <w:p>
      <w:pPr>
        <w:pStyle w:val="Bibliography"/>
      </w:pPr>
      <w:r>
        <w:t xml:space="preserve">13.</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103"/>
    <w:bookmarkStart w:id="105" w:name="ref-franklin2023potential"/>
    <w:p>
      <w:pPr>
        <w:pStyle w:val="Bibliography"/>
      </w:pPr>
      <w:r>
        <w:t xml:space="preserve">14.</w:t>
      </w:r>
      <w:r>
        <w:t xml:space="preserve"> </w:t>
      </w:r>
      <w:r>
        <w:t xml:space="preserve">	</w:t>
      </w:r>
      <w:r>
        <w:t xml:space="preserve">Franklin, H. M.</w:t>
      </w:r>
      <w:r>
        <w:t xml:space="preserve"> </w:t>
      </w:r>
      <w:r>
        <w:rPr>
          <w:i/>
          <w:iCs/>
        </w:rPr>
        <w:t xml:space="preserve">et al.</w:t>
      </w:r>
      <w:r>
        <w:t xml:space="preserve"> </w:t>
      </w:r>
      <w:hyperlink r:id="rId104">
        <w:r>
          <w:rPr>
            <w:rStyle w:val="Hyperlink"/>
          </w:rPr>
          <w:t xml:space="preserve">Potential sources and producers of 2-methylisoborneol and geosmin in a river supplying a drinking water treatment plant</w:t>
        </w:r>
      </w:hyperlink>
      <w:r>
        <w:t xml:space="preserve">.</w:t>
      </w:r>
      <w:r>
        <w:t xml:space="preserve"> </w:t>
      </w:r>
      <w:r>
        <w:rPr>
          <w:i/>
          <w:iCs/>
        </w:rPr>
        <w:t xml:space="preserve">Chemical Engineering Journal Advances</w:t>
      </w:r>
      <w:r>
        <w:t xml:space="preserve"> </w:t>
      </w:r>
      <w:r>
        <w:rPr>
          <w:b/>
          <w:bCs/>
        </w:rPr>
        <w:t xml:space="preserve">14</w:t>
      </w:r>
      <w:r>
        <w:t xml:space="preserve">, 100455 (2023).</w:t>
      </w:r>
    </w:p>
    <w:bookmarkEnd w:id="105"/>
    <w:bookmarkStart w:id="107" w:name="ref-tabachek1976isolation"/>
    <w:p>
      <w:pPr>
        <w:pStyle w:val="Bibliography"/>
      </w:pPr>
      <w:r>
        <w:t xml:space="preserve">15.</w:t>
      </w:r>
      <w:r>
        <w:t xml:space="preserve"> </w:t>
      </w:r>
      <w:r>
        <w:t xml:space="preserve">	</w:t>
      </w:r>
      <w:r>
        <w:t xml:space="preserve">Tabachek, J. L. &amp; Yurkowski, M.</w:t>
      </w:r>
      <w:r>
        <w:t xml:space="preserve"> </w:t>
      </w:r>
      <w:hyperlink r:id="rId106">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7"/>
    <w:bookmarkStart w:id="109" w:name="ref-yamada2014terpene"/>
    <w:p>
      <w:pPr>
        <w:pStyle w:val="Bibliography"/>
      </w:pPr>
      <w:r>
        <w:t xml:space="preserve">16.</w:t>
      </w:r>
      <w:r>
        <w:t xml:space="preserve"> </w:t>
      </w:r>
      <w:r>
        <w:t xml:space="preserve">	</w:t>
      </w:r>
      <w:r>
        <w:t xml:space="preserve">Yamada, Y.</w:t>
      </w:r>
      <w:r>
        <w:t xml:space="preserve"> </w:t>
      </w:r>
      <w:r>
        <w:rPr>
          <w:i/>
          <w:iCs/>
        </w:rPr>
        <w:t xml:space="preserve">et al.</w:t>
      </w:r>
      <w:r>
        <w:t xml:space="preserve"> </w:t>
      </w:r>
      <w:hyperlink r:id="rId108">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9"/>
    <w:bookmarkStart w:id="111" w:name="ref-dickschat2007biosynthesis"/>
    <w:p>
      <w:pPr>
        <w:pStyle w:val="Bibliography"/>
      </w:pPr>
      <w:r>
        <w:t xml:space="preserve">17.</w:t>
      </w:r>
      <w:r>
        <w:t xml:space="preserve"> </w:t>
      </w:r>
      <w:r>
        <w:t xml:space="preserve">	</w:t>
      </w:r>
      <w:r>
        <w:t xml:space="preserve">Dickschat, Jeroen s.</w:t>
      </w:r>
      <w:r>
        <w:t xml:space="preserve"> </w:t>
      </w:r>
      <w:r>
        <w:rPr>
          <w:i/>
          <w:iCs/>
        </w:rPr>
        <w:t xml:space="preserve">et al.</w:t>
      </w:r>
      <w:r>
        <w:t xml:space="preserve"> </w:t>
      </w:r>
      <w:hyperlink r:id="rId110">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11"/>
    <w:bookmarkStart w:id="113" w:name="ref-su2021ecological"/>
    <w:p>
      <w:pPr>
        <w:pStyle w:val="Bibliography"/>
      </w:pPr>
      <w:r>
        <w:t xml:space="preserve">18.</w:t>
      </w:r>
      <w:r>
        <w:t xml:space="preserve"> </w:t>
      </w:r>
      <w:r>
        <w:t xml:space="preserve">	</w:t>
      </w:r>
      <w:r>
        <w:t xml:space="preserve">Su, M.</w:t>
      </w:r>
      <w:r>
        <w:t xml:space="preserve"> </w:t>
      </w:r>
      <w:r>
        <w:rPr>
          <w:i/>
          <w:iCs/>
        </w:rPr>
        <w:t xml:space="preserve">et al.</w:t>
      </w:r>
      <w:r>
        <w:t xml:space="preserve"> </w:t>
      </w:r>
      <w:hyperlink r:id="rId112">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13"/>
    <w:bookmarkStart w:id="115" w:name="ref-su2015mib"/>
    <w:p>
      <w:pPr>
        <w:pStyle w:val="Bibliography"/>
      </w:pPr>
      <w:r>
        <w:t xml:space="preserve">19.</w:t>
      </w:r>
      <w:r>
        <w:t xml:space="preserve"> </w:t>
      </w:r>
      <w:r>
        <w:t xml:space="preserve">	</w:t>
      </w:r>
      <w:r>
        <w:t xml:space="preserve">Su, M.</w:t>
      </w:r>
      <w:r>
        <w:t xml:space="preserve"> </w:t>
      </w:r>
      <w:r>
        <w:rPr>
          <w:i/>
          <w:iCs/>
        </w:rPr>
        <w:t xml:space="preserve">et al.</w:t>
      </w:r>
      <w:r>
        <w:t xml:space="preserve"> </w:t>
      </w:r>
      <w:hyperlink r:id="rId114">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15"/>
    <w:bookmarkStart w:id="117" w:name="ref-lu2023mibderived"/>
    <w:p>
      <w:pPr>
        <w:pStyle w:val="Bibliography"/>
      </w:pPr>
      <w:r>
        <w:t xml:space="preserve">20.</w:t>
      </w:r>
      <w:r>
        <w:t xml:space="preserve"> </w:t>
      </w:r>
      <w:r>
        <w:t xml:space="preserve">	</w:t>
      </w:r>
      <w:r>
        <w:t xml:space="preserve">Lu, J.</w:t>
      </w:r>
      <w:r>
        <w:t xml:space="preserve"> </w:t>
      </w:r>
      <w:r>
        <w:rPr>
          <w:i/>
          <w:iCs/>
        </w:rPr>
        <w:t xml:space="preserve">et al.</w:t>
      </w:r>
      <w:r>
        <w:t xml:space="preserve"> </w:t>
      </w:r>
      <w:hyperlink r:id="rId116">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7"/>
    <w:bookmarkStart w:id="119" w:name="ref-izaguirre2007benthic"/>
    <w:p>
      <w:pPr>
        <w:pStyle w:val="Bibliography"/>
      </w:pPr>
      <w:r>
        <w:t xml:space="preserve">21.</w:t>
      </w:r>
      <w:r>
        <w:t xml:space="preserve"> </w:t>
      </w:r>
      <w:r>
        <w:t xml:space="preserve">	</w:t>
      </w:r>
      <w:r>
        <w:t xml:space="preserve">Izaguirre, G., Jungblut, A. &amp; Neilan, B. A.</w:t>
      </w:r>
      <w:r>
        <w:t xml:space="preserve"> </w:t>
      </w:r>
      <w:hyperlink r:id="rId118">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9"/>
    <w:bookmarkStart w:id="121" w:name="ref-vanderploeg1995biology"/>
    <w:p>
      <w:pPr>
        <w:pStyle w:val="Bibliography"/>
      </w:pPr>
      <w:r>
        <w:t xml:space="preserve">22.</w:t>
      </w:r>
      <w:r>
        <w:t xml:space="preserve"> </w:t>
      </w:r>
      <w:r>
        <w:t xml:space="preserve">	</w:t>
      </w:r>
      <w:r>
        <w:t xml:space="preserve">Van Der Ploeg, M., Dennis, M. &amp; De Regt, M.</w:t>
      </w:r>
      <w:r>
        <w:t xml:space="preserve"> </w:t>
      </w:r>
      <w:hyperlink r:id="rId120">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21"/>
    <w:bookmarkStart w:id="123" w:name="ref-juttner2007biochemical"/>
    <w:p>
      <w:pPr>
        <w:pStyle w:val="Bibliography"/>
      </w:pPr>
      <w:r>
        <w:t xml:space="preserve">23.</w:t>
      </w:r>
      <w:r>
        <w:t xml:space="preserve"> </w:t>
      </w:r>
      <w:r>
        <w:t xml:space="preserve">	</w:t>
      </w:r>
      <w:r>
        <w:t xml:space="preserve">Jüttner, F. &amp; Watson, S. B.</w:t>
      </w:r>
      <w:r>
        <w:t xml:space="preserve"> </w:t>
      </w:r>
      <w:hyperlink r:id="rId122">
        <w:r>
          <w:rPr>
            <w:rStyle w:val="Hyperlink"/>
          </w:rPr>
          <w:t xml:space="preserve">Biochemical and ecological control of geosmin and 2-methylisoborneol in source waters</w:t>
        </w:r>
      </w:hyperlink>
      <w:r>
        <w:t xml:space="preserve">.</w:t>
      </w:r>
      <w:r>
        <w:t xml:space="preserve"> </w:t>
      </w:r>
      <w:r>
        <w:rPr>
          <w:i/>
          <w:iCs/>
        </w:rPr>
        <w:t xml:space="preserve">Applied and Environmental Microbiology</w:t>
      </w:r>
      <w:r>
        <w:t xml:space="preserve"> </w:t>
      </w:r>
      <w:r>
        <w:rPr>
          <w:b/>
          <w:bCs/>
        </w:rPr>
        <w:t xml:space="preserve">73</w:t>
      </w:r>
      <w:r>
        <w:t xml:space="preserve">, 4395–4406 (2007).</w:t>
      </w:r>
    </w:p>
    <w:bookmarkEnd w:id="123"/>
    <w:bookmarkStart w:id="125" w:name="ref-su2014spatial"/>
    <w:p>
      <w:pPr>
        <w:pStyle w:val="Bibliography"/>
      </w:pPr>
      <w:r>
        <w:t xml:space="preserve">24.</w:t>
      </w:r>
      <w:r>
        <w:t xml:space="preserve"> </w:t>
      </w:r>
      <w:r>
        <w:t xml:space="preserve">	</w:t>
      </w:r>
      <w:r>
        <w:t xml:space="preserve">Su, M., Yu, J., Pan, S., An, W. &amp; Yang, M.</w:t>
      </w:r>
      <w:r>
        <w:t xml:space="preserve"> </w:t>
      </w:r>
      <w:hyperlink r:id="rId124">
        <w:r>
          <w:rPr>
            <w:rStyle w:val="Hyperlink"/>
          </w:rPr>
          <w:t xml:space="preserve">Spatial and temporal variations of two cyanobacteria in the mesotrophic</w:t>
        </w:r>
        <w:r>
          <w:rPr>
            <w:rStyle w:val="Hyperlink"/>
          </w:rPr>
          <w:t xml:space="preserve"> </w:t>
        </w:r>
        <w:r>
          <w:rPr>
            <w:rStyle w:val="Hyperlink"/>
          </w:rPr>
          <w:t xml:space="preserve">Miyun Reservoir</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Journal of Environmental Sciences</w:t>
      </w:r>
      <w:r>
        <w:t xml:space="preserve"> </w:t>
      </w:r>
      <w:r>
        <w:rPr>
          <w:b/>
          <w:bCs/>
        </w:rPr>
        <w:t xml:space="preserve">26</w:t>
      </w:r>
      <w:r>
        <w:t xml:space="preserve">, 289–298 (2014).</w:t>
      </w:r>
    </w:p>
    <w:bookmarkEnd w:id="125"/>
    <w:bookmarkStart w:id="127" w:name="ref-lu2022driving"/>
    <w:p>
      <w:pPr>
        <w:pStyle w:val="Bibliography"/>
      </w:pPr>
      <w:r>
        <w:t xml:space="preserve">25.</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26">
        <w:r>
          <w:rPr>
            <w:rStyle w:val="Hyperlink"/>
          </w:rPr>
          <w:t xml:space="preserve">10.1016/j.watres.2022.118670</w:t>
        </w:r>
      </w:hyperlink>
      <w:r>
        <w:t xml:space="preserve">.</w:t>
      </w:r>
    </w:p>
    <w:bookmarkEnd w:id="127"/>
    <w:bookmarkStart w:id="129" w:name="ref-zhang2009effects"/>
    <w:p>
      <w:pPr>
        <w:pStyle w:val="Bibliography"/>
      </w:pPr>
      <w:r>
        <w:t xml:space="preserve">26.</w:t>
      </w:r>
      <w:r>
        <w:t xml:space="preserve"> </w:t>
      </w:r>
      <w:r>
        <w:t xml:space="preserve">	</w:t>
      </w:r>
      <w:r>
        <w:t xml:space="preserve">Zhang, T., Li, L., Song, L. &amp; Chen, W.</w:t>
      </w:r>
      <w:r>
        <w:t xml:space="preserve"> </w:t>
      </w:r>
      <w:hyperlink r:id="rId12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29"/>
    <w:bookmarkStart w:id="131" w:name="ref-cao2023early"/>
    <w:p>
      <w:pPr>
        <w:pStyle w:val="Bibliography"/>
      </w:pPr>
      <w:r>
        <w:t xml:space="preserve">27.</w:t>
      </w:r>
      <w:r>
        <w:t xml:space="preserve"> </w:t>
      </w:r>
      <w:r>
        <w:t xml:space="preserve">	</w:t>
      </w:r>
      <w:r>
        <w:t xml:space="preserve">Cao, T.</w:t>
      </w:r>
      <w:r>
        <w:t xml:space="preserve"> </w:t>
      </w:r>
      <w:r>
        <w:rPr>
          <w:i/>
          <w:iCs/>
        </w:rPr>
        <w:t xml:space="preserve">et al.</w:t>
      </w:r>
      <w:r>
        <w:t xml:space="preserve"> </w:t>
      </w:r>
      <w:hyperlink r:id="rId130">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31"/>
    <w:bookmarkStart w:id="133" w:name="ref-clercin2019influence"/>
    <w:p>
      <w:pPr>
        <w:pStyle w:val="Bibliography"/>
      </w:pPr>
      <w:r>
        <w:t xml:space="preserve">28.</w:t>
      </w:r>
      <w:r>
        <w:t xml:space="preserve"> </w:t>
      </w:r>
      <w:r>
        <w:t xml:space="preserve">	</w:t>
      </w:r>
      <w:r>
        <w:t xml:space="preserve">Clercin, N. A. &amp; Druschel, G. K.</w:t>
      </w:r>
      <w:r>
        <w:t xml:space="preserve"> </w:t>
      </w:r>
      <w:hyperlink r:id="rId132">
        <w:r>
          <w:rPr>
            <w:rStyle w:val="Hyperlink"/>
          </w:rPr>
          <w:t xml:space="preserve">Influence of environmental factors on the production of MIB and geosmin metabolites by bacteria in a eutrophic reservoir</w:t>
        </w:r>
      </w:hyperlink>
      <w:r>
        <w:t xml:space="preserve">.</w:t>
      </w:r>
      <w:r>
        <w:t xml:space="preserve"> </w:t>
      </w:r>
      <w:r>
        <w:rPr>
          <w:i/>
          <w:iCs/>
        </w:rPr>
        <w:t xml:space="preserve">Water Resources Research</w:t>
      </w:r>
      <w:r>
        <w:t xml:space="preserve"> </w:t>
      </w:r>
      <w:r>
        <w:rPr>
          <w:b/>
          <w:bCs/>
        </w:rPr>
        <w:t xml:space="preserve">55</w:t>
      </w:r>
      <w:r>
        <w:t xml:space="preserve">, 5413–5430 (2019).</w:t>
      </w:r>
    </w:p>
    <w:bookmarkEnd w:id="133"/>
    <w:bookmarkStart w:id="134" w:name="ref-bentley1981geosmin"/>
    <w:p>
      <w:pPr>
        <w:pStyle w:val="Bibliography"/>
      </w:pPr>
      <w:r>
        <w:t xml:space="preserve">29.</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34"/>
    <w:bookmarkStart w:id="136" w:name="ref-wu1988differential"/>
    <w:p>
      <w:pPr>
        <w:pStyle w:val="Bibliography"/>
      </w:pPr>
      <w:r>
        <w:t xml:space="preserve">30.</w:t>
      </w:r>
      <w:r>
        <w:t xml:space="preserve"> </w:t>
      </w:r>
      <w:r>
        <w:t xml:space="preserve">	</w:t>
      </w:r>
      <w:r>
        <w:t xml:space="preserve">Wu, J. &amp; Jüttner, F.</w:t>
      </w:r>
      <w:r>
        <w:t xml:space="preserve"> </w:t>
      </w:r>
      <w:hyperlink r:id="rId135">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36"/>
    <w:bookmarkStart w:id="138" w:name="ref-rashash1995influence"/>
    <w:p>
      <w:pPr>
        <w:pStyle w:val="Bibliography"/>
      </w:pPr>
      <w:r>
        <w:t xml:space="preserve">31.</w:t>
      </w:r>
      <w:r>
        <w:t xml:space="preserve"> </w:t>
      </w:r>
      <w:r>
        <w:t xml:space="preserve">	</w:t>
      </w:r>
      <w:r>
        <w:t xml:space="preserve">Rashash, D. m. C., Dietrich, A. m., Hoehn, R. c. &amp; Parker, B. c.</w:t>
      </w:r>
      <w:r>
        <w:t xml:space="preserve"> </w:t>
      </w:r>
      <w:hyperlink r:id="rId137">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38"/>
    <w:bookmarkStart w:id="140" w:name="ref-zhang2016methylisoborneol"/>
    <w:p>
      <w:pPr>
        <w:pStyle w:val="Bibliography"/>
      </w:pPr>
      <w:r>
        <w:t xml:space="preserve">32.</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39">
        <w:r>
          <w:rPr>
            <w:rStyle w:val="Hyperlink"/>
          </w:rPr>
          <w:t xml:space="preserve">10.1007/s10811-016-0864-x</w:t>
        </w:r>
      </w:hyperlink>
      <w:r>
        <w:t xml:space="preserve">.</w:t>
      </w:r>
    </w:p>
    <w:bookmarkEnd w:id="140"/>
    <w:bookmarkStart w:id="142" w:name="ref-cook2001the"/>
    <w:p>
      <w:pPr>
        <w:pStyle w:val="Bibliography"/>
      </w:pPr>
      <w:r>
        <w:t xml:space="preserve">33.</w:t>
      </w:r>
      <w:r>
        <w:t xml:space="preserve"> </w:t>
      </w:r>
      <w:r>
        <w:t xml:space="preserve">	</w:t>
      </w:r>
      <w:r>
        <w:t xml:space="preserve">Cook, D., Newcombe, G. &amp; Sztajnbok, P.</w:t>
      </w:r>
      <w:r>
        <w:t xml:space="preserve"> </w:t>
      </w:r>
      <w:hyperlink r:id="rId141">
        <w:r>
          <w:rPr>
            <w:rStyle w:val="Hyperlink"/>
          </w:rPr>
          <w:t xml:space="preserve">The application of powdered activated carbon for</w:t>
        </w:r>
        <w:r>
          <w:rPr>
            <w:rStyle w:val="Hyperlink"/>
          </w:rPr>
          <w:t xml:space="preserve"> </w:t>
        </w:r>
        <w:r>
          <w:rPr>
            <w:rStyle w:val="Hyperlink"/>
          </w:rPr>
          <w:t xml:space="preserve">MIB</w:t>
        </w:r>
        <w:r>
          <w:rPr>
            <w:rStyle w:val="Hyperlink"/>
          </w:rPr>
          <w:t xml:space="preserve"> </w:t>
        </w:r>
        <w:r>
          <w:rPr>
            <w:rStyle w:val="Hyperlink"/>
          </w:rPr>
          <w:t xml:space="preserve">and geosmin removal: Predicting</w:t>
        </w:r>
        <w:r>
          <w:rPr>
            <w:rStyle w:val="Hyperlink"/>
          </w:rPr>
          <w:t xml:space="preserve"> </w:t>
        </w:r>
        <w:r>
          <w:rPr>
            <w:rStyle w:val="Hyperlink"/>
          </w:rPr>
          <w:t xml:space="preserve">PAC</w:t>
        </w:r>
        <w:r>
          <w:rPr>
            <w:rStyle w:val="Hyperlink"/>
          </w:rPr>
          <w:t xml:space="preserve"> </w:t>
        </w:r>
        <w:r>
          <w:rPr>
            <w:rStyle w:val="Hyperlink"/>
          </w:rPr>
          <w:t xml:space="preserve">doses in four raw waters</w:t>
        </w:r>
      </w:hyperlink>
      <w:r>
        <w:t xml:space="preserve">.</w:t>
      </w:r>
      <w:r>
        <w:t xml:space="preserve"> </w:t>
      </w:r>
      <w:r>
        <w:rPr>
          <w:i/>
          <w:iCs/>
        </w:rPr>
        <w:t xml:space="preserve">Water Research</w:t>
      </w:r>
      <w:r>
        <w:t xml:space="preserve"> </w:t>
      </w:r>
      <w:r>
        <w:rPr>
          <w:b/>
          <w:bCs/>
        </w:rPr>
        <w:t xml:space="preserve">35</w:t>
      </w:r>
      <w:r>
        <w:t xml:space="preserve">, 1325–1333 (2001).</w:t>
      </w:r>
    </w:p>
    <w:bookmarkEnd w:id="142"/>
    <w:bookmarkStart w:id="144" w:name="ref-li2018kinetics"/>
    <w:p>
      <w:pPr>
        <w:pStyle w:val="Bibliography"/>
      </w:pPr>
      <w:r>
        <w:t xml:space="preserve">34.</w:t>
      </w:r>
      <w:r>
        <w:t xml:space="preserve"> </w:t>
      </w:r>
      <w:r>
        <w:t xml:space="preserve">	</w:t>
      </w:r>
      <w:r>
        <w:t xml:space="preserve">Li, L.</w:t>
      </w:r>
      <w:r>
        <w:t xml:space="preserve"> </w:t>
      </w:r>
      <w:r>
        <w:rPr>
          <w:i/>
          <w:iCs/>
        </w:rPr>
        <w:t xml:space="preserve">et al.</w:t>
      </w:r>
      <w:r>
        <w:t xml:space="preserve"> </w:t>
      </w:r>
      <w:hyperlink r:id="rId143">
        <w:r>
          <w:rPr>
            <w:rStyle w:val="Hyperlink"/>
          </w:rPr>
          <w:t xml:space="preserve">Kinetics and mechanism of</w:t>
        </w:r>
        <w:r>
          <w:rPr>
            <w:rStyle w:val="Hyperlink"/>
          </w:rPr>
          <w:t xml:space="preserve"> </w:t>
        </w:r>
        <w:r>
          <w:rPr>
            <w:rStyle w:val="Hyperlink"/>
            <w:i/>
            <w:iCs/>
          </w:rPr>
          <w:t xml:space="preserve">Pseudoanabaena</w:t>
        </w:r>
        <w:r>
          <w:rPr>
            <w:rStyle w:val="Hyperlink"/>
          </w:rPr>
          <w:t xml:space="preserve"> </w:t>
        </w:r>
        <w:r>
          <w:rPr>
            <w:rStyle w:val="Hyperlink"/>
          </w:rPr>
          <w:t xml:space="preserve">cell inactivation, 2-</w:t>
        </w:r>
        <w:r>
          <w:rPr>
            <w:rStyle w:val="Hyperlink"/>
          </w:rPr>
          <w:t xml:space="preserve">MIB</w:t>
        </w:r>
        <w:r>
          <w:rPr>
            <w:rStyle w:val="Hyperlink"/>
          </w:rPr>
          <w:t xml:space="preserve"> </w:t>
        </w:r>
        <w:r>
          <w:rPr>
            <w:rStyle w:val="Hyperlink"/>
          </w:rPr>
          <w:t xml:space="preserve">release and degradation under exposure of ozone, chlorine and permanganate</w:t>
        </w:r>
      </w:hyperlink>
      <w:r>
        <w:t xml:space="preserve">.</w:t>
      </w:r>
      <w:r>
        <w:t xml:space="preserve"> </w:t>
      </w:r>
      <w:r>
        <w:rPr>
          <w:i/>
          <w:iCs/>
        </w:rPr>
        <w:t xml:space="preserve">Water Research</w:t>
      </w:r>
      <w:r>
        <w:t xml:space="preserve"> </w:t>
      </w:r>
      <w:r>
        <w:rPr>
          <w:b/>
          <w:bCs/>
        </w:rPr>
        <w:t xml:space="preserve">147</w:t>
      </w:r>
      <w:r>
        <w:t xml:space="preserve">, 422–428 (2018).</w:t>
      </w:r>
    </w:p>
    <w:bookmarkEnd w:id="144"/>
    <w:bookmarkStart w:id="146" w:name="ref-pan2022desorption"/>
    <w:p>
      <w:pPr>
        <w:pStyle w:val="Bibliography"/>
      </w:pPr>
      <w:r>
        <w:t xml:space="preserve">35.</w:t>
      </w:r>
      <w:r>
        <w:t xml:space="preserve"> </w:t>
      </w:r>
      <w:r>
        <w:t xml:space="preserve">	</w:t>
      </w:r>
      <w:r>
        <w:t xml:space="preserve">Pan, L., Nakayama, A., Matsui, Y., Matsushita, T. &amp; Shirasaki, N.</w:t>
      </w:r>
      <w:r>
        <w:t xml:space="preserve"> </w:t>
      </w:r>
      <w:hyperlink r:id="rId145">
        <w:r>
          <w:rPr>
            <w:rStyle w:val="Hyperlink"/>
          </w:rPr>
          <w:t xml:space="preserve">Desorption of micropollutant from superfine and normal powdered activated carbon in submerged-membrane system due to influent concentration change in the presence of natural organic matter: Experiments and two-component branched-pore kinetic model</w:t>
        </w:r>
      </w:hyperlink>
      <w:r>
        <w:t xml:space="preserve">.</w:t>
      </w:r>
      <w:r>
        <w:t xml:space="preserve"> </w:t>
      </w:r>
      <w:r>
        <w:rPr>
          <w:i/>
          <w:iCs/>
        </w:rPr>
        <w:t xml:space="preserve">Water Research</w:t>
      </w:r>
      <w:r>
        <w:t xml:space="preserve"> </w:t>
      </w:r>
      <w:r>
        <w:rPr>
          <w:b/>
          <w:bCs/>
        </w:rPr>
        <w:t xml:space="preserve">208</w:t>
      </w:r>
      <w:r>
        <w:t xml:space="preserve">, 117872 (2022).</w:t>
      </w:r>
    </w:p>
    <w:bookmarkEnd w:id="146"/>
    <w:bookmarkStart w:id="148" w:name="ref-mustapha2021a"/>
    <w:p>
      <w:pPr>
        <w:pStyle w:val="Bibliography"/>
      </w:pPr>
      <w:r>
        <w:t xml:space="preserve">36.</w:t>
      </w:r>
      <w:r>
        <w:t xml:space="preserve"> </w:t>
      </w:r>
      <w:r>
        <w:t xml:space="preserve">	</w:t>
      </w:r>
      <w:r>
        <w:t xml:space="preserve">Mustapha, S.</w:t>
      </w:r>
      <w:r>
        <w:t xml:space="preserve"> </w:t>
      </w:r>
      <w:r>
        <w:rPr>
          <w:i/>
          <w:iCs/>
        </w:rPr>
        <w:t xml:space="preserve">et al.</w:t>
      </w:r>
      <w:r>
        <w:t xml:space="preserve"> </w:t>
      </w:r>
      <w:hyperlink r:id="rId147">
        <w:r>
          <w:rPr>
            <w:rStyle w:val="Hyperlink"/>
          </w:rPr>
          <w:t xml:space="preserve">A critical review on geosmin and 2-methylisoborneol in water: Sources , effects, detection, and removal techniques</w:t>
        </w:r>
      </w:hyperlink>
      <w:r>
        <w:t xml:space="preserve">.</w:t>
      </w:r>
      <w:r>
        <w:t xml:space="preserve"> </w:t>
      </w:r>
      <w:r>
        <w:rPr>
          <w:i/>
          <w:iCs/>
        </w:rPr>
        <w:t xml:space="preserve">Environmental Monitoring and Assessment</w:t>
      </w:r>
      <w:r>
        <w:t xml:space="preserve"> </w:t>
      </w:r>
      <w:r>
        <w:rPr>
          <w:b/>
          <w:bCs/>
        </w:rPr>
        <w:t xml:space="preserve">193</w:t>
      </w:r>
      <w:r>
        <w:t xml:space="preserve">, (2021).</w:t>
      </w:r>
    </w:p>
    <w:bookmarkEnd w:id="148"/>
    <w:bookmarkStart w:id="150" w:name="ref-wang2024production"/>
    <w:p>
      <w:pPr>
        <w:pStyle w:val="Bibliography"/>
      </w:pPr>
      <w:r>
        <w:t xml:space="preserve">37.</w:t>
      </w:r>
      <w:r>
        <w:t xml:space="preserve"> </w:t>
      </w:r>
      <w:r>
        <w:t xml:space="preserve">	</w:t>
      </w:r>
      <w:r>
        <w:t xml:space="preserve">Wang, H.</w:t>
      </w:r>
      <w:r>
        <w:t xml:space="preserve"> </w:t>
      </w:r>
      <w:r>
        <w:rPr>
          <w:i/>
          <w:iCs/>
        </w:rPr>
        <w:t xml:space="preserve">et al.</w:t>
      </w:r>
      <w:r>
        <w:t xml:space="preserve"> </w:t>
      </w:r>
      <w:hyperlink r:id="rId14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50"/>
    <w:bookmarkStart w:id="152" w:name="ref-oh2017effects"/>
    <w:p>
      <w:pPr>
        <w:pStyle w:val="Bibliography"/>
      </w:pPr>
      <w:r>
        <w:t xml:space="preserve">38.</w:t>
      </w:r>
      <w:r>
        <w:t xml:space="preserve"> </w:t>
      </w:r>
      <w:r>
        <w:t xml:space="preserve">	</w:t>
      </w:r>
      <w:r>
        <w:t xml:space="preserve">Oh, H.-S., Lee, C. S., Srivastava, A., Oh, H.-M. &amp; Ahn, C.-Y.</w:t>
      </w:r>
      <w:r>
        <w:t xml:space="preserve"> </w:t>
      </w:r>
      <w:hyperlink r:id="rId151">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52"/>
    <w:bookmarkStart w:id="154" w:name="ref-alghanmi2018effect"/>
    <w:p>
      <w:pPr>
        <w:pStyle w:val="Bibliography"/>
      </w:pPr>
      <w:r>
        <w:t xml:space="preserve">39.</w:t>
      </w:r>
      <w:r>
        <w:t xml:space="preserve"> </w:t>
      </w:r>
      <w:r>
        <w:t xml:space="preserve">	</w:t>
      </w:r>
      <w:r>
        <w:t xml:space="preserve">Alghanmi, H. A., Alkam, F. M. &amp; AL-Taee, M. M.</w:t>
      </w:r>
      <w:r>
        <w:t xml:space="preserve"> </w:t>
      </w:r>
      <w:hyperlink r:id="rId153">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54"/>
    <w:bookmarkStart w:id="156" w:name="ref-giglio2011biosynthesis"/>
    <w:p>
      <w:pPr>
        <w:pStyle w:val="Bibliography"/>
      </w:pPr>
      <w:r>
        <w:t xml:space="preserve">40.</w:t>
      </w:r>
      <w:r>
        <w:t xml:space="preserve"> </w:t>
      </w:r>
      <w:r>
        <w:t xml:space="preserve">	</w:t>
      </w:r>
      <w:r>
        <w:t xml:space="preserve">Giglio, S., Chou, W. K. W., Ikeda, H., Cane, D. E. &amp; Monis, P. T.</w:t>
      </w:r>
      <w:r>
        <w:t xml:space="preserve"> </w:t>
      </w:r>
      <w:hyperlink r:id="rId155">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56"/>
    <w:bookmarkStart w:id="158" w:name="ref-wang2011genes"/>
    <w:p>
      <w:pPr>
        <w:pStyle w:val="Bibliography"/>
      </w:pPr>
      <w:r>
        <w:t xml:space="preserve">41.</w:t>
      </w:r>
      <w:r>
        <w:t xml:space="preserve"> </w:t>
      </w:r>
      <w:r>
        <w:t xml:space="preserve">	</w:t>
      </w:r>
      <w:r>
        <w:t xml:space="preserve">Wang, Z., Xu, Y., Shao, J., Wang, J. &amp; Li, R.</w:t>
      </w:r>
      <w:r>
        <w:t xml:space="preserve"> </w:t>
      </w:r>
      <w:hyperlink r:id="rId157">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58"/>
    <w:bookmarkStart w:id="160" w:name="ref-komatsu2008identification"/>
    <w:p>
      <w:pPr>
        <w:pStyle w:val="Bibliography"/>
      </w:pPr>
      <w:r>
        <w:t xml:space="preserve">42.</w:t>
      </w:r>
      <w:r>
        <w:t xml:space="preserve"> </w:t>
      </w:r>
      <w:r>
        <w:t xml:space="preserve">	</w:t>
      </w:r>
      <w:r>
        <w:t xml:space="preserve">Komatsu, M., Tsuda, M., omura, S., Oikawa, H. &amp; Ikeda, H.</w:t>
      </w:r>
      <w:r>
        <w:t xml:space="preserve"> </w:t>
      </w:r>
      <w:hyperlink r:id="rId159">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60"/>
    <w:bookmarkStart w:id="162" w:name="ref-andreas2024the"/>
    <w:p>
      <w:pPr>
        <w:pStyle w:val="Bibliography"/>
      </w:pPr>
      <w:r>
        <w:t xml:space="preserve">43.</w:t>
      </w:r>
      <w:r>
        <w:t xml:space="preserve"> </w:t>
      </w:r>
      <w:r>
        <w:t xml:space="preserve">	</w:t>
      </w:r>
      <w:r>
        <w:t xml:space="preserve">Andreas, M. P. &amp; Giessen, T. W.</w:t>
      </w:r>
      <w:r>
        <w:t xml:space="preserve"> </w:t>
      </w:r>
      <w:hyperlink r:id="rId161">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62"/>
    <w:bookmarkStart w:id="164" w:name="ref-jia2019light"/>
    <w:p>
      <w:pPr>
        <w:pStyle w:val="Bibliography"/>
      </w:pPr>
      <w:r>
        <w:t xml:space="preserve">44.</w:t>
      </w:r>
      <w:r>
        <w:t xml:space="preserve"> </w:t>
      </w:r>
      <w:r>
        <w:t xml:space="preserve">	</w:t>
      </w:r>
      <w:r>
        <w:t xml:space="preserve">Jia, Z.</w:t>
      </w:r>
      <w:r>
        <w:t xml:space="preserve"> </w:t>
      </w:r>
      <w:r>
        <w:rPr>
          <w:i/>
          <w:iCs/>
        </w:rPr>
        <w:t xml:space="preserve">et al.</w:t>
      </w:r>
      <w:r>
        <w:t xml:space="preserve"> </w:t>
      </w:r>
      <w:hyperlink r:id="rId16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64"/>
    <w:bookmarkStart w:id="166" w:name="ref-wang2015effects"/>
    <w:p>
      <w:pPr>
        <w:pStyle w:val="Bibliography"/>
      </w:pPr>
      <w:r>
        <w:t xml:space="preserve">45.</w:t>
      </w:r>
      <w:r>
        <w:t xml:space="preserve"> </w:t>
      </w:r>
      <w:r>
        <w:t xml:space="preserve">	</w:t>
      </w:r>
      <w:r>
        <w:t xml:space="preserve">Wang, Z. &amp; Li, R.</w:t>
      </w:r>
      <w:r>
        <w:t xml:space="preserve"> </w:t>
      </w:r>
      <w:hyperlink r:id="rId16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66"/>
    <w:bookmarkStart w:id="168" w:name="ref-zimba1999evaluating"/>
    <w:p>
      <w:pPr>
        <w:pStyle w:val="Bibliography"/>
      </w:pPr>
      <w:r>
        <w:t xml:space="preserve">46.</w:t>
      </w:r>
      <w:r>
        <w:t xml:space="preserve"> </w:t>
      </w:r>
      <w:r>
        <w:t xml:space="preserve">	</w:t>
      </w:r>
      <w:r>
        <w:t xml:space="preserve">Zimba, P. V., Dionigi, C. P. &amp; Millie, D. F.</w:t>
      </w:r>
      <w:r>
        <w:t xml:space="preserve"> </w:t>
      </w:r>
      <w:hyperlink r:id="rId16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68"/>
    <w:bookmarkStart w:id="170" w:name="ref-eisenhoffer2013bringing"/>
    <w:p>
      <w:pPr>
        <w:pStyle w:val="Bibliography"/>
      </w:pPr>
      <w:r>
        <w:t xml:space="preserve">47.</w:t>
      </w:r>
      <w:r>
        <w:t xml:space="preserve"> </w:t>
      </w:r>
      <w:r>
        <w:t xml:space="preserve">	</w:t>
      </w:r>
      <w:r>
        <w:t xml:space="preserve">Eisenhoffer, G. T. &amp; Rosenblatt, J.</w:t>
      </w:r>
      <w:r>
        <w:t xml:space="preserve"> </w:t>
      </w:r>
      <w:hyperlink r:id="rId16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70"/>
    <w:bookmarkStart w:id="172" w:name="ref-bermudez2024cell"/>
    <w:p>
      <w:pPr>
        <w:pStyle w:val="Bibliography"/>
      </w:pPr>
      <w:r>
        <w:t xml:space="preserve">48.</w:t>
      </w:r>
      <w:r>
        <w:t xml:space="preserve"> </w:t>
      </w:r>
      <w:r>
        <w:t xml:space="preserve">	</w:t>
      </w:r>
      <w:r>
        <w:t xml:space="preserve">Bermudez, A. G., Latham, Z., Hu, J. &amp; Lin, N.</w:t>
      </w:r>
      <w:r>
        <w:t xml:space="preserve"> </w:t>
      </w:r>
      <w:hyperlink r:id="rId17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72"/>
    <w:bookmarkStart w:id="174" w:name="ref-yang2024etv4"/>
    <w:p>
      <w:pPr>
        <w:pStyle w:val="Bibliography"/>
      </w:pPr>
      <w:r>
        <w:t xml:space="preserve">49.</w:t>
      </w:r>
      <w:r>
        <w:t xml:space="preserve"> </w:t>
      </w:r>
      <w:r>
        <w:t xml:space="preserve">	</w:t>
      </w:r>
      <w:r>
        <w:t xml:space="preserve">Yang, S.</w:t>
      </w:r>
      <w:r>
        <w:t xml:space="preserve"> </w:t>
      </w:r>
      <w:r>
        <w:rPr>
          <w:i/>
          <w:iCs/>
        </w:rPr>
        <w:t xml:space="preserve">et al.</w:t>
      </w:r>
      <w:r>
        <w:t xml:space="preserve"> </w:t>
      </w:r>
      <w:hyperlink r:id="rId17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74"/>
    <w:bookmarkStart w:id="176" w:name="ref-lawsonkeister2021jamming"/>
    <w:p>
      <w:pPr>
        <w:pStyle w:val="Bibliography"/>
      </w:pPr>
      <w:r>
        <w:t xml:space="preserve">50.</w:t>
      </w:r>
      <w:r>
        <w:t xml:space="preserve"> </w:t>
      </w:r>
      <w:r>
        <w:t xml:space="preserve">	</w:t>
      </w:r>
      <w:r>
        <w:t xml:space="preserve">Lawson-Keister, E. &amp; Manning, M. L.</w:t>
      </w:r>
      <w:r>
        <w:t xml:space="preserve"> </w:t>
      </w:r>
      <w:hyperlink r:id="rId17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76"/>
    <w:bookmarkStart w:id="178" w:name="ref-drewinko1984cultured"/>
    <w:p>
      <w:pPr>
        <w:pStyle w:val="Bibliography"/>
      </w:pPr>
      <w:r>
        <w:t xml:space="preserve">51.</w:t>
      </w:r>
      <w:r>
        <w:t xml:space="preserve"> </w:t>
      </w:r>
      <w:r>
        <w:t xml:space="preserve">	</w:t>
      </w:r>
      <w:r>
        <w:t xml:space="preserve">Drewinko, B., Yang, L. Y., Barlogie, B. &amp; Trujillo, J. M.</w:t>
      </w:r>
      <w:r>
        <w:t xml:space="preserve"> </w:t>
      </w:r>
      <w:hyperlink r:id="rId17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78"/>
    <w:bookmarkStart w:id="180" w:name="ref-eisenhoffer2012crowding"/>
    <w:p>
      <w:pPr>
        <w:pStyle w:val="Bibliography"/>
      </w:pPr>
      <w:r>
        <w:t xml:space="preserve">52.</w:t>
      </w:r>
      <w:r>
        <w:t xml:space="preserve"> </w:t>
      </w:r>
      <w:r>
        <w:t xml:space="preserve">	</w:t>
      </w:r>
      <w:r>
        <w:t xml:space="preserve">Eisenhoffer, G. T.</w:t>
      </w:r>
      <w:r>
        <w:t xml:space="preserve"> </w:t>
      </w:r>
      <w:r>
        <w:rPr>
          <w:i/>
          <w:iCs/>
        </w:rPr>
        <w:t xml:space="preserve">et al.</w:t>
      </w:r>
      <w:r>
        <w:t xml:space="preserve"> </w:t>
      </w:r>
      <w:hyperlink r:id="rId17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80"/>
    <w:bookmarkStart w:id="182" w:name="ref-bar2004attenuation"/>
    <w:p>
      <w:pPr>
        <w:pStyle w:val="Bibliography"/>
      </w:pPr>
      <w:r>
        <w:t xml:space="preserve">53.</w:t>
      </w:r>
      <w:r>
        <w:t xml:space="preserve"> </w:t>
      </w:r>
      <w:r>
        <w:t xml:space="preserve">	</w:t>
      </w:r>
      <w:r>
        <w:t xml:space="preserve">Bar, J., Cohen-Noyman, E., Geiger, B. &amp; Oren, M.</w:t>
      </w:r>
      <w:r>
        <w:t xml:space="preserve"> </w:t>
      </w:r>
      <w:hyperlink r:id="rId18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82"/>
    <w:bookmarkStart w:id="184" w:name="ref-nishio2017hippo"/>
    <w:p>
      <w:pPr>
        <w:pStyle w:val="Bibliography"/>
      </w:pPr>
      <w:r>
        <w:t xml:space="preserve">54.</w:t>
      </w:r>
      <w:r>
        <w:t xml:space="preserve"> </w:t>
      </w:r>
      <w:r>
        <w:t xml:space="preserve">	</w:t>
      </w:r>
      <w:r>
        <w:t xml:space="preserve">Nishio, M.</w:t>
      </w:r>
      <w:r>
        <w:t xml:space="preserve"> </w:t>
      </w:r>
      <w:r>
        <w:rPr>
          <w:i/>
          <w:iCs/>
        </w:rPr>
        <w:t xml:space="preserve">et al.</w:t>
      </w:r>
      <w:r>
        <w:t xml:space="preserve"> </w:t>
      </w:r>
      <w:hyperlink r:id="rId18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84"/>
    <w:bookmarkStart w:id="186" w:name="ref-sheridan1981studies"/>
    <w:p>
      <w:pPr>
        <w:pStyle w:val="Bibliography"/>
      </w:pPr>
      <w:r>
        <w:t xml:space="preserve">55.</w:t>
      </w:r>
      <w:r>
        <w:t xml:space="preserve"> </w:t>
      </w:r>
      <w:r>
        <w:t xml:space="preserve">	</w:t>
      </w:r>
      <w:r>
        <w:t xml:space="preserve">Sheridan, J. W. &amp; Simmons, R. J.</w:t>
      </w:r>
      <w:r>
        <w:t xml:space="preserve"> </w:t>
      </w:r>
      <w:hyperlink r:id="rId18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86"/>
    <w:bookmarkStart w:id="188" w:name="ref-tjørve2017the"/>
    <w:p>
      <w:pPr>
        <w:pStyle w:val="Bibliography"/>
      </w:pPr>
      <w:r>
        <w:t xml:space="preserve">56.</w:t>
      </w:r>
      <w:r>
        <w:t xml:space="preserve"> </w:t>
      </w:r>
      <w:r>
        <w:t xml:space="preserve">	</w:t>
      </w:r>
      <w:r>
        <w:t xml:space="preserve">Tjørve, K. M. C. &amp; Tjørve, E.</w:t>
      </w:r>
      <w:r>
        <w:t xml:space="preserve"> </w:t>
      </w:r>
      <w:hyperlink r:id="rId18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88"/>
    <w:bookmarkStart w:id="190" w:name="ref-lv2015stability"/>
    <w:p>
      <w:pPr>
        <w:pStyle w:val="Bibliography"/>
      </w:pPr>
      <w:r>
        <w:t xml:space="preserve">57.</w:t>
      </w:r>
      <w:r>
        <w:t xml:space="preserve"> </w:t>
      </w:r>
      <w:r>
        <w:t xml:space="preserve">	</w:t>
      </w:r>
      <w:r>
        <w:t xml:space="preserve">Lv, J., Wang, K. &amp; Jiao, J.</w:t>
      </w:r>
      <w:r>
        <w:t xml:space="preserve"> </w:t>
      </w:r>
      <w:hyperlink r:id="rId18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90"/>
    <w:bookmarkStart w:id="192" w:name="ref-peleg1998reinterpretation"/>
    <w:p>
      <w:pPr>
        <w:pStyle w:val="Bibliography"/>
      </w:pPr>
      <w:r>
        <w:t xml:space="preserve">58.</w:t>
      </w:r>
      <w:r>
        <w:t xml:space="preserve"> </w:t>
      </w:r>
      <w:r>
        <w:t xml:space="preserve">	</w:t>
      </w:r>
      <w:r>
        <w:t xml:space="preserve">Peleg, M. &amp; Cole, M. B.</w:t>
      </w:r>
      <w:r>
        <w:t xml:space="preserve"> </w:t>
      </w:r>
      <w:hyperlink r:id="rId19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92"/>
    <w:bookmarkStart w:id="194" w:name="ref-wang2023cell"/>
    <w:p>
      <w:pPr>
        <w:pStyle w:val="Bibliography"/>
      </w:pPr>
      <w:r>
        <w:t xml:space="preserve">59.</w:t>
      </w:r>
      <w:r>
        <w:t xml:space="preserve"> </w:t>
      </w:r>
      <w:r>
        <w:t xml:space="preserve">	</w:t>
      </w:r>
      <w:r>
        <w:t xml:space="preserve">Wang, Y.</w:t>
      </w:r>
      <w:r>
        <w:t xml:space="preserve"> </w:t>
      </w:r>
      <w:r>
        <w:rPr>
          <w:i/>
          <w:iCs/>
        </w:rPr>
        <w:t xml:space="preserve">et al.</w:t>
      </w:r>
      <w:r>
        <w:t xml:space="preserve"> </w:t>
      </w:r>
      <w:hyperlink r:id="rId19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94"/>
    <w:bookmarkStart w:id="196" w:name="ref-karim2023random"/>
    <w:p>
      <w:pPr>
        <w:pStyle w:val="Bibliography"/>
      </w:pPr>
      <w:r>
        <w:t xml:space="preserve">60.</w:t>
      </w:r>
      <w:r>
        <w:t xml:space="preserve"> </w:t>
      </w:r>
      <w:r>
        <w:t xml:space="preserve">	</w:t>
      </w:r>
      <w:r>
        <w:t xml:space="preserve">Karim, M. A. U., Aithal, V. &amp; Bhowmick, A. R.</w:t>
      </w:r>
      <w:r>
        <w:t xml:space="preserve"> </w:t>
      </w:r>
      <w:hyperlink r:id="rId19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96"/>
    <w:bookmarkStart w:id="198" w:name="ref-li2010cyanobacterial"/>
    <w:p>
      <w:pPr>
        <w:pStyle w:val="Bibliography"/>
      </w:pPr>
      <w:r>
        <w:t xml:space="preserve">61.</w:t>
      </w:r>
      <w:r>
        <w:t xml:space="preserve"> </w:t>
      </w:r>
      <w:r>
        <w:t xml:space="preserve">	</w:t>
      </w:r>
      <w:r>
        <w:t xml:space="preserve">Li, Z.</w:t>
      </w:r>
      <w:r>
        <w:t xml:space="preserve"> </w:t>
      </w:r>
      <w:r>
        <w:rPr>
          <w:i/>
          <w:iCs/>
        </w:rPr>
        <w:t xml:space="preserve">et al.</w:t>
      </w:r>
      <w:r>
        <w:t xml:space="preserve"> </w:t>
      </w:r>
      <w:hyperlink r:id="rId19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98"/>
    <w:bookmarkStart w:id="200" w:name="ref-liang2005removal"/>
    <w:p>
      <w:pPr>
        <w:pStyle w:val="Bibliography"/>
      </w:pPr>
      <w:r>
        <w:t xml:space="preserve">62.</w:t>
      </w:r>
      <w:r>
        <w:t xml:space="preserve"> </w:t>
      </w:r>
      <w:r>
        <w:t xml:space="preserve">	</w:t>
      </w:r>
      <w:r>
        <w:t xml:space="preserve">Liang, C., Wang, D., Yang, M., Sun, W. &amp; Zhang, S.</w:t>
      </w:r>
      <w:r>
        <w:t xml:space="preserve"> </w:t>
      </w:r>
      <w:hyperlink r:id="rId19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200"/>
    <w:bookmarkStart w:id="201" w:name="ref-sherr1993preservation"/>
    <w:p>
      <w:pPr>
        <w:pStyle w:val="Bibliography"/>
      </w:pPr>
      <w:r>
        <w:t xml:space="preserve">63.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201"/>
    <w:bookmarkStart w:id="202" w:name="ref-komarek1998cyanoprokaryota"/>
    <w:p>
      <w:pPr>
        <w:pStyle w:val="Bibliography"/>
      </w:pPr>
      <w:r>
        <w:t xml:space="preserve">64.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202"/>
    <w:bookmarkStart w:id="203" w:name="ref-komarek2014taxonomic"/>
    <w:p>
      <w:pPr>
        <w:pStyle w:val="Bibliography"/>
      </w:pPr>
      <w:r>
        <w:t xml:space="preserve">65.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203"/>
    <w:bookmarkStart w:id="204" w:name="ref-utermohl1958vervollkommnung"/>
    <w:p>
      <w:pPr>
        <w:pStyle w:val="Bibliography"/>
      </w:pPr>
      <w:r>
        <w:t xml:space="preserve">66.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204"/>
    <w:bookmarkStart w:id="206" w:name="ref-r2021r"/>
    <w:p>
      <w:pPr>
        <w:pStyle w:val="Bibliography"/>
      </w:pPr>
      <w:r>
        <w:t xml:space="preserve">67.</w:t>
      </w:r>
      <w:r>
        <w:t xml:space="preserve"> </w:t>
      </w:r>
      <w:r>
        <w:t xml:space="preserve">	</w:t>
      </w:r>
      <w:r>
        <w:t xml:space="preserve">R Core Team.</w:t>
      </w:r>
      <w:r>
        <w:t xml:space="preserve"> </w:t>
      </w:r>
      <w:hyperlink r:id="rId20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206"/>
    <w:bookmarkStart w:id="208" w:name="ref-timbers2022r"/>
    <w:p>
      <w:pPr>
        <w:pStyle w:val="Bibliography"/>
      </w:pPr>
      <w:r>
        <w:t xml:space="preserve">68.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207">
        <w:r>
          <w:rPr>
            <w:rStyle w:val="Hyperlink"/>
          </w:rPr>
          <w:t xml:space="preserve">10.1201/9781003080978-1</w:t>
        </w:r>
      </w:hyperlink>
      <w:r>
        <w:t xml:space="preserve">.</w:t>
      </w:r>
    </w:p>
    <w:bookmarkEnd w:id="208"/>
    <w:bookmarkStart w:id="209" w:name="ref-wood2017generalized"/>
    <w:p>
      <w:pPr>
        <w:pStyle w:val="Bibliography"/>
      </w:pPr>
      <w:r>
        <w:t xml:space="preserve">69.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209"/>
    <w:bookmarkStart w:id="211" w:name="ref-koenker2017handbook"/>
    <w:p>
      <w:pPr>
        <w:pStyle w:val="Bibliography"/>
      </w:pPr>
      <w:r>
        <w:t xml:space="preserve">70.</w:t>
      </w:r>
      <w:r>
        <w:t xml:space="preserve"> </w:t>
      </w:r>
      <w:r>
        <w:t xml:space="preserve">	</w:t>
      </w:r>
      <w:r>
        <w:rPr>
          <w:i/>
          <w:iCs/>
        </w:rPr>
        <w:t xml:space="preserve">Handbook of quantile regression</w:t>
      </w:r>
      <w:r>
        <w:t xml:space="preserve">. (Chapman; Hall/CRC, 2017). doi:</w:t>
      </w:r>
      <w:hyperlink r:id="rId210">
        <w:r>
          <w:rPr>
            <w:rStyle w:val="Hyperlink"/>
          </w:rPr>
          <w:t xml:space="preserve">10.1201/9781315120256</w:t>
        </w:r>
      </w:hyperlink>
      <w:r>
        <w:t xml:space="preserve">.</w:t>
      </w:r>
    </w:p>
    <w:bookmarkEnd w:id="211"/>
    <w:bookmarkStart w:id="213" w:name="ref-wickham2009ggplot"/>
    <w:p>
      <w:pPr>
        <w:pStyle w:val="Bibliography"/>
      </w:pPr>
      <w:r>
        <w:t xml:space="preserve">71.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212">
        <w:r>
          <w:rPr>
            <w:rStyle w:val="Hyperlink"/>
          </w:rPr>
          <w:t xml:space="preserve">10.1007/978-0-387-98141-3_1</w:t>
        </w:r>
      </w:hyperlink>
      <w:r>
        <w:t xml:space="preserve">.</w:t>
      </w:r>
    </w:p>
    <w:bookmarkEnd w:id="213"/>
    <w:bookmarkStart w:id="215" w:name="ref-liu2019production"/>
    <w:p>
      <w:pPr>
        <w:pStyle w:val="Bibliography"/>
      </w:pPr>
      <w:r>
        <w:t xml:space="preserve">72.</w:t>
      </w:r>
      <w:r>
        <w:t xml:space="preserve"> </w:t>
      </w:r>
      <w:r>
        <w:t xml:space="preserve">	</w:t>
      </w:r>
      <w:r>
        <w:t xml:space="preserve">Liu, T.</w:t>
      </w:r>
      <w:r>
        <w:t xml:space="preserve"> </w:t>
      </w:r>
      <w:r>
        <w:rPr>
          <w:i/>
          <w:iCs/>
        </w:rPr>
        <w:t xml:space="preserve">et al.</w:t>
      </w:r>
      <w:r>
        <w:t xml:space="preserve"> </w:t>
      </w:r>
      <w:hyperlink r:id="rId21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215"/>
    <w:bookmarkStart w:id="217" w:name="ref-perkins2019managing"/>
    <w:p>
      <w:pPr>
        <w:pStyle w:val="Bibliography"/>
      </w:pPr>
      <w:r>
        <w:t xml:space="preserve">73.</w:t>
      </w:r>
      <w:r>
        <w:t xml:space="preserve"> </w:t>
      </w:r>
      <w:r>
        <w:t xml:space="preserve">	</w:t>
      </w:r>
      <w:r>
        <w:t xml:space="preserve">Perkins, R. G.</w:t>
      </w:r>
      <w:r>
        <w:t xml:space="preserve"> </w:t>
      </w:r>
      <w:r>
        <w:rPr>
          <w:i/>
          <w:iCs/>
        </w:rPr>
        <w:t xml:space="preserve">et al.</w:t>
      </w:r>
      <w:r>
        <w:t xml:space="preserve"> </w:t>
      </w:r>
      <w:hyperlink r:id="rId21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217"/>
    <w:bookmarkStart w:id="219" w:name="ref-bafford1993intracellular"/>
    <w:p>
      <w:pPr>
        <w:pStyle w:val="Bibliography"/>
      </w:pPr>
      <w:r>
        <w:t xml:space="preserve">74.</w:t>
      </w:r>
      <w:r>
        <w:t xml:space="preserve"> </w:t>
      </w:r>
      <w:r>
        <w:t xml:space="preserve">	</w:t>
      </w:r>
      <w:r>
        <w:t xml:space="preserve">Bafford, R. A., Seagull, R. W., Chung, S. &amp; Millie, D. F.</w:t>
      </w:r>
      <w:r>
        <w:t xml:space="preserve"> </w:t>
      </w:r>
      <w:hyperlink r:id="rId21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219"/>
    <w:bookmarkStart w:id="221" w:name="ref-pavel2018contact"/>
    <w:p>
      <w:pPr>
        <w:pStyle w:val="Bibliography"/>
      </w:pPr>
      <w:r>
        <w:t xml:space="preserve">75.</w:t>
      </w:r>
      <w:r>
        <w:t xml:space="preserve"> </w:t>
      </w:r>
      <w:r>
        <w:t xml:space="preserve">	</w:t>
      </w:r>
      <w:r>
        <w:t xml:space="preserve">Pavel, M.</w:t>
      </w:r>
      <w:r>
        <w:t xml:space="preserve"> </w:t>
      </w:r>
      <w:r>
        <w:rPr>
          <w:i/>
          <w:iCs/>
        </w:rPr>
        <w:t xml:space="preserve">et al.</w:t>
      </w:r>
      <w:r>
        <w:t xml:space="preserve"> </w:t>
      </w:r>
      <w:hyperlink r:id="rId22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21"/>
    <w:bookmarkStart w:id="223" w:name="ref-li2022cooccurrence"/>
    <w:p>
      <w:pPr>
        <w:pStyle w:val="Bibliography"/>
      </w:pPr>
      <w:r>
        <w:t xml:space="preserve">76.</w:t>
      </w:r>
      <w:r>
        <w:t xml:space="preserve"> </w:t>
      </w:r>
      <w:r>
        <w:t xml:space="preserve">	</w:t>
      </w:r>
      <w:r>
        <w:t xml:space="preserve">Li, H.</w:t>
      </w:r>
      <w:r>
        <w:t xml:space="preserve"> </w:t>
      </w:r>
      <w:r>
        <w:rPr>
          <w:i/>
          <w:iCs/>
        </w:rPr>
        <w:t xml:space="preserve">et al.</w:t>
      </w:r>
      <w:r>
        <w:t xml:space="preserve"> </w:t>
      </w:r>
      <w:hyperlink r:id="rId22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23"/>
    <w:bookmarkStart w:id="225" w:name="ref-shi2023distribution"/>
    <w:p>
      <w:pPr>
        <w:pStyle w:val="Bibliography"/>
      </w:pPr>
      <w:r>
        <w:t xml:space="preserve">77.</w:t>
      </w:r>
      <w:r>
        <w:t xml:space="preserve"> </w:t>
      </w:r>
      <w:r>
        <w:t xml:space="preserve">	</w:t>
      </w:r>
      <w:r>
        <w:t xml:space="preserve">Shi, X.</w:t>
      </w:r>
      <w:r>
        <w:t xml:space="preserve"> </w:t>
      </w:r>
      <w:r>
        <w:rPr>
          <w:i/>
          <w:iCs/>
        </w:rPr>
        <w:t xml:space="preserve">et al.</w:t>
      </w:r>
      <w:r>
        <w:t xml:space="preserve"> </w:t>
      </w:r>
      <w:hyperlink r:id="rId22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25"/>
    <w:bookmarkStart w:id="227" w:name="ref-nan2021enclosure"/>
    <w:p>
      <w:pPr>
        <w:pStyle w:val="Bibliography"/>
      </w:pPr>
      <w:r>
        <w:t xml:space="preserve">78.</w:t>
      </w:r>
      <w:r>
        <w:t xml:space="preserve"> </w:t>
      </w:r>
      <w:r>
        <w:t xml:space="preserve">	</w:t>
      </w:r>
      <w:r>
        <w:t xml:space="preserve">Nan, J.</w:t>
      </w:r>
      <w:r>
        <w:t xml:space="preserve"> </w:t>
      </w:r>
      <w:r>
        <w:rPr>
          <w:i/>
          <w:iCs/>
        </w:rPr>
        <w:t xml:space="preserve">et al.</w:t>
      </w:r>
      <w:r>
        <w:t xml:space="preserve"> </w:t>
      </w:r>
      <w:hyperlink r:id="rId226">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27"/>
    <w:bookmarkStart w:id="229" w:name="ref-wang2019causality"/>
    <w:p>
      <w:pPr>
        <w:pStyle w:val="Bibliography"/>
      </w:pPr>
      <w:r>
        <w:t xml:space="preserve">79.</w:t>
      </w:r>
      <w:r>
        <w:t xml:space="preserve"> </w:t>
      </w:r>
      <w:r>
        <w:t xml:space="preserve">	</w:t>
      </w:r>
      <w:r>
        <w:t xml:space="preserve">Wang, M., Yoshimura, C., Allam, A., Kimura, F. &amp; Honma, T.</w:t>
      </w:r>
      <w:r>
        <w:t xml:space="preserve"> </w:t>
      </w:r>
      <w:hyperlink r:id="rId228">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29"/>
    <w:bookmarkStart w:id="231" w:name="ref-yu2019taste"/>
    <w:p>
      <w:pPr>
        <w:pStyle w:val="Bibliography"/>
      </w:pPr>
      <w:r>
        <w:t xml:space="preserve">80.</w:t>
      </w:r>
      <w:r>
        <w:t xml:space="preserve"> </w:t>
      </w:r>
      <w:r>
        <w:t xml:space="preserve">	</w:t>
      </w:r>
      <w:r>
        <w:t xml:space="preserve">Yu, C.</w:t>
      </w:r>
      <w:r>
        <w:t xml:space="preserve"> </w:t>
      </w:r>
      <w:r>
        <w:rPr>
          <w:i/>
          <w:iCs/>
        </w:rPr>
        <w:t xml:space="preserve">et al.</w:t>
      </w:r>
      <w:r>
        <w:t xml:space="preserve"> </w:t>
      </w:r>
      <w:hyperlink r:id="rId230">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31"/>
    <w:bookmarkStart w:id="233" w:name="ref-su2022lightdominated"/>
    <w:p>
      <w:pPr>
        <w:pStyle w:val="Bibliography"/>
      </w:pPr>
      <w:r>
        <w:t xml:space="preserve">81.</w:t>
      </w:r>
      <w:r>
        <w:t xml:space="preserve"> </w:t>
      </w:r>
      <w:r>
        <w:t xml:space="preserve">	</w:t>
      </w:r>
      <w:r>
        <w:t xml:space="preserve">Su, M.</w:t>
      </w:r>
      <w:r>
        <w:t xml:space="preserve"> </w:t>
      </w:r>
      <w:r>
        <w:rPr>
          <w:i/>
          <w:iCs/>
        </w:rPr>
        <w:t xml:space="preserve">et al.</w:t>
      </w:r>
      <w:r>
        <w:t xml:space="preserve"> </w:t>
      </w:r>
      <w:hyperlink r:id="rId232">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33"/>
    <w:bookmarkStart w:id="235" w:name="ref-su2019succession"/>
    <w:p>
      <w:pPr>
        <w:pStyle w:val="Bibliography"/>
      </w:pPr>
      <w:r>
        <w:t xml:space="preserve">82.</w:t>
      </w:r>
      <w:r>
        <w:t xml:space="preserve"> </w:t>
      </w:r>
      <w:r>
        <w:t xml:space="preserve">	</w:t>
      </w:r>
      <w:r>
        <w:t xml:space="preserve">Su, M.</w:t>
      </w:r>
      <w:r>
        <w:t xml:space="preserve"> </w:t>
      </w:r>
      <w:r>
        <w:rPr>
          <w:i/>
          <w:iCs/>
        </w:rPr>
        <w:t xml:space="preserve">et al.</w:t>
      </w:r>
      <w:r>
        <w:t xml:space="preserve"> </w:t>
      </w:r>
      <w:hyperlink r:id="rId234">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35"/>
    <w:bookmarkStart w:id="237" w:name="ref-qi2020characterization"/>
    <w:p>
      <w:pPr>
        <w:pStyle w:val="Bibliography"/>
      </w:pPr>
      <w:r>
        <w:t xml:space="preserve">83.</w:t>
      </w:r>
      <w:r>
        <w:t xml:space="preserve"> </w:t>
      </w:r>
      <w:r>
        <w:t xml:space="preserve">	</w:t>
      </w:r>
      <w:r>
        <w:t xml:space="preserve">Qi, C.</w:t>
      </w:r>
      <w:r>
        <w:t xml:space="preserve"> </w:t>
      </w:r>
      <w:r>
        <w:rPr>
          <w:i/>
          <w:iCs/>
        </w:rPr>
        <w:t xml:space="preserve">et al.</w:t>
      </w:r>
      <w:r>
        <w:t xml:space="preserve"> </w:t>
      </w:r>
      <w:hyperlink r:id="rId23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37"/>
    <w:bookmarkStart w:id="239" w:name="ref-rong2018source"/>
    <w:p>
      <w:pPr>
        <w:pStyle w:val="Bibliography"/>
      </w:pPr>
      <w:r>
        <w:t xml:space="preserve">84.</w:t>
      </w:r>
      <w:r>
        <w:t xml:space="preserve"> </w:t>
      </w:r>
      <w:r>
        <w:t xml:space="preserve">	</w:t>
      </w:r>
      <w:r>
        <w:t xml:space="preserve">Rong, C.</w:t>
      </w:r>
      <w:r>
        <w:t xml:space="preserve"> </w:t>
      </w:r>
      <w:r>
        <w:rPr>
          <w:i/>
          <w:iCs/>
        </w:rPr>
        <w:t xml:space="preserve">et al.</w:t>
      </w:r>
      <w:r>
        <w:t xml:space="preserve"> </w:t>
      </w:r>
      <w:hyperlink r:id="rId23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39"/>
    <w:bookmarkStart w:id="241" w:name="ref-deng2019the"/>
    <w:p>
      <w:pPr>
        <w:pStyle w:val="Bibliography"/>
      </w:pPr>
      <w:r>
        <w:t xml:space="preserve">85.</w:t>
      </w:r>
      <w:r>
        <w:t xml:space="preserve"> </w:t>
      </w:r>
      <w:r>
        <w:t xml:space="preserve">	</w:t>
      </w:r>
      <w:r>
        <w:t xml:space="preserve">Deng, X.</w:t>
      </w:r>
      <w:r>
        <w:t xml:space="preserve"> </w:t>
      </w:r>
      <w:r>
        <w:rPr>
          <w:i/>
          <w:iCs/>
        </w:rPr>
        <w:t xml:space="preserve">et al.</w:t>
      </w:r>
      <w:r>
        <w:t xml:space="preserve"> </w:t>
      </w:r>
      <w:hyperlink r:id="rId24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2025-09-24T16:11:30Z</dcterms:created>
  <dcterms:modified xsi:type="dcterms:W3CDTF">2025-09-24T16:11:30Z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