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nil, China.</w:t>
      </w:r>
      <w:r>
        <w:br/>
      </w:r>
      <w:r>
        <w:rPr>
          <w:vertAlign w:val="superscript"/>
        </w:rPr>
        <w:t xml:space="preserve">b</w:t>
      </w:r>
      <w:r>
        <w:t xml:space="preserve"> </w:t>
      </w:r>
      <w:r>
        <w:t xml:space="preserve">Bureau of Hydrology Information Center of Taihu Basin Authority, Shanghai 200434, China, Shanghai nil, nil.</w:t>
      </w:r>
      <w:r>
        <w:br/>
      </w:r>
      <w:r>
        <w:rPr>
          <w:vertAlign w:val="superscript"/>
        </w:rPr>
        <w:t xml:space="preserve">c</w:t>
      </w:r>
      <w:r>
        <w:t xml:space="preserve"> </w:t>
      </w:r>
      <w:r>
        <w:t xml:space="preserve">College of Environmental Science and Engineering, Ocean University of China, Qingdao nil, nil.</w:t>
      </w:r>
      <w:r>
        <w:br/>
      </w:r>
      <w:r>
        <w:rPr>
          <w:vertAlign w:val="superscript"/>
        </w:rPr>
        <w:t xml:space="preserve">d</w:t>
      </w:r>
      <w:r>
        <w:t xml:space="preserve"> </w:t>
      </w:r>
      <w:r>
        <w:t xml:space="preserve">University of Chinese Academy of Sciences. No. 19A Yuquan Road, Shijingshan, Beijing, 100049, China, Beijing nil, nil.</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rPr>
          <w:vertAlign w:val="superscript"/>
        </w:rPr>
        <w:t xml:space="preserve">69</w:t>
      </w:r>
      <w:r>
        <w:t xml:space="preserve">) and quantile regression (</w:t>
      </w:r>
      <w:r>
        <w:rPr>
          <w:rStyle w:val="VerbatimChar"/>
        </w:rPr>
        <w:t xml:space="preserve">quantreg</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2025-09-25T09:07:39Z</dcterms:created>
  <dcterms:modified xsi:type="dcterms:W3CDTF">2025-09-25T09:07:39Z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