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1.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b</w:t>
      </w:r>
      <w:r>
        <w:t xml:space="preserve"> </w:t>
      </w:r>
      <w:r>
        <w:t xml:space="preserve">Bureau of Hydrology Information Center of Taihu Basin Authority, Shanghai 200434, China, Shanghai 200434, [Str "200434"].</w:t>
      </w:r>
      <w:r>
        <w:br/>
      </w:r>
      <w:r>
        <w:rPr>
          <w:vertAlign w:val="superscript"/>
        </w:rPr>
        <w:t xml:space="preserve">c</w:t>
      </w:r>
      <w:r>
        <w:t xml:space="preserve"> </w:t>
      </w:r>
      <w:r>
        <w:t xml:space="preserve">College of Environmental Science and Engineering, Ocean University of China, Qingdao 266100, [Str "266100"].</w:t>
      </w:r>
      <w:r>
        <w:br/>
      </w:r>
      <w:r>
        <w:rPr>
          <w:vertAlign w:val="superscript"/>
        </w:rPr>
        <w:t xml:space="preserve">d</w:t>
      </w:r>
      <w:r>
        <w:t xml:space="preserve"> </w:t>
      </w:r>
      <w:r>
        <w:t xml:space="preserve">University of Chinese Academy of Sciences. No. 19A Yuquan Road, Shijingshan, Beijing, 100049, China, Beijing 100049, [Str "100049"].</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w:t>
      </w:r>
      <w:r>
        <w:t xml:space="preserve"> </w:t>
      </w:r>
      <w:r>
        <w:t xml:space="preserve">Application of the model to Lake Taihu successfully reconstructed two odor events during 2022-2023</w:t>
      </w:r>
      <w:r>
        <w:t xml:space="preserve">,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2-methylisoborneol (MIB); Cell lysis-mediated release; Drinking water early warning; Growth-phase dependent release; Taste and odor.</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problematic problems</w:t>
      </w:r>
      <w:r>
        <w:rPr>
          <w:vertAlign w:val="superscript"/>
        </w:rPr>
        <w:t xml:space="preserve">1–3</w:t>
      </w:r>
      <w:r>
        <w:t xml:space="preserve">. MIB, an odorous terpenoid derivative, poses a persistent challenge in drinking water due to its extremely low odor threshold concentration (OTC) of 4 - 16 ng L</w:t>
      </w:r>
      <w:r>
        <w:rPr>
          <w:vertAlign w:val="superscript"/>
        </w:rPr>
        <w:t xml:space="preserve">-1</w:t>
      </w:r>
      <w:r>
        <w:t xml:space="preserve"> </w:t>
      </w:r>
      <w:r>
        <w:t xml:space="preserve">and its resistance to conventional water treatment processes</w:t>
      </w:r>
      <w:r>
        <w:rPr>
          <w:vertAlign w:val="superscript"/>
        </w:rPr>
        <w:t xml:space="preserve">4–12</w:t>
      </w:r>
      <w:r>
        <w:t xml:space="preserve">.</w:t>
      </w:r>
      <w:r>
        <w:t xml:space="preserve"> </w:t>
      </w:r>
      <w:r>
        <w:t xml:space="preserve">This compound is produced by various microorganisms, including actinomycetes</w:t>
      </w:r>
      <w:r>
        <w:rPr>
          <w:vertAlign w:val="superscript"/>
        </w:rPr>
        <w:t xml:space="preserve">13,14</w:t>
      </w:r>
      <w:r>
        <w:t xml:space="preserve">, cyanobacteria</w:t>
      </w:r>
      <w:r>
        <w:rPr>
          <w:vertAlign w:val="superscript"/>
        </w:rPr>
        <w:t xml:space="preserve">15</w:t>
      </w:r>
      <w:r>
        <w:t xml:space="preserve">, fungi</w:t>
      </w:r>
      <w:r>
        <w:rPr>
          <w:vertAlign w:val="superscript"/>
        </w:rPr>
        <w:t xml:space="preserve">16</w:t>
      </w:r>
      <w:r>
        <w:t xml:space="preserve">, and myxobacteria</w:t>
      </w:r>
      <w:r>
        <w:rPr>
          <w:vertAlign w:val="superscript"/>
        </w:rPr>
        <w:t xml:space="preserve">17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18–23</w:t>
      </w:r>
      <w:r>
        <w:t xml:space="preserve">.</w:t>
      </w:r>
      <w:r>
        <w:t xml:space="preserve"> </w:t>
      </w:r>
      <w:r>
        <w:t xml:space="preserve">Unlike typical bloom-forming algae, MIB-producing cyanobacteria can thrive under moderate nutrient levels, intermediate light intensity, and temperatures of 20–30 °C, allowing them to grow even when conventional bloom species remain limited</w:t>
      </w:r>
      <w:r>
        <w:rPr>
          <w:vertAlign w:val="superscript"/>
        </w:rPr>
        <w:t xml:space="preserve">24–28</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29,30</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31,32</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w:t>
      </w:r>
      <w:r>
        <w:t xml:space="preserve"> </w:t>
      </w:r>
      <w:r>
        <w:t xml:space="preserve">Previous studies have largely overlooked the intracellular and extracellular distribution of MIB, with most models focusing on its degradation kinetics and removal processes</w:t>
      </w:r>
      <w:r>
        <w:rPr>
          <w:vertAlign w:val="superscript"/>
        </w:rPr>
        <w:t xml:space="preserve">33–36</w:t>
      </w:r>
      <w:r>
        <w:t xml:space="preserve">. While some research has highlighted the surge in extracellular MIB during the senescent phase, attributing it to the rupture of algal filaments, the detailed relationship between extracellular MIB fluctuations and the growth cycle remains inadequately explored</w:t>
      </w:r>
      <w:r>
        <w:rPr>
          <w:vertAlign w:val="superscript"/>
        </w:rPr>
        <w:t xml:space="preserve">37</w:t>
      </w:r>
      <w:r>
        <w:t xml:space="preserve">. To date, no study has comprehensively described the trends in intracellular and extracellular MIB distribution or provided a thorough explanation for these changes.</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32,37–39</w:t>
      </w:r>
      <w:r>
        <w:t xml:space="preserve">.</w:t>
      </w:r>
      <w:r>
        <w:t xml:space="preserve"> </w:t>
      </w:r>
      <w:r>
        <w:t xml:space="preserve">The biosynthetic pathway of MIB in cyanobacteria involves the methylation of geranyl diphosphate (GPP), followed by cyclization of methyl-GPP, catalyzed by 2-methylisoborneol synthase (2-MIBS) within the Sg Enc protein shell. Recent structural studies have revealed that the Sg Enc protein is a Family 2B encapsulin shell that self-assembles into an icosahedral nanocompartment, encapsulating 2-MIBS.</w:t>
      </w:r>
      <w:r>
        <w:rPr>
          <w:vertAlign w:val="superscript"/>
        </w:rPr>
        <w:t xml:space="preserve">40–43</w:t>
      </w:r>
      <w:r>
        <w:t xml:space="preserve">.</w:t>
      </w:r>
      <w:r>
        <w:t xml:space="preserve"> </w:t>
      </w:r>
      <w:r>
        <w:t xml:space="preserve">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25,37</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32,44,45</w:t>
      </w:r>
      <w:r>
        <w:t xml:space="preserve">. One hypothesis suggests that cyanobacteria may increase extracellular MIB release under stress to inhibit competing algal species, thereby maintaining ecological dominance</w:t>
      </w:r>
      <w:r>
        <w:rPr>
          <w:vertAlign w:val="superscript"/>
        </w:rPr>
        <w:t xml:space="preserve">45</w:t>
      </w:r>
      <w:r>
        <w:t xml:space="preserve">. Alternatively, extracellular MIB may simply result from cell damage or death under adverse conditions</w:t>
      </w:r>
      <w:r>
        <w:rPr>
          <w:vertAlign w:val="superscript"/>
        </w:rPr>
        <w:t xml:space="preserve">32,46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47–50</w:t>
      </w:r>
      <w:r>
        <w:t xml:space="preserve">. Crowding-induced growth limitation arises from resource competition, spatial constraints, and cell cycle arrest</w:t>
      </w:r>
      <w:r>
        <w:rPr>
          <w:vertAlign w:val="superscript"/>
        </w:rPr>
        <w:t xml:space="preserve">51,52</w:t>
      </w:r>
      <w:r>
        <w:t xml:space="preserve">, while cell death may result from programmed cell death, metabolic stress, mechanical damage, or cell-to-cell interactions</w:t>
      </w:r>
      <w:r>
        <w:rPr>
          <w:vertAlign w:val="superscript"/>
        </w:rPr>
        <w:t xml:space="preserve">53–55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56–58</w:t>
      </w:r>
      <w:r>
        <w:t xml:space="preserve">. This model is particularly useful for analyzing shifts in metabolic activity and the timing of metabolite release, making it well-suited for studying MIB dynamics</w:t>
      </w:r>
      <w:r>
        <w:rPr>
          <w:vertAlign w:val="superscript"/>
        </w:rPr>
        <w:t xml:space="preserve">59,60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mechanistic model describing the temporal variation of</w:t>
      </w:r>
      <w:r>
        <w:t xml:space="preserve"> </w:t>
      </w:r>
      <m:oMath>
        <m:r>
          <m:t>f</m:t>
        </m:r>
      </m:oMath>
      <w:r>
        <w:t xml:space="preserve"> </w:t>
      </w:r>
      <w:r>
        <w:t xml:space="preserve">using culture experiments with typical MIB-producing strains. The goals of this work are (i) to explain MIB release patterns during cell growth, (ii) to assess growth-stage distributions of odor-producing cyanobacteria in Taihu Lake and predict odor risk during MIB outbreaks, and (iii) to provide new insights into MIB release dynamics, enhance understanding of cyanobacterial odor production, and offer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 It is also extensively used for irrigation and aquaculture, making water quality a vital concern for local ecosystems and livelihoods.</w:t>
      </w:r>
      <w:r>
        <w:t xml:space="preserve"> </w:t>
      </w:r>
      <w:r>
        <w:t xml:space="preserve">Considering the more widespread occurrence of MIB-related odor issues, and the fact that Lake Taihu serves as a major drinking water source, both MIB and GSM have been routinely monitored. However, as GSM concentrations have consistently remained low while MIB has shown an increasing trend, MIB was selected as the primary focus of this study.</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r>
        <w:t xml:space="preserve"> </w:t>
      </w:r>
      <w:r>
        <w:t xml:space="preserve">The water samples were sealed in brown narrow-mouth sampling bottles and taken to the laboratory for pretreatment within four hours.</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61</w:t>
      </w:r>
      <w:r>
        <w:t xml:space="preserve">.</w:t>
      </w:r>
      <w:r>
        <w:t xml:space="preserve"> </w:t>
      </w:r>
      <w:r>
        <w:t xml:space="preserve">Total MIB production potential was determined by measuring its concentration within 72 hours using solid-phase microextraction (SPME) coupled with gas chromatography-mass spectrometry (GC-MS; Agilent 7890, USA) equipped with an Agilent VF-624ms column (USA), following established protocols</w:t>
      </w:r>
      <w:r>
        <w:rPr>
          <w:vertAlign w:val="superscript"/>
        </w:rPr>
        <w:t xml:space="preserve">19,35,62</w:t>
      </w:r>
      <w:r>
        <w:t xml:space="preserve">.</w:t>
      </w:r>
    </w:p>
    <w:p>
      <w:pPr>
        <w:pStyle w:val="BodyText"/>
      </w:pPr>
      <w:r>
        <w:t xml:space="preserve">For phytoplankton enumeration, subsamples (1000 mL) were fixed with 5% Lugol’s iodine solution</w:t>
      </w:r>
      <w:r>
        <w:rPr>
          <w:vertAlign w:val="superscript"/>
        </w:rPr>
        <w:t xml:space="preserve">63</w:t>
      </w:r>
      <w:r>
        <w:t xml:space="preserve">, settled for 48 hours, and pre-concentrated 20-fold before analysis.</w:t>
      </w:r>
      <w:r>
        <w:t xml:space="preserve"> </w:t>
      </w:r>
      <w:r>
        <w:t xml:space="preserve">Cyanobacterial species were identified based on morphological criteria</w:t>
      </w:r>
      <w:r>
        <w:rPr>
          <w:vertAlign w:val="superscript"/>
        </w:rPr>
        <w:t xml:space="preserve">64</w:t>
      </w:r>
      <w:r>
        <w:t xml:space="preserve">, with taxonomic revisions following ref</w:t>
      </w:r>
      <w:r>
        <w:rPr>
          <w:vertAlign w:val="superscript"/>
        </w:rPr>
        <w:t xml:space="preserve">65</w:t>
      </w:r>
      <w:r>
        <w:t xml:space="preserve">. Cell counts were performed using an upright microscope (Olympus BX53, Japan) following the Utermöhl method</w:t>
      </w:r>
      <w:r>
        <w:rPr>
          <w:vertAlign w:val="superscript"/>
        </w:rPr>
        <w:t xml:space="preserve">66</w:t>
      </w:r>
      <w:r>
        <w:t xml:space="preserve">.</w:t>
      </w:r>
    </w:p>
    <w:bookmarkEnd w:id="27"/>
    <w:bookmarkStart w:id="32" w:name="model-development"/>
    <w:p>
      <w:pPr>
        <w:pStyle w:val="Heading2"/>
      </w:pPr>
      <w:r>
        <w:t xml:space="preserve">Model Development</w:t>
      </w:r>
    </w:p>
    <w:p>
      <w:pPr>
        <w:pStyle w:val="FirstParagraph"/>
      </w:pPr>
      <w:r>
        <w:t xml:space="preserve">The model was constructed on a Lenovo ThinkStation workstation (P350) running a Linux-based RStudio Server environment.</w:t>
      </w:r>
      <w:r>
        <w:t xml:space="preserve"> </w:t>
      </w: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58,60</w:t>
      </w:r>
      <w:r>
        <w:t xml:space="preserve">, and</w:t>
      </w:r>
      <w:r>
        <w:t xml:space="preserve"> </w:t>
      </w:r>
      <m:oMath>
        <m:r>
          <m:t>θ</m:t>
        </m:r>
      </m:oMath>
      <w:r>
        <w:t xml:space="preserve"> </w:t>
      </w:r>
      <w:r>
        <w:t xml:space="preserve">denotes the initial growth potential.</w:t>
      </w:r>
      <w:r>
        <w:t xml:space="preserve"> </w:t>
      </w:r>
      <w:r>
        <w:t xml:space="preserve">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The odor-producing cyanobacterial strains</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25</w:t>
      </w:r>
      <w:r>
        <w:t xml:space="preserve">)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w:t>
      </w:r>
      <w:r>
        <w:t xml:space="preserve"> </w:t>
      </w: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rPr>
          <w:i/>
          <w:iCs/>
        </w:rPr>
        <w:t xml:space="preserve">Planktothricoides raciborskii</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serves as a correction factor representing the influence of physical and biological processes in the environment on MIB concentrations, such as degradation, volatilization, adsorption, and accumulation effects.</w:t>
      </w:r>
      <w:r>
        <w:t xml:space="preserve"> </w:t>
      </w:r>
      <w:r>
        <w:t xml:space="preserve">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performed a probabilistic analysis of</w:t>
      </w:r>
      <w:r>
        <w:t xml:space="preserve"> </w:t>
      </w:r>
      <m:oMath>
        <m:r>
          <m:t>S</m:t>
        </m:r>
        <m:r>
          <m:t>t</m:t>
        </m:r>
      </m:oMath>
      <w:r>
        <w:t xml:space="preserve"> </w:t>
      </w:r>
      <w:r>
        <w:t xml:space="preserve">and</w:t>
      </w:r>
      <w:r>
        <w:t xml:space="preserve"> </w:t>
      </w:r>
      <m:oMath>
        <m:sSub>
          <m:e>
            <m:r>
              <m:t>t</m:t>
            </m:r>
          </m:e>
          <m:sub>
            <m:r>
              <m:rPr>
                <m:nor/>
                <m:sty m:val="p"/>
              </m:rPr>
              <m:t>MIB</m:t>
            </m:r>
          </m:sub>
        </m:sSub>
      </m:oMath>
      <w:r>
        <w:t xml:space="preserve">, calculated the probability distribution of</w:t>
      </w:r>
      <w:r>
        <w:t xml:space="preserve"> </w:t>
      </w:r>
      <m:oMath>
        <m:sSub>
          <m:e>
            <m:r>
              <m:t>t</m:t>
            </m:r>
          </m:e>
          <m:sub>
            <m:r>
              <m:rPr>
                <m:nor/>
                <m:sty m:val="p"/>
              </m:rPr>
              <m:t>MIB</m:t>
            </m:r>
          </m:sub>
        </m:sSub>
      </m:oMath>
      <w:r>
        <w:t xml:space="preserve"> </w:t>
      </w:r>
      <w:r>
        <w:t xml:space="preserve">within each</w:t>
      </w:r>
      <w:r>
        <w:t xml:space="preserve"> </w:t>
      </w:r>
      <m:oMath>
        <m:r>
          <m:t>S</m:t>
        </m:r>
        <m:r>
          <m:t>t</m:t>
        </m:r>
      </m:oMath>
      <w:r>
        <w:t xml:space="preserve"> </w:t>
      </w:r>
      <w:r>
        <w:t xml:space="preserve">interval, and used the expected value as the representative concentration for that interval.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67</w:t>
      </w:r>
      <w:r>
        <w:t xml:space="preserve">. Data preprocessing and summarization used</w:t>
      </w:r>
      <w:r>
        <w:t xml:space="preserve"> </w:t>
      </w:r>
      <w:r>
        <w:rPr>
          <w:rStyle w:val="VerbatimChar"/>
        </w:rPr>
        <w:t xml:space="preserve">dplyr</w:t>
      </w:r>
      <w:r>
        <w:rPr>
          <w:vertAlign w:val="superscript"/>
        </w:rPr>
        <w:t xml:space="preserve">68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rPr>
          <w:vertAlign w:val="superscript"/>
        </w:rPr>
        <w:t xml:space="preserve">69</w:t>
      </w:r>
      <w:r>
        <w:t xml:space="preserve">) and quantile regression (</w:t>
      </w:r>
      <w:r>
        <w:rPr>
          <w:rStyle w:val="VerbatimChar"/>
        </w:rPr>
        <w:t xml:space="preserve">quantreg</w:t>
      </w:r>
      <w:r>
        <w:rPr>
          <w:vertAlign w:val="superscript"/>
        </w:rPr>
        <w:t xml:space="preserve">70</w:t>
      </w:r>
      <w:r>
        <w:t xml:space="preserve">) were applied where appropriate. Figures were generated using</w:t>
      </w:r>
      <w:r>
        <w:t xml:space="preserve"> </w:t>
      </w:r>
      <w:r>
        <w:rPr>
          <w:rStyle w:val="VerbatimChar"/>
        </w:rPr>
        <w:t xml:space="preserve">ggplot2</w:t>
      </w:r>
      <w:r>
        <w:rPr>
          <w:vertAlign w:val="superscript"/>
        </w:rPr>
        <w:t xml:space="preserve">71</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0"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w:t>
      </w:r>
      <w:r>
        <w:t xml:space="preserve"> </w:t>
      </w:r>
      <w:r>
        <w:t xml:space="preserve">Euclidean distance was used as the distance metric, and complete linkage was applied as the agglomeration method in the cluster analysis of MIB concentrations from all 31 sampling sites. This analysis revealed four distinct spatial clusters corresponding to different lake regions (West, Center, Southeast, and North)(Fig. S1).</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w:t>
      </w:r>
      <w:r>
        <w:t xml:space="preserve"> </w:t>
      </w:r>
      <w:r>
        <w:t xml:space="preserve">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w:t>
      </w:r>
      <w:r>
        <w:t xml:space="preserve"> </w:t>
      </w:r>
      <w:r>
        <w:t xml:space="preserve">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27</w:t>
            </w:r>
            <w:r>
              <w:t xml:space="preserve"> </w:t>
            </w:r>
            <w:r>
              <w:t xml:space="preserve">and</w:t>
            </w:r>
            <w:r>
              <w:rPr>
                <w:vertAlign w:val="superscript"/>
              </w:rPr>
              <w:t xml:space="preserve">25</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w:t>
      </w:r>
      <w:r>
        <w:t xml:space="preserve"> </w:t>
      </w:r>
      <w:r>
        <w:t xml:space="preserve">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Field monitoring of algae has shown that Pseudoanabaena is the main odor-producing cyanobacterium. Therefore, when applying the model to Lake Taihu, MIB is assumed to be solely produced by Pseudoanabaena.</w:t>
      </w:r>
      <w:r>
        <w:t xml:space="preserve"> </w:t>
      </w: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End w:id="60"/>
    <w:bookmarkStart w:id="72" w:name="discussion"/>
    <w:p>
      <w:pPr>
        <w:pStyle w:val="Heading1"/>
      </w:pPr>
      <w:r>
        <w:t xml:space="preserve">Discussion</w:t>
      </w:r>
    </w:p>
    <w:bookmarkStart w:id="65"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4" w:name="fig-lighttemp"/>
          <w:p>
            <w:pPr>
              <w:pStyle w:val="Compact"/>
              <w:jc w:val="center"/>
            </w:pPr>
            <w:r>
              <w:drawing>
                <wp:inline>
                  <wp:extent cx="4602480" cy="3076117"/>
                  <wp:effectExtent b="0" l="0" r="0" t="0"/>
                  <wp:docPr descr="" title="" id="62" name="Picture"/>
                  <a:graphic>
                    <a:graphicData uri="http://schemas.openxmlformats.org/drawingml/2006/picture">
                      <pic:pic>
                        <pic:nvPicPr>
                          <pic:cNvPr descr="../figures/taihualgaerisk_revised.png" id="63" name="Picture"/>
                          <pic:cNvPicPr>
                            <a:picLocks noChangeArrowheads="1" noChangeAspect="1"/>
                          </pic:cNvPicPr>
                        </pic:nvPicPr>
                        <pic:blipFill>
                          <a:blip r:embed="rId61"/>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4"/>
        </w:tc>
      </w:tr>
    </w:tbl>
    <w:bookmarkEnd w:id="65"/>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72,73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w:t>
      </w:r>
      <w:r>
        <w:t xml:space="preserve"> </w:t>
      </w:r>
      <w:r>
        <w:t xml:space="preserve">a key indicator</w:t>
      </w:r>
      <w:r>
        <w:t xml:space="preserve"> </w:t>
      </w:r>
      <w:r>
        <w:t xml:space="preserve">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74</w:t>
      </w:r>
      <w:r>
        <w:t xml:space="preserve">. The major mechanism of MIB release is cell lysis, occurring either through programmed cell death or mechanical rupture of the cell wall</w:t>
      </w:r>
      <w:r>
        <w:rPr>
          <w:vertAlign w:val="superscript"/>
        </w:rPr>
        <w:t xml:space="preserve">32,37,39,46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w:t>
      </w:r>
      <w:r>
        <w:t xml:space="preserve"> </w:t>
      </w:r>
      <w:r>
        <w:t xml:space="preserve">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r>
        <w:t xml:space="preserve"> </w:t>
      </w:r>
      <w:r>
        <w:t xml:space="preserve">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75</w:t>
      </w:r>
      <w:r>
        <w:t xml:space="preserve">.</w:t>
      </w:r>
      <w:r>
        <w:t xml:space="preserve"> </w:t>
      </w:r>
      <w:r>
        <w:t xml:space="preserve">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in natural environments may affect the model’s performance, highlighting areas for future improvement.</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028"/>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028"/>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32,37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r>
        <w:t xml:space="preserve"> </w:t>
      </w:r>
      <w:r>
        <w:t xml:space="preserve">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76,77</w:t>
      </w:r>
      <w:r>
        <w:t xml:space="preserve">. Temperature and light availability emerge as the principal environmental regulators of this pattern.</w:t>
      </w:r>
      <w:r>
        <w:t xml:space="preserve"> </w:t>
      </w:r>
      <w:r>
        <w:t xml:space="preserve">When surface water temperatures exceed 15°C in April-May, MIB-producing cyanobacteria achieve substantial growth rates</w:t>
      </w:r>
      <w:r>
        <w:rPr>
          <w:vertAlign w:val="superscript"/>
        </w:rPr>
        <w:t xml:space="preserve">78–80</w:t>
      </w:r>
      <w:r>
        <w:t xml:space="preserve">, benefiting from minimal competition and resulting in spring MIB peaks. In the Shanghai QCS Reservoir, located at the same latitude, an MIB outbreak caused by Pseudoanabaena was observed at the end of April</w:t>
      </w:r>
      <w:r>
        <w:rPr>
          <w:vertAlign w:val="superscript"/>
        </w:rPr>
        <w:t xml:space="preserve">27</w:t>
      </w:r>
      <w:r>
        <w:t xml:space="preserve">.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81,82</w:t>
      </w:r>
      <w:r>
        <w:t xml:space="preserve">. Summer conditions typically optimize growth for</w:t>
      </w:r>
      <w:r>
        <w:t xml:space="preserve"> </w:t>
      </w:r>
      <w:r>
        <w:rPr>
          <w:i/>
          <w:iCs/>
        </w:rPr>
        <w:t xml:space="preserve">Pseudanabaena</w:t>
      </w:r>
      <w:r>
        <w:t xml:space="preserve">, when the temperature rises to 30°C, odor-producing cyanobacteria gain a competitive advantage over traditional bloom-forming algae, resulting in an increased odor risk</w:t>
      </w:r>
      <w:r>
        <w:rPr>
          <w:vertAlign w:val="superscript"/>
        </w:rPr>
        <w:t xml:space="preserve">77,81,83,84</w:t>
      </w:r>
      <w:r>
        <w:t xml:space="preserve">. This ecological succession aligns with observed microcystin concentration trends</w:t>
      </w:r>
      <w:r>
        <w:rPr>
          <w:vertAlign w:val="superscript"/>
        </w:rPr>
        <w:t xml:space="preserve">76</w:t>
      </w:r>
      <w:r>
        <w:t xml:space="preserve"> </w:t>
      </w:r>
      <w:r>
        <w:t xml:space="preserve">and documented phytoplankton community shifts</w:t>
      </w:r>
      <w:r>
        <w:rPr>
          <w:vertAlign w:val="superscript"/>
        </w:rPr>
        <w:t xml:space="preserve">85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w:t>
      </w:r>
      <w:r>
        <w:t xml:space="preserve"> </w:t>
      </w:r>
      <w:r>
        <w:t xml:space="preserve">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Where</w:t>
      </w:r>
      <w:r>
        <w:t xml:space="preserve"> </w:t>
      </w:r>
      <m:oMath>
        <m:sSub>
          <m:e>
            <m:r>
              <m:t>α</m:t>
            </m:r>
          </m:e>
          <m:sub>
            <m:r>
              <m:t>1</m:t>
            </m:r>
          </m:sub>
        </m:sSub>
      </m:oMath>
      <w:r>
        <w:t xml:space="preserve"> </w:t>
      </w:r>
      <w:r>
        <w:t xml:space="preserve">represents the coefficient between the rate of change in</w:t>
      </w:r>
      <w:r>
        <w:t xml:space="preserve"> </w:t>
      </w:r>
      <m:oMath>
        <m:r>
          <m:t>f</m:t>
        </m:r>
      </m:oMath>
      <w:r>
        <w:t xml:space="preserve"> </w:t>
      </w:r>
      <w:r>
        <w:t xml:space="preserve">with respect to cell density, indicating the magnitude of the crowding effect on the intracellular-extracellular distribution of MIB as the cell growth stage progresses, and is influenced by the cell growth rate.</w:t>
      </w:r>
      <w:r>
        <w:t xml:space="preserve"> </w:t>
      </w:r>
      <m:oMath>
        <m:r>
          <m:t>β</m:t>
        </m:r>
      </m:oMath>
      <w:r>
        <w:t xml:space="preserve"> </w:t>
      </w:r>
      <w:r>
        <w:t xml:space="preserve">represents the correction factor for MIB degradation or accumulation effects, and is related to the odor production efficiency of individual cells.</w:t>
      </w:r>
      <w:r>
        <w:t xml:space="preserve"> </w:t>
      </w:r>
      <w:r>
        <w:t xml:space="preserve">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27</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25</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43" w:name="references"/>
    <w:p>
      <w:pPr>
        <w:pStyle w:val="Heading1"/>
      </w:pPr>
      <w:r>
        <w:t xml:space="preserve">References</w:t>
      </w:r>
    </w:p>
    <w:bookmarkStart w:id="242"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 (2011).</w:t>
      </w:r>
    </w:p>
    <w:bookmarkEnd w:id="81"/>
    <w:bookmarkStart w:id="83" w:name="ref-devi2021quantitative"/>
    <w:p>
      <w:pPr>
        <w:pStyle w:val="Bibliography"/>
      </w:pPr>
      <w:r>
        <w:t xml:space="preserve">2.</w:t>
      </w:r>
      <w:r>
        <w:t xml:space="preserve"> </w:t>
      </w:r>
      <w:r>
        <w:t xml:space="preserve">	</w:t>
      </w:r>
      <w:r>
        <w:t xml:space="preserve">Devi, A., Chiu, Y.-T., Hsueh, H.-T. &amp; Lin, T.-F.</w:t>
      </w:r>
      <w:r>
        <w:t xml:space="preserve"> </w:t>
      </w:r>
      <w:hyperlink r:id="rId82">
        <w:r>
          <w:rPr>
            <w:rStyle w:val="Hyperlink"/>
          </w:rPr>
          <w:t xml:space="preserve">Quantitative PCR based detection system for cyanobacterial geosmin/2-methylisoborneol (2-</w:t>
        </w:r>
        <w:r>
          <w:rPr>
            <w:rStyle w:val="Hyperlink"/>
          </w:rPr>
          <w:t xml:space="preserve">MIB</w:t>
        </w:r>
        <w:r>
          <w:rPr>
            <w:rStyle w:val="Hyperlink"/>
          </w:rPr>
          <w:t xml:space="preserve">) events in drinking water sources: Current status and challenges</w:t>
        </w:r>
      </w:hyperlink>
      <w:r>
        <w:t xml:space="preserve">.</w:t>
      </w:r>
      <w:r>
        <w:t xml:space="preserve"> </w:t>
      </w:r>
      <w:r>
        <w:rPr>
          <w:i/>
          <w:iCs/>
        </w:rPr>
        <w:t xml:space="preserve">Water Research</w:t>
      </w:r>
      <w:r>
        <w:t xml:space="preserve"> </w:t>
      </w:r>
      <w:r>
        <w:rPr>
          <w:b/>
          <w:bCs/>
        </w:rPr>
        <w:t xml:space="preserve">188</w:t>
      </w:r>
      <w:r>
        <w:t xml:space="preserve">, 116478 (2021).</w:t>
      </w:r>
    </w:p>
    <w:bookmarkEnd w:id="83"/>
    <w:bookmarkStart w:id="85" w:name="ref-suurnakki2015identification"/>
    <w:p>
      <w:pPr>
        <w:pStyle w:val="Bibliography"/>
      </w:pPr>
      <w:r>
        <w:t xml:space="preserve">3.</w:t>
      </w:r>
      <w:r>
        <w:t xml:space="preserve"> </w:t>
      </w:r>
      <w:r>
        <w:t xml:space="preserve">	</w:t>
      </w:r>
      <w:r>
        <w:t xml:space="preserve">Suurnäkki, S.</w:t>
      </w:r>
      <w:r>
        <w:t xml:space="preserve"> </w:t>
      </w:r>
      <w:r>
        <w:rPr>
          <w:i/>
          <w:iCs/>
        </w:rPr>
        <w:t xml:space="preserve">et al.</w:t>
      </w:r>
      <w:r>
        <w:t xml:space="preserve"> </w:t>
      </w:r>
      <w:hyperlink r:id="rId84">
        <w:r>
          <w:rPr>
            <w:rStyle w:val="Hyperlink"/>
          </w:rPr>
          <w:t xml:space="preserve">Identification of geosmin and 2-methylisoborneol in cyanobacteria and molecular detection methods for the producers of these compounds</w:t>
        </w:r>
      </w:hyperlink>
      <w:r>
        <w:t xml:space="preserve">.</w:t>
      </w:r>
      <w:r>
        <w:t xml:space="preserve"> </w:t>
      </w:r>
      <w:r>
        <w:rPr>
          <w:i/>
          <w:iCs/>
        </w:rPr>
        <w:t xml:space="preserve">Water Research</w:t>
      </w:r>
      <w:r>
        <w:t xml:space="preserve"> </w:t>
      </w:r>
      <w:r>
        <w:rPr>
          <w:b/>
          <w:bCs/>
        </w:rPr>
        <w:t xml:space="preserve">68</w:t>
      </w:r>
      <w:r>
        <w:t xml:space="preserve">, 56–66 (2015).</w:t>
      </w:r>
    </w:p>
    <w:bookmarkEnd w:id="85"/>
    <w:bookmarkStart w:id="87" w:name="ref-izaguirre2004a"/>
    <w:p>
      <w:pPr>
        <w:pStyle w:val="Bibliography"/>
      </w:pPr>
      <w:r>
        <w:t xml:space="preserve">4.</w:t>
      </w:r>
      <w:r>
        <w:t xml:space="preserve"> </w:t>
      </w:r>
      <w:r>
        <w:t xml:space="preserve">	</w:t>
      </w:r>
      <w:r>
        <w:t xml:space="preserve">Izaguirre, G. &amp; Taylor, W. D.</w:t>
      </w:r>
      <w:r>
        <w:t xml:space="preserve"> </w:t>
      </w:r>
      <w:hyperlink r:id="rId86">
        <w:r>
          <w:rPr>
            <w:rStyle w:val="Hyperlink"/>
          </w:rPr>
          <w:t xml:space="preserve">A guide to geosmin- and MIB-producing cyanobacteria in the united states</w:t>
        </w:r>
      </w:hyperlink>
      <w:r>
        <w:t xml:space="preserve">.</w:t>
      </w:r>
      <w:r>
        <w:t xml:space="preserve"> </w:t>
      </w:r>
      <w:r>
        <w:rPr>
          <w:i/>
          <w:iCs/>
        </w:rPr>
        <w:t xml:space="preserve">Water Science and Technology</w:t>
      </w:r>
      <w:r>
        <w:t xml:space="preserve"> </w:t>
      </w:r>
      <w:r>
        <w:rPr>
          <w:b/>
          <w:bCs/>
        </w:rPr>
        <w:t xml:space="preserve">49</w:t>
      </w:r>
      <w:r>
        <w:t xml:space="preserve">, 19–24 (2004).</w:t>
      </w:r>
    </w:p>
    <w:bookmarkEnd w:id="87"/>
    <w:bookmarkStart w:id="89" w:name="ref-wang2023risk"/>
    <w:p>
      <w:pPr>
        <w:pStyle w:val="Bibliography"/>
      </w:pPr>
      <w:r>
        <w:t xml:space="preserve">5.</w:t>
      </w:r>
      <w:r>
        <w:t xml:space="preserve"> </w:t>
      </w:r>
      <w:r>
        <w:t xml:space="preserve">	</w:t>
      </w:r>
      <w:r>
        <w:t xml:space="preserve">Wang, C.</w:t>
      </w:r>
      <w:r>
        <w:t xml:space="preserve"> </w:t>
      </w:r>
      <w:r>
        <w:rPr>
          <w:i/>
          <w:iCs/>
        </w:rPr>
        <w:t xml:space="preserve">et al.</w:t>
      </w:r>
      <w:r>
        <w:t xml:space="preserve"> </w:t>
      </w:r>
      <w:hyperlink r:id="rId88">
        <w:r>
          <w:rPr>
            <w:rStyle w:val="Hyperlink"/>
          </w:rPr>
          <w:t xml:space="preserve">Risk assessment for 2-MIB odor complaint in drinking water based on zero-inflated log-normal model</w:t>
        </w:r>
      </w:hyperlink>
      <w:r>
        <w:t xml:space="preserve">.</w:t>
      </w:r>
      <w:r>
        <w:t xml:space="preserve"> </w:t>
      </w:r>
      <w:r>
        <w:rPr>
          <w:i/>
          <w:iCs/>
        </w:rPr>
        <w:t xml:space="preserve">ACS ES&amp;T Water</w:t>
      </w:r>
      <w:r>
        <w:t xml:space="preserve"> </w:t>
      </w:r>
      <w:r>
        <w:rPr>
          <w:b/>
          <w:bCs/>
        </w:rPr>
        <w:t xml:space="preserve">4</w:t>
      </w:r>
      <w:r>
        <w:t xml:space="preserve">, 146–154 (2023).</w:t>
      </w:r>
    </w:p>
    <w:bookmarkEnd w:id="89"/>
    <w:bookmarkStart w:id="91" w:name="ref-suffet1999drinking"/>
    <w:p>
      <w:pPr>
        <w:pStyle w:val="Bibliography"/>
      </w:pPr>
      <w:r>
        <w:t xml:space="preserve">6.</w:t>
      </w:r>
      <w:r>
        <w:t xml:space="preserve"> </w:t>
      </w:r>
      <w:r>
        <w:t xml:space="preserve">	</w:t>
      </w:r>
      <w:r>
        <w:t xml:space="preserve">Suffet, I. h. (mel), Khiari, D. &amp; Bruchet, A.</w:t>
      </w:r>
      <w:r>
        <w:t xml:space="preserve"> </w:t>
      </w:r>
      <w:hyperlink r:id="rId90">
        <w:r>
          <w:rPr>
            <w:rStyle w:val="Hyperlink"/>
          </w:rPr>
          <w:t xml:space="preserve">The drinking water taste and odor wheel for the millennium: Beyond geosmin and 2-methylisoborneol</w:t>
        </w:r>
      </w:hyperlink>
      <w:r>
        <w:t xml:space="preserve">.</w:t>
      </w:r>
      <w:r>
        <w:t xml:space="preserve"> </w:t>
      </w:r>
      <w:r>
        <w:rPr>
          <w:i/>
          <w:iCs/>
        </w:rPr>
        <w:t xml:space="preserve">Water Science and Technology</w:t>
      </w:r>
      <w:r>
        <w:t xml:space="preserve"> </w:t>
      </w:r>
      <w:r>
        <w:rPr>
          <w:b/>
          <w:bCs/>
        </w:rPr>
        <w:t xml:space="preserve">40</w:t>
      </w:r>
      <w:r>
        <w:t xml:space="preserve">, 1–13 (1999).</w:t>
      </w:r>
    </w:p>
    <w:bookmarkEnd w:id="91"/>
    <w:bookmarkStart w:id="93" w:name="ref-gillogly1999a"/>
    <w:p>
      <w:pPr>
        <w:pStyle w:val="Bibliography"/>
      </w:pPr>
      <w:r>
        <w:t xml:space="preserve">7.</w:t>
      </w:r>
      <w:r>
        <w:t xml:space="preserve"> </w:t>
      </w:r>
      <w:r>
        <w:t xml:space="preserve">	</w:t>
      </w:r>
      <w:r>
        <w:t xml:space="preserve">Gillogly, T. E. T., Snoeyink, V. L., Newcombe, G. &amp; Elarde, J. R.</w:t>
      </w:r>
      <w:r>
        <w:t xml:space="preserve"> </w:t>
      </w:r>
      <w:hyperlink r:id="rId92">
        <w:r>
          <w:rPr>
            <w:rStyle w:val="Hyperlink"/>
          </w:rPr>
          <w:t xml:space="preserve">A simplified method to determine the powdered activated carbon dose required to remove methylisoborneol</w:t>
        </w:r>
      </w:hyperlink>
      <w:r>
        <w:t xml:space="preserve">.</w:t>
      </w:r>
      <w:r>
        <w:t xml:space="preserve"> </w:t>
      </w:r>
      <w:r>
        <w:rPr>
          <w:i/>
          <w:iCs/>
        </w:rPr>
        <w:t xml:space="preserve">Water Science and Technology</w:t>
      </w:r>
      <w:r>
        <w:t xml:space="preserve"> </w:t>
      </w:r>
      <w:r>
        <w:rPr>
          <w:b/>
          <w:bCs/>
        </w:rPr>
        <w:t xml:space="preserve">40</w:t>
      </w:r>
      <w:r>
        <w:t xml:space="preserve">, 59–64 (1999).</w:t>
      </w:r>
    </w:p>
    <w:bookmarkEnd w:id="93"/>
    <w:bookmarkStart w:id="95" w:name="ref-dionigi1991effects"/>
    <w:p>
      <w:pPr>
        <w:pStyle w:val="Bibliography"/>
      </w:pPr>
      <w:r>
        <w:t xml:space="preserve">8.</w:t>
      </w:r>
      <w:r>
        <w:t xml:space="preserve"> </w:t>
      </w:r>
      <w:r>
        <w:t xml:space="preserve">	</w:t>
      </w:r>
      <w:r>
        <w:t xml:space="preserve">Dionigi, C. P., Millie, D. F. &amp; Johnsen, P. B.</w:t>
      </w:r>
      <w:r>
        <w:t xml:space="preserve"> </w:t>
      </w:r>
      <w:hyperlink r:id="rId94">
        <w:r>
          <w:rPr>
            <w:rStyle w:val="Hyperlink"/>
          </w:rPr>
          <w:t xml:space="preserve">Effects of farnesol and the off-flavor derivative geosmin on</w:t>
        </w:r>
        <w:r>
          <w:rPr>
            <w:rStyle w:val="Hyperlink"/>
          </w:rPr>
          <w:t xml:space="preserve"> </w:t>
        </w:r>
        <w:r>
          <w:rPr>
            <w:rStyle w:val="Hyperlink"/>
            <w:i/>
            <w:iCs/>
          </w:rPr>
          <w:t xml:space="preserve">Streptomyces Tendae</w:t>
        </w:r>
      </w:hyperlink>
      <w:r>
        <w:t xml:space="preserve">.</w:t>
      </w:r>
      <w:r>
        <w:t xml:space="preserve"> </w:t>
      </w:r>
      <w:r>
        <w:rPr>
          <w:i/>
          <w:iCs/>
        </w:rPr>
        <w:t xml:space="preserve">Applied and Environmental Microbiology</w:t>
      </w:r>
      <w:r>
        <w:t xml:space="preserve"> </w:t>
      </w:r>
      <w:r>
        <w:rPr>
          <w:b/>
          <w:bCs/>
        </w:rPr>
        <w:t xml:space="preserve">57</w:t>
      </w:r>
      <w:r>
        <w:t xml:space="preserve">, 3429–3432 (1991).</w:t>
      </w:r>
    </w:p>
    <w:bookmarkEnd w:id="95"/>
    <w:bookmarkStart w:id="97" w:name="ref-lin2002correlation"/>
    <w:p>
      <w:pPr>
        <w:pStyle w:val="Bibliography"/>
      </w:pPr>
      <w:r>
        <w:t xml:space="preserve">9.</w:t>
      </w:r>
      <w:r>
        <w:t xml:space="preserve"> </w:t>
      </w:r>
      <w:r>
        <w:t xml:space="preserve">	</w:t>
      </w:r>
      <w:r>
        <w:t xml:space="preserve">Lin, T.-F., Wong, J.-Y. &amp; Kao, H.-P.</w:t>
      </w:r>
      <w:r>
        <w:t xml:space="preserve"> </w:t>
      </w:r>
      <w:hyperlink r:id="rId96">
        <w:r>
          <w:rPr>
            <w:rStyle w:val="Hyperlink"/>
          </w:rPr>
          <w:t xml:space="preserve">Correlation of musty odor and 2-</w:t>
        </w:r>
        <w:r>
          <w:rPr>
            <w:rStyle w:val="Hyperlink"/>
          </w:rPr>
          <w:t xml:space="preserve">MIB</w:t>
        </w:r>
        <w:r>
          <w:rPr>
            <w:rStyle w:val="Hyperlink"/>
          </w:rPr>
          <w:t xml:space="preserve"> </w:t>
        </w:r>
        <w:r>
          <w:rPr>
            <w:rStyle w:val="Hyperlink"/>
          </w:rPr>
          <w:t xml:space="preserve">in two drinking water treatment plants in south taiwan</w:t>
        </w:r>
      </w:hyperlink>
      <w:r>
        <w:t xml:space="preserve">.</w:t>
      </w:r>
      <w:r>
        <w:t xml:space="preserve"> </w:t>
      </w:r>
      <w:r>
        <w:rPr>
          <w:i/>
          <w:iCs/>
        </w:rPr>
        <w:t xml:space="preserve">Science of the Total Environment</w:t>
      </w:r>
      <w:r>
        <w:t xml:space="preserve"> </w:t>
      </w:r>
      <w:r>
        <w:rPr>
          <w:b/>
          <w:bCs/>
        </w:rPr>
        <w:t xml:space="preserve">289</w:t>
      </w:r>
      <w:r>
        <w:t xml:space="preserve">, 225–235 (2002).</w:t>
      </w:r>
    </w:p>
    <w:bookmarkEnd w:id="97"/>
    <w:bookmarkStart w:id="99" w:name="ref-li2019variation"/>
    <w:p>
      <w:pPr>
        <w:pStyle w:val="Bibliography"/>
      </w:pPr>
      <w:r>
        <w:t xml:space="preserve">10.</w:t>
      </w:r>
      <w:r>
        <w:t xml:space="preserve"> </w:t>
      </w:r>
      <w:r>
        <w:t xml:space="preserve">	</w:t>
      </w:r>
      <w:r>
        <w:t xml:space="preserve">Li, L., Yang, S., Yu, S. &amp; Zhang, Y.</w:t>
      </w:r>
      <w:r>
        <w:t xml:space="preserve"> </w:t>
      </w:r>
      <w:hyperlink r:id="rId98">
        <w:r>
          <w:rPr>
            <w:rStyle w:val="Hyperlink"/>
          </w:rPr>
          <w:t xml:space="preserve">Variation and removal of 2-</w:t>
        </w:r>
        <w:r>
          <w:rPr>
            <w:rStyle w:val="Hyperlink"/>
          </w:rPr>
          <w:t xml:space="preserve">MIB</w:t>
        </w:r>
        <w:r>
          <w:rPr>
            <w:rStyle w:val="Hyperlink"/>
          </w:rPr>
          <w:t xml:space="preserve"> </w:t>
        </w:r>
        <w:r>
          <w:rPr>
            <w:rStyle w:val="Hyperlink"/>
          </w:rPr>
          <w:t xml:space="preserve">in full-scale treatment plants with source water from</w:t>
        </w:r>
        <w:r>
          <w:rPr>
            <w:rStyle w:val="Hyperlink"/>
          </w:rPr>
          <w:t xml:space="preserve"> </w:t>
        </w:r>
        <w:r>
          <w:rPr>
            <w:rStyle w:val="Hyperlink"/>
          </w:rPr>
          <w:t xml:space="preserve">Lake Tai</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Water Research</w:t>
      </w:r>
      <w:r>
        <w:t xml:space="preserve"> </w:t>
      </w:r>
      <w:r>
        <w:rPr>
          <w:b/>
          <w:bCs/>
        </w:rPr>
        <w:t xml:space="preserve">162</w:t>
      </w:r>
      <w:r>
        <w:t xml:space="preserve">, 180–189 (2019).</w:t>
      </w:r>
    </w:p>
    <w:bookmarkEnd w:id="99"/>
    <w:bookmarkStart w:id="100" w:name="ref-american2010algae"/>
    <w:p>
      <w:pPr>
        <w:pStyle w:val="Bibliography"/>
      </w:pPr>
      <w:r>
        <w:t xml:space="preserve">11.</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0"/>
    <w:bookmarkStart w:id="102" w:name="ref-ceronvivas2022geosmin"/>
    <w:p>
      <w:pPr>
        <w:pStyle w:val="Bibliography"/>
      </w:pPr>
      <w:r>
        <w:t xml:space="preserve">12.</w:t>
      </w:r>
      <w:r>
        <w:t xml:space="preserve"> </w:t>
      </w:r>
      <w:r>
        <w:t xml:space="preserve">	</w:t>
      </w:r>
      <w:r>
        <w:t xml:space="preserve">Cerón-Vivas, A., Villamizar León, M. P. &amp; Cajigas, Á. A.</w:t>
      </w:r>
      <w:r>
        <w:t xml:space="preserve"> </w:t>
      </w:r>
      <w:hyperlink r:id="rId101">
        <w:r>
          <w:rPr>
            <w:rStyle w:val="Hyperlink"/>
          </w:rPr>
          <w:t xml:space="preserve">Geosmin and 2-methylisoborneol removal in drinking water treatment</w:t>
        </w:r>
      </w:hyperlink>
      <w:r>
        <w:t xml:space="preserve">.</w:t>
      </w:r>
      <w:r>
        <w:t xml:space="preserve"> </w:t>
      </w:r>
      <w:r>
        <w:rPr>
          <w:i/>
          <w:iCs/>
        </w:rPr>
        <w:t xml:space="preserve">Water Practice and Technology</w:t>
      </w:r>
      <w:r>
        <w:t xml:space="preserve"> </w:t>
      </w:r>
      <w:r>
        <w:rPr>
          <w:b/>
          <w:bCs/>
        </w:rPr>
        <w:t xml:space="preserve">18</w:t>
      </w:r>
      <w:r>
        <w:t xml:space="preserve">, 159–167 (2022).</w:t>
      </w:r>
    </w:p>
    <w:bookmarkEnd w:id="102"/>
    <w:bookmarkStart w:id="103" w:name="ref-gerber1969a"/>
    <w:p>
      <w:pPr>
        <w:pStyle w:val="Bibliography"/>
      </w:pPr>
      <w:r>
        <w:t xml:space="preserve">13.</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22</w:t>
      </w:r>
      <w:r>
        <w:t xml:space="preserve">, 508–509 (1969).</w:t>
      </w:r>
    </w:p>
    <w:bookmarkEnd w:id="103"/>
    <w:bookmarkStart w:id="105" w:name="ref-franklin2023potential"/>
    <w:p>
      <w:pPr>
        <w:pStyle w:val="Bibliography"/>
      </w:pPr>
      <w:r>
        <w:t xml:space="preserve">14.</w:t>
      </w:r>
      <w:r>
        <w:t xml:space="preserve"> </w:t>
      </w:r>
      <w:r>
        <w:t xml:space="preserve">	</w:t>
      </w:r>
      <w:r>
        <w:t xml:space="preserve">Franklin, H. M.</w:t>
      </w:r>
      <w:r>
        <w:t xml:space="preserve"> </w:t>
      </w:r>
      <w:r>
        <w:rPr>
          <w:i/>
          <w:iCs/>
        </w:rPr>
        <w:t xml:space="preserve">et al.</w:t>
      </w:r>
      <w:r>
        <w:t xml:space="preserve"> </w:t>
      </w:r>
      <w:hyperlink r:id="rId104">
        <w:r>
          <w:rPr>
            <w:rStyle w:val="Hyperlink"/>
          </w:rPr>
          <w:t xml:space="preserve">Potential sources and producers of 2-methylisoborneol and geosmin in a river supplying a drinking water treatment plant</w:t>
        </w:r>
      </w:hyperlink>
      <w:r>
        <w:t xml:space="preserve">.</w:t>
      </w:r>
      <w:r>
        <w:t xml:space="preserve"> </w:t>
      </w:r>
      <w:r>
        <w:rPr>
          <w:i/>
          <w:iCs/>
        </w:rPr>
        <w:t xml:space="preserve">Chemical Engineering Journal Advances</w:t>
      </w:r>
      <w:r>
        <w:t xml:space="preserve"> </w:t>
      </w:r>
      <w:r>
        <w:rPr>
          <w:b/>
          <w:bCs/>
        </w:rPr>
        <w:t xml:space="preserve">14</w:t>
      </w:r>
      <w:r>
        <w:t xml:space="preserve">, 100455 (2023).</w:t>
      </w:r>
    </w:p>
    <w:bookmarkEnd w:id="105"/>
    <w:bookmarkStart w:id="107" w:name="ref-tabachek1976isolation"/>
    <w:p>
      <w:pPr>
        <w:pStyle w:val="Bibliography"/>
      </w:pPr>
      <w:r>
        <w:t xml:space="preserve">15.</w:t>
      </w:r>
      <w:r>
        <w:t xml:space="preserve"> </w:t>
      </w:r>
      <w:r>
        <w:t xml:space="preserve">	</w:t>
      </w:r>
      <w:r>
        <w:t xml:space="preserve">Tabachek, J. L. &amp; Yurkowski, M.</w:t>
      </w:r>
      <w:r>
        <w:t xml:space="preserve"> </w:t>
      </w:r>
      <w:hyperlink r:id="rId106">
        <w:r>
          <w:rPr>
            <w:rStyle w:val="Hyperlink"/>
          </w:rPr>
          <w:t xml:space="preserve">Isolation and identification of blue-green algae producing muddy odor metabolites, geosmin, and 2-methylisoborneol, in saline lakes in</w:t>
        </w:r>
        <w:r>
          <w:rPr>
            <w:rStyle w:val="Hyperlink"/>
          </w:rPr>
          <w:t xml:space="preserve"> </w:t>
        </w:r>
        <w:r>
          <w:rPr>
            <w:rStyle w:val="Hyperlink"/>
          </w:rPr>
          <w:t xml:space="preserve">Manitoba</w:t>
        </w:r>
      </w:hyperlink>
      <w:r>
        <w:t xml:space="preserve">.</w:t>
      </w:r>
      <w:r>
        <w:t xml:space="preserve"> </w:t>
      </w:r>
      <w:r>
        <w:rPr>
          <w:i/>
          <w:iCs/>
        </w:rPr>
        <w:t xml:space="preserve">Journal of the Fisheries Research Board of Canada</w:t>
      </w:r>
      <w:r>
        <w:t xml:space="preserve"> </w:t>
      </w:r>
      <w:r>
        <w:rPr>
          <w:b/>
          <w:bCs/>
        </w:rPr>
        <w:t xml:space="preserve">33</w:t>
      </w:r>
      <w:r>
        <w:t xml:space="preserve">, 25–35 (1976).</w:t>
      </w:r>
    </w:p>
    <w:bookmarkEnd w:id="107"/>
    <w:bookmarkStart w:id="109" w:name="ref-yamada2014terpene"/>
    <w:p>
      <w:pPr>
        <w:pStyle w:val="Bibliography"/>
      </w:pPr>
      <w:r>
        <w:t xml:space="preserve">16.</w:t>
      </w:r>
      <w:r>
        <w:t xml:space="preserve"> </w:t>
      </w:r>
      <w:r>
        <w:t xml:space="preserve">	</w:t>
      </w:r>
      <w:r>
        <w:t xml:space="preserve">Yamada, Y.</w:t>
      </w:r>
      <w:r>
        <w:t xml:space="preserve"> </w:t>
      </w:r>
      <w:r>
        <w:rPr>
          <w:i/>
          <w:iCs/>
        </w:rPr>
        <w:t xml:space="preserve">et al.</w:t>
      </w:r>
      <w:r>
        <w:t xml:space="preserve"> </w:t>
      </w:r>
      <w:hyperlink r:id="rId108">
        <w:r>
          <w:rPr>
            <w:rStyle w:val="Hyperlink"/>
          </w:rPr>
          <w:t xml:space="preserve">Terpene synthases are widely distributed in bacteria</w:t>
        </w:r>
      </w:hyperlink>
      <w:r>
        <w:t xml:space="preserve">.</w:t>
      </w:r>
      <w:r>
        <w:t xml:space="preserve"> </w:t>
      </w:r>
      <w:r>
        <w:rPr>
          <w:i/>
          <w:iCs/>
        </w:rPr>
        <w:t xml:space="preserve">Proceedings of the National Academy of Sciences</w:t>
      </w:r>
      <w:r>
        <w:t xml:space="preserve"> </w:t>
      </w:r>
      <w:r>
        <w:rPr>
          <w:b/>
          <w:bCs/>
        </w:rPr>
        <w:t xml:space="preserve">112</w:t>
      </w:r>
      <w:r>
        <w:t xml:space="preserve">, 857–862 (2014).</w:t>
      </w:r>
    </w:p>
    <w:bookmarkEnd w:id="109"/>
    <w:bookmarkStart w:id="111" w:name="ref-dickschat2007biosynthesis"/>
    <w:p>
      <w:pPr>
        <w:pStyle w:val="Bibliography"/>
      </w:pPr>
      <w:r>
        <w:t xml:space="preserve">17.</w:t>
      </w:r>
      <w:r>
        <w:t xml:space="preserve"> </w:t>
      </w:r>
      <w:r>
        <w:t xml:space="preserve">	</w:t>
      </w:r>
      <w:r>
        <w:t xml:space="preserve">Dickschat, Jeroen s.</w:t>
      </w:r>
      <w:r>
        <w:t xml:space="preserve"> </w:t>
      </w:r>
      <w:r>
        <w:rPr>
          <w:i/>
          <w:iCs/>
        </w:rPr>
        <w:t xml:space="preserve">et al.</w:t>
      </w:r>
      <w:r>
        <w:t xml:space="preserve"> </w:t>
      </w:r>
      <w:hyperlink r:id="rId110">
        <w:r>
          <w:rPr>
            <w:rStyle w:val="Hyperlink"/>
          </w:rPr>
          <w:t xml:space="preserve">Biosynthesis of the off-flavor 2-methylisoborneol by the myxobacterium nannocystis exedens</w:t>
        </w:r>
      </w:hyperlink>
      <w:r>
        <w:t xml:space="preserve">.</w:t>
      </w:r>
      <w:r>
        <w:t xml:space="preserve"> </w:t>
      </w:r>
      <w:r>
        <w:rPr>
          <w:i/>
          <w:iCs/>
        </w:rPr>
        <w:t xml:space="preserve">Angewandte Chemie International Edition</w:t>
      </w:r>
      <w:r>
        <w:t xml:space="preserve"> </w:t>
      </w:r>
      <w:r>
        <w:rPr>
          <w:b/>
          <w:bCs/>
        </w:rPr>
        <w:t xml:space="preserve">46</w:t>
      </w:r>
      <w:r>
        <w:t xml:space="preserve">, 8287–8290 (2007).</w:t>
      </w:r>
    </w:p>
    <w:bookmarkEnd w:id="111"/>
    <w:bookmarkStart w:id="113" w:name="ref-su2021ecological"/>
    <w:p>
      <w:pPr>
        <w:pStyle w:val="Bibliography"/>
      </w:pPr>
      <w:r>
        <w:t xml:space="preserve">18.</w:t>
      </w:r>
      <w:r>
        <w:t xml:space="preserve"> </w:t>
      </w:r>
      <w:r>
        <w:t xml:space="preserve">	</w:t>
      </w:r>
      <w:r>
        <w:t xml:space="preserve">Su, M.</w:t>
      </w:r>
      <w:r>
        <w:t xml:space="preserve"> </w:t>
      </w:r>
      <w:r>
        <w:rPr>
          <w:i/>
          <w:iCs/>
        </w:rPr>
        <w:t xml:space="preserve">et al.</w:t>
      </w:r>
      <w:r>
        <w:t xml:space="preserve"> </w:t>
      </w:r>
      <w:hyperlink r:id="rId112">
        <w:r>
          <w:rPr>
            <w:rStyle w:val="Hyperlink"/>
          </w:rPr>
          <w:t xml:space="preserve">Ecological niche and in-situ control of</w:t>
        </w:r>
        <w:r>
          <w:rPr>
            <w:rStyle w:val="Hyperlink"/>
          </w:rPr>
          <w:t xml:space="preserve"> </w:t>
        </w:r>
        <w:r>
          <w:rPr>
            <w:rStyle w:val="Hyperlink"/>
          </w:rPr>
          <w:t xml:space="preserve">MIB</w:t>
        </w:r>
        <w:r>
          <w:rPr>
            <w:rStyle w:val="Hyperlink"/>
          </w:rPr>
          <w:t xml:space="preserve"> </w:t>
        </w:r>
        <w:r>
          <w:rPr>
            <w:rStyle w:val="Hyperlink"/>
          </w:rPr>
          <w:t xml:space="preserve">producers in source water</w:t>
        </w:r>
      </w:hyperlink>
      <w:r>
        <w:t xml:space="preserve">.</w:t>
      </w:r>
      <w:r>
        <w:t xml:space="preserve"> </w:t>
      </w:r>
      <w:r>
        <w:rPr>
          <w:i/>
          <w:iCs/>
        </w:rPr>
        <w:t xml:space="preserve">Journal of Environmental Sciences</w:t>
      </w:r>
      <w:r>
        <w:t xml:space="preserve"> </w:t>
      </w:r>
      <w:r>
        <w:rPr>
          <w:b/>
          <w:bCs/>
        </w:rPr>
        <w:t xml:space="preserve">110</w:t>
      </w:r>
      <w:r>
        <w:t xml:space="preserve">, 119–128 (2021).</w:t>
      </w:r>
    </w:p>
    <w:bookmarkEnd w:id="113"/>
    <w:bookmarkStart w:id="115" w:name="ref-su2015mib"/>
    <w:p>
      <w:pPr>
        <w:pStyle w:val="Bibliography"/>
      </w:pPr>
      <w:r>
        <w:t xml:space="preserve">19.</w:t>
      </w:r>
      <w:r>
        <w:t xml:space="preserve"> </w:t>
      </w:r>
      <w:r>
        <w:t xml:space="preserve">	</w:t>
      </w:r>
      <w:r>
        <w:t xml:space="preserve">Su, M.</w:t>
      </w:r>
      <w:r>
        <w:t xml:space="preserve"> </w:t>
      </w:r>
      <w:r>
        <w:rPr>
          <w:i/>
          <w:iCs/>
        </w:rPr>
        <w:t xml:space="preserve">et al.</w:t>
      </w:r>
      <w:r>
        <w:t xml:space="preserve"> </w:t>
      </w:r>
      <w:hyperlink r:id="rId114">
        <w:r>
          <w:rPr>
            <w:rStyle w:val="Hyperlink"/>
          </w:rPr>
          <w:t xml:space="preserve">MIB</w:t>
        </w:r>
        <w:r>
          <w:rPr>
            <w:rStyle w:val="Hyperlink"/>
          </w:rPr>
          <w:t xml:space="preserve">-producing cyanobacteria (</w:t>
        </w:r>
        <w:r>
          <w:rPr>
            <w:rStyle w:val="Hyperlink"/>
            <w:i/>
            <w:iCs/>
          </w:rPr>
          <w:t xml:space="preserve">Planktothrix</w:t>
        </w:r>
        <w:r>
          <w:rPr>
            <w:rStyle w:val="Hyperlink"/>
          </w:rPr>
          <w:t xml:space="preserve"> </w:t>
        </w:r>
        <w:r>
          <w:rPr>
            <w:rStyle w:val="Hyperlink"/>
          </w:rPr>
          <w:t xml:space="preserve">sp.) in a drinking water reservoir: Distribution and odor producing potential</w:t>
        </w:r>
      </w:hyperlink>
      <w:r>
        <w:t xml:space="preserve">.</w:t>
      </w:r>
      <w:r>
        <w:t xml:space="preserve"> </w:t>
      </w:r>
      <w:r>
        <w:rPr>
          <w:i/>
          <w:iCs/>
        </w:rPr>
        <w:t xml:space="preserve">Water Research</w:t>
      </w:r>
      <w:r>
        <w:t xml:space="preserve"> </w:t>
      </w:r>
      <w:r>
        <w:rPr>
          <w:b/>
          <w:bCs/>
        </w:rPr>
        <w:t xml:space="preserve">68</w:t>
      </w:r>
      <w:r>
        <w:t xml:space="preserve">, 444–453 (2015).</w:t>
      </w:r>
    </w:p>
    <w:bookmarkEnd w:id="115"/>
    <w:bookmarkStart w:id="117" w:name="ref-lu2023mibderived"/>
    <w:p>
      <w:pPr>
        <w:pStyle w:val="Bibliography"/>
      </w:pPr>
      <w:r>
        <w:t xml:space="preserve">20.</w:t>
      </w:r>
      <w:r>
        <w:t xml:space="preserve"> </w:t>
      </w:r>
      <w:r>
        <w:t xml:space="preserve">	</w:t>
      </w:r>
      <w:r>
        <w:t xml:space="preserve">Lu, J.</w:t>
      </w:r>
      <w:r>
        <w:t xml:space="preserve"> </w:t>
      </w:r>
      <w:r>
        <w:rPr>
          <w:i/>
          <w:iCs/>
        </w:rPr>
        <w:t xml:space="preserve">et al.</w:t>
      </w:r>
      <w:r>
        <w:t xml:space="preserve"> </w:t>
      </w:r>
      <w:hyperlink r:id="rId116">
        <w:r>
          <w:rPr>
            <w:rStyle w:val="Hyperlink"/>
          </w:rPr>
          <w:t xml:space="preserve">MIB</w:t>
        </w:r>
        <w:r>
          <w:rPr>
            <w:rStyle w:val="Hyperlink"/>
          </w:rPr>
          <w:t xml:space="preserve">-derived odor management based upon hydraulic regulation in small drinking water reservoirs: Principle and application</w:t>
        </w:r>
      </w:hyperlink>
      <w:r>
        <w:t xml:space="preserve">.</w:t>
      </w:r>
      <w:r>
        <w:t xml:space="preserve"> </w:t>
      </w:r>
      <w:r>
        <w:rPr>
          <w:i/>
          <w:iCs/>
        </w:rPr>
        <w:t xml:space="preserve">Water Research</w:t>
      </w:r>
      <w:r>
        <w:t xml:space="preserve"> </w:t>
      </w:r>
      <w:r>
        <w:rPr>
          <w:b/>
          <w:bCs/>
        </w:rPr>
        <w:t xml:space="preserve">244</w:t>
      </w:r>
      <w:r>
        <w:t xml:space="preserve">, 120485 (2023).</w:t>
      </w:r>
    </w:p>
    <w:bookmarkEnd w:id="117"/>
    <w:bookmarkStart w:id="119" w:name="ref-izaguirre2007benthic"/>
    <w:p>
      <w:pPr>
        <w:pStyle w:val="Bibliography"/>
      </w:pPr>
      <w:r>
        <w:t xml:space="preserve">21.</w:t>
      </w:r>
      <w:r>
        <w:t xml:space="preserve"> </w:t>
      </w:r>
      <w:r>
        <w:t xml:space="preserve">	</w:t>
      </w:r>
      <w:r>
        <w:t xml:space="preserve">Izaguirre, G., Jungblut, A. &amp; Neilan, B. A.</w:t>
      </w:r>
      <w:r>
        <w:t xml:space="preserve"> </w:t>
      </w:r>
      <w:hyperlink r:id="rId118">
        <w:r>
          <w:rPr>
            <w:rStyle w:val="Hyperlink"/>
          </w:rPr>
          <w:t xml:space="preserve">Benthic cyanobacteria (oscillatoriaceae) that produce microcystin-</w:t>
        </w:r>
        <w:r>
          <w:rPr>
            <w:rStyle w:val="Hyperlink"/>
          </w:rPr>
          <w:t xml:space="preserve">LR</w:t>
        </w:r>
        <w:r>
          <w:rPr>
            <w:rStyle w:val="Hyperlink"/>
          </w:rPr>
          <w:t xml:space="preserve">, isolated from four reservoirs in</w:t>
        </w:r>
        <w:r>
          <w:rPr>
            <w:rStyle w:val="Hyperlink"/>
          </w:rPr>
          <w:t xml:space="preserve"> </w:t>
        </w:r>
        <w:r>
          <w:rPr>
            <w:rStyle w:val="Hyperlink"/>
          </w:rPr>
          <w:t xml:space="preserve">Southern California</w:t>
        </w:r>
      </w:hyperlink>
      <w:r>
        <w:t xml:space="preserve">.</w:t>
      </w:r>
      <w:r>
        <w:t xml:space="preserve"> </w:t>
      </w:r>
      <w:r>
        <w:rPr>
          <w:i/>
          <w:iCs/>
        </w:rPr>
        <w:t xml:space="preserve">Water Research</w:t>
      </w:r>
      <w:r>
        <w:t xml:space="preserve"> </w:t>
      </w:r>
      <w:r>
        <w:rPr>
          <w:b/>
          <w:bCs/>
        </w:rPr>
        <w:t xml:space="preserve">41</w:t>
      </w:r>
      <w:r>
        <w:t xml:space="preserve">, 492–498 (2007).</w:t>
      </w:r>
    </w:p>
    <w:bookmarkEnd w:id="119"/>
    <w:bookmarkStart w:id="121" w:name="ref-vanderploeg1995biology"/>
    <w:p>
      <w:pPr>
        <w:pStyle w:val="Bibliography"/>
      </w:pPr>
      <w:r>
        <w:t xml:space="preserve">22.</w:t>
      </w:r>
      <w:r>
        <w:t xml:space="preserve"> </w:t>
      </w:r>
      <w:r>
        <w:t xml:space="preserve">	</w:t>
      </w:r>
      <w:r>
        <w:t xml:space="preserve">Van Der Ploeg, M., Dennis, M. &amp; De Regt, M.</w:t>
      </w:r>
      <w:r>
        <w:t xml:space="preserve"> </w:t>
      </w:r>
      <w:hyperlink r:id="rId120">
        <w:r>
          <w:rPr>
            <w:rStyle w:val="Hyperlink"/>
          </w:rPr>
          <w:t xml:space="preserve">Biology of</w:t>
        </w:r>
        <w:r>
          <w:rPr>
            <w:rStyle w:val="Hyperlink"/>
          </w:rPr>
          <w:t xml:space="preserve"> </w:t>
        </w:r>
        <w:r>
          <w:rPr>
            <w:rStyle w:val="Hyperlink"/>
            <w:i/>
            <w:iCs/>
          </w:rPr>
          <w:t xml:space="preserve">Oscillatoria chalybea</w:t>
        </w:r>
        <w:r>
          <w:rPr>
            <w:rStyle w:val="Hyperlink"/>
          </w:rPr>
          <w:t xml:space="preserve">, a 2-methylisoborneol producing blue-green alga of</w:t>
        </w:r>
        <w:r>
          <w:rPr>
            <w:rStyle w:val="Hyperlink"/>
          </w:rPr>
          <w:t xml:space="preserve"> </w:t>
        </w:r>
        <w:r>
          <w:rPr>
            <w:rStyle w:val="Hyperlink"/>
          </w:rPr>
          <w:t xml:space="preserve">Mississippi Catfish Ponds</w:t>
        </w:r>
      </w:hyperlink>
      <w:r>
        <w:t xml:space="preserve">.</w:t>
      </w:r>
      <w:r>
        <w:t xml:space="preserve"> </w:t>
      </w:r>
      <w:r>
        <w:rPr>
          <w:i/>
          <w:iCs/>
        </w:rPr>
        <w:t xml:space="preserve">Water Science and Technology</w:t>
      </w:r>
      <w:r>
        <w:t xml:space="preserve"> </w:t>
      </w:r>
      <w:r>
        <w:rPr>
          <w:b/>
          <w:bCs/>
        </w:rPr>
        <w:t xml:space="preserve">31</w:t>
      </w:r>
      <w:r>
        <w:t xml:space="preserve">, 173–180 (1995).</w:t>
      </w:r>
    </w:p>
    <w:bookmarkEnd w:id="121"/>
    <w:bookmarkStart w:id="123" w:name="ref-juttner2007biochemical"/>
    <w:p>
      <w:pPr>
        <w:pStyle w:val="Bibliography"/>
      </w:pPr>
      <w:r>
        <w:t xml:space="preserve">23.</w:t>
      </w:r>
      <w:r>
        <w:t xml:space="preserve"> </w:t>
      </w:r>
      <w:r>
        <w:t xml:space="preserve">	</w:t>
      </w:r>
      <w:r>
        <w:t xml:space="preserve">Jüttner, F. &amp; Watson, S. B.</w:t>
      </w:r>
      <w:r>
        <w:t xml:space="preserve"> </w:t>
      </w:r>
      <w:hyperlink r:id="rId122">
        <w:r>
          <w:rPr>
            <w:rStyle w:val="Hyperlink"/>
          </w:rPr>
          <w:t xml:space="preserve">Biochemical and ecological control of geosmin and 2-methylisoborneol in source waters</w:t>
        </w:r>
      </w:hyperlink>
      <w:r>
        <w:t xml:space="preserve">.</w:t>
      </w:r>
      <w:r>
        <w:t xml:space="preserve"> </w:t>
      </w:r>
      <w:r>
        <w:rPr>
          <w:i/>
          <w:iCs/>
        </w:rPr>
        <w:t xml:space="preserve">Applied and Environmental Microbiology</w:t>
      </w:r>
      <w:r>
        <w:t xml:space="preserve"> </w:t>
      </w:r>
      <w:r>
        <w:rPr>
          <w:b/>
          <w:bCs/>
        </w:rPr>
        <w:t xml:space="preserve">73</w:t>
      </w:r>
      <w:r>
        <w:t xml:space="preserve">, 4395–4406 (2007).</w:t>
      </w:r>
    </w:p>
    <w:bookmarkEnd w:id="123"/>
    <w:bookmarkStart w:id="125" w:name="ref-su2014spatial"/>
    <w:p>
      <w:pPr>
        <w:pStyle w:val="Bibliography"/>
      </w:pPr>
      <w:r>
        <w:t xml:space="preserve">24.</w:t>
      </w:r>
      <w:r>
        <w:t xml:space="preserve"> </w:t>
      </w:r>
      <w:r>
        <w:t xml:space="preserve">	</w:t>
      </w:r>
      <w:r>
        <w:t xml:space="preserve">Su, M., Yu, J., Pan, S., An, W. &amp; Yang, M.</w:t>
      </w:r>
      <w:r>
        <w:t xml:space="preserve"> </w:t>
      </w:r>
      <w:hyperlink r:id="rId124">
        <w:r>
          <w:rPr>
            <w:rStyle w:val="Hyperlink"/>
          </w:rPr>
          <w:t xml:space="preserve">Spatial and temporal variations of two cyanobacteria in the mesotrophic</w:t>
        </w:r>
        <w:r>
          <w:rPr>
            <w:rStyle w:val="Hyperlink"/>
          </w:rPr>
          <w:t xml:space="preserve"> </w:t>
        </w:r>
        <w:r>
          <w:rPr>
            <w:rStyle w:val="Hyperlink"/>
          </w:rPr>
          <w:t xml:space="preserve">Miyun Reservoir</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Journal of Environmental Sciences</w:t>
      </w:r>
      <w:r>
        <w:t xml:space="preserve"> </w:t>
      </w:r>
      <w:r>
        <w:rPr>
          <w:b/>
          <w:bCs/>
        </w:rPr>
        <w:t xml:space="preserve">26</w:t>
      </w:r>
      <w:r>
        <w:t xml:space="preserve">, 289–298 (2014).</w:t>
      </w:r>
    </w:p>
    <w:bookmarkEnd w:id="125"/>
    <w:bookmarkStart w:id="127" w:name="ref-lu2022driving"/>
    <w:p>
      <w:pPr>
        <w:pStyle w:val="Bibliography"/>
      </w:pPr>
      <w:r>
        <w:t xml:space="preserve">25.</w:t>
      </w:r>
      <w:r>
        <w:t xml:space="preserve"> </w:t>
      </w:r>
      <w:r>
        <w:t xml:space="preserve">	</w:t>
      </w:r>
      <w:r>
        <w:t xml:space="preserve">Lu, J.</w:t>
      </w:r>
      <w:r>
        <w:t xml:space="preserve"> </w:t>
      </w:r>
      <w:r>
        <w:rPr>
          <w:i/>
          <w:iCs/>
        </w:rPr>
        <w:t xml:space="preserve">et al.</w:t>
      </w:r>
      <w:r>
        <w:t xml:space="preserve">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t xml:space="preserve">118670 (2022) doi:</w:t>
      </w:r>
      <w:hyperlink r:id="rId126">
        <w:r>
          <w:rPr>
            <w:rStyle w:val="Hyperlink"/>
          </w:rPr>
          <w:t xml:space="preserve">10.1016/j.watres.2022.118670</w:t>
        </w:r>
      </w:hyperlink>
      <w:r>
        <w:t xml:space="preserve">.</w:t>
      </w:r>
    </w:p>
    <w:bookmarkEnd w:id="127"/>
    <w:bookmarkStart w:id="129" w:name="ref-zhang2009effects"/>
    <w:p>
      <w:pPr>
        <w:pStyle w:val="Bibliography"/>
      </w:pPr>
      <w:r>
        <w:t xml:space="preserve">26.</w:t>
      </w:r>
      <w:r>
        <w:t xml:space="preserve"> </w:t>
      </w:r>
      <w:r>
        <w:t xml:space="preserve">	</w:t>
      </w:r>
      <w:r>
        <w:t xml:space="preserve">Zhang, T., Li, L., Song, L. &amp; Chen, W.</w:t>
      </w:r>
      <w:r>
        <w:t xml:space="preserve"> </w:t>
      </w:r>
      <w:hyperlink r:id="rId128">
        <w:r>
          <w:rPr>
            <w:rStyle w:val="Hyperlink"/>
          </w:rPr>
          <w:t xml:space="preserve">Effects of temperature and light on the growth and geosmin production of</w:t>
        </w:r>
        <w:r>
          <w:rPr>
            <w:rStyle w:val="Hyperlink"/>
          </w:rPr>
          <w:t xml:space="preserve"> </w:t>
        </w:r>
        <w:r>
          <w:rPr>
            <w:rStyle w:val="Hyperlink"/>
            <w:i/>
            <w:iCs/>
          </w:rPr>
          <w:t xml:space="preserve">Lyngbya kuetzingii</w:t>
        </w:r>
        <w:r>
          <w:rPr>
            <w:rStyle w:val="Hyperlink"/>
          </w:rPr>
          <w:t xml:space="preserve"> </w:t>
        </w:r>
        <w:r>
          <w:rPr>
            <w:rStyle w:val="Hyperlink"/>
          </w:rPr>
          <w:t xml:space="preserve">(cyanophyta)</w:t>
        </w:r>
      </w:hyperlink>
      <w:r>
        <w:t xml:space="preserve">.</w:t>
      </w:r>
      <w:r>
        <w:t xml:space="preserve"> </w:t>
      </w:r>
      <w:r>
        <w:rPr>
          <w:i/>
          <w:iCs/>
        </w:rPr>
        <w:t xml:space="preserve">Journal of Applied Phycology</w:t>
      </w:r>
      <w:r>
        <w:t xml:space="preserve"> </w:t>
      </w:r>
      <w:r>
        <w:rPr>
          <w:b/>
          <w:bCs/>
        </w:rPr>
        <w:t xml:space="preserve">21</w:t>
      </w:r>
      <w:r>
        <w:t xml:space="preserve">, 279–285 (2009).</w:t>
      </w:r>
    </w:p>
    <w:bookmarkEnd w:id="129"/>
    <w:bookmarkStart w:id="131" w:name="ref-cao2023early"/>
    <w:p>
      <w:pPr>
        <w:pStyle w:val="Bibliography"/>
      </w:pPr>
      <w:r>
        <w:t xml:space="preserve">27.</w:t>
      </w:r>
      <w:r>
        <w:t xml:space="preserve"> </w:t>
      </w:r>
      <w:r>
        <w:t xml:space="preserve">	</w:t>
      </w:r>
      <w:r>
        <w:t xml:space="preserve">Cao, T.</w:t>
      </w:r>
      <w:r>
        <w:t xml:space="preserve"> </w:t>
      </w:r>
      <w:r>
        <w:rPr>
          <w:i/>
          <w:iCs/>
        </w:rPr>
        <w:t xml:space="preserve">et al.</w:t>
      </w:r>
      <w:r>
        <w:t xml:space="preserve"> </w:t>
      </w:r>
      <w:hyperlink r:id="rId130">
        <w:r>
          <w:rPr>
            <w:rStyle w:val="Hyperlink"/>
          </w:rPr>
          <w:t xml:space="preserve">Early warning of MIB episode based on gene abundance and expression in drinking water reservoirs</w:t>
        </w:r>
      </w:hyperlink>
      <w:r>
        <w:t xml:space="preserve">.</w:t>
      </w:r>
      <w:r>
        <w:t xml:space="preserve"> </w:t>
      </w:r>
      <w:r>
        <w:rPr>
          <w:i/>
          <w:iCs/>
        </w:rPr>
        <w:t xml:space="preserve">Water Research</w:t>
      </w:r>
      <w:r>
        <w:t xml:space="preserve"> </w:t>
      </w:r>
      <w:r>
        <w:rPr>
          <w:b/>
          <w:bCs/>
        </w:rPr>
        <w:t xml:space="preserve">231</w:t>
      </w:r>
      <w:r>
        <w:t xml:space="preserve">, 119667 (2023).</w:t>
      </w:r>
    </w:p>
    <w:bookmarkEnd w:id="131"/>
    <w:bookmarkStart w:id="133" w:name="ref-clercin2019influence"/>
    <w:p>
      <w:pPr>
        <w:pStyle w:val="Bibliography"/>
      </w:pPr>
      <w:r>
        <w:t xml:space="preserve">28.</w:t>
      </w:r>
      <w:r>
        <w:t xml:space="preserve"> </w:t>
      </w:r>
      <w:r>
        <w:t xml:space="preserve">	</w:t>
      </w:r>
      <w:r>
        <w:t xml:space="preserve">Clercin, N. A. &amp; Druschel, G. K.</w:t>
      </w:r>
      <w:r>
        <w:t xml:space="preserve"> </w:t>
      </w:r>
      <w:hyperlink r:id="rId132">
        <w:r>
          <w:rPr>
            <w:rStyle w:val="Hyperlink"/>
          </w:rPr>
          <w:t xml:space="preserve">Influence of environmental factors on the production of MIB and geosmin metabolites by bacteria in a eutrophic reservoir</w:t>
        </w:r>
      </w:hyperlink>
      <w:r>
        <w:t xml:space="preserve">.</w:t>
      </w:r>
      <w:r>
        <w:t xml:space="preserve"> </w:t>
      </w:r>
      <w:r>
        <w:rPr>
          <w:i/>
          <w:iCs/>
        </w:rPr>
        <w:t xml:space="preserve">Water Resources Research</w:t>
      </w:r>
      <w:r>
        <w:t xml:space="preserve"> </w:t>
      </w:r>
      <w:r>
        <w:rPr>
          <w:b/>
          <w:bCs/>
        </w:rPr>
        <w:t xml:space="preserve">55</w:t>
      </w:r>
      <w:r>
        <w:t xml:space="preserve">, 5413–5430 (2019).</w:t>
      </w:r>
    </w:p>
    <w:bookmarkEnd w:id="133"/>
    <w:bookmarkStart w:id="134" w:name="ref-bentley1981geosmin"/>
    <w:p>
      <w:pPr>
        <w:pStyle w:val="Bibliography"/>
      </w:pPr>
      <w:r>
        <w:t xml:space="preserve">29.</w:t>
      </w:r>
      <w:r>
        <w:t xml:space="preserve"> </w:t>
      </w:r>
      <w:r>
        <w:t xml:space="preserve">	</w:t>
      </w:r>
      <w:r>
        <w:t xml:space="preserve">Bentley, R. &amp;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125</w:t>
      </w:r>
      <w:r>
        <w:t xml:space="preserve">, 220 (1981).</w:t>
      </w:r>
    </w:p>
    <w:bookmarkEnd w:id="134"/>
    <w:bookmarkStart w:id="136" w:name="ref-wu1988differential"/>
    <w:p>
      <w:pPr>
        <w:pStyle w:val="Bibliography"/>
      </w:pPr>
      <w:r>
        <w:t xml:space="preserve">30.</w:t>
      </w:r>
      <w:r>
        <w:t xml:space="preserve"> </w:t>
      </w:r>
      <w:r>
        <w:t xml:space="preserve">	</w:t>
      </w:r>
      <w:r>
        <w:t xml:space="preserve">Wu, J. &amp; Jüttner, F.</w:t>
      </w:r>
      <w:r>
        <w:t xml:space="preserve"> </w:t>
      </w:r>
      <w:hyperlink r:id="rId135">
        <w:r>
          <w:rPr>
            <w:rStyle w:val="Hyperlink"/>
          </w:rPr>
          <w:t xml:space="preserve">Differential partitioning of geosmin and 2-methylisoborneol between cellular constituents in</w:t>
        </w:r>
        <w:r>
          <w:rPr>
            <w:rStyle w:val="Hyperlink"/>
          </w:rPr>
          <w:t xml:space="preserve"> </w:t>
        </w:r>
        <w:r>
          <w:rPr>
            <w:rStyle w:val="Hyperlink"/>
            <w:i/>
            <w:iCs/>
          </w:rPr>
          <w:t xml:space="preserve">Oscillatoria tenuis</w:t>
        </w:r>
      </w:hyperlink>
      <w:r>
        <w:t xml:space="preserve">.</w:t>
      </w:r>
      <w:r>
        <w:t xml:space="preserve"> </w:t>
      </w:r>
      <w:r>
        <w:rPr>
          <w:i/>
          <w:iCs/>
        </w:rPr>
        <w:t xml:space="preserve">Archives of Microbiology</w:t>
      </w:r>
      <w:r>
        <w:t xml:space="preserve"> </w:t>
      </w:r>
      <w:r>
        <w:rPr>
          <w:b/>
          <w:bCs/>
        </w:rPr>
        <w:t xml:space="preserve">150</w:t>
      </w:r>
      <w:r>
        <w:t xml:space="preserve">, 580–583 (1988).</w:t>
      </w:r>
    </w:p>
    <w:bookmarkEnd w:id="136"/>
    <w:bookmarkStart w:id="138" w:name="ref-rashash1995influence"/>
    <w:p>
      <w:pPr>
        <w:pStyle w:val="Bibliography"/>
      </w:pPr>
      <w:r>
        <w:t xml:space="preserve">31.</w:t>
      </w:r>
      <w:r>
        <w:t xml:space="preserve"> </w:t>
      </w:r>
      <w:r>
        <w:t xml:space="preserve">	</w:t>
      </w:r>
      <w:r>
        <w:t xml:space="preserve">Rashash, D. m. C., Dietrich, A. m., Hoehn, R. c. &amp; Parker, B. c.</w:t>
      </w:r>
      <w:r>
        <w:t xml:space="preserve"> </w:t>
      </w:r>
      <w:hyperlink r:id="rId137">
        <w:r>
          <w:rPr>
            <w:rStyle w:val="Hyperlink"/>
          </w:rPr>
          <w:t xml:space="preserve">The influence of growth conditions on odor-compound production by two chrysophytes and two cyanobacteria</w:t>
        </w:r>
      </w:hyperlink>
      <w:r>
        <w:t xml:space="preserve">.</w:t>
      </w:r>
      <w:r>
        <w:t xml:space="preserve"> </w:t>
      </w:r>
      <w:r>
        <w:rPr>
          <w:i/>
          <w:iCs/>
        </w:rPr>
        <w:t xml:space="preserve">Water Science and Technology</w:t>
      </w:r>
      <w:r>
        <w:t xml:space="preserve"> </w:t>
      </w:r>
      <w:r>
        <w:rPr>
          <w:b/>
          <w:bCs/>
        </w:rPr>
        <w:t xml:space="preserve">31</w:t>
      </w:r>
      <w:r>
        <w:t xml:space="preserve">, 165–172 (1995).</w:t>
      </w:r>
    </w:p>
    <w:bookmarkEnd w:id="138"/>
    <w:bookmarkStart w:id="140" w:name="ref-zhang2016methylisoborneol"/>
    <w:p>
      <w:pPr>
        <w:pStyle w:val="Bibliography"/>
      </w:pPr>
      <w:r>
        <w:t xml:space="preserve">32.</w:t>
      </w:r>
      <w:r>
        <w:t xml:space="preserve"> </w:t>
      </w:r>
      <w:r>
        <w:t xml:space="preserve">	</w:t>
      </w:r>
      <w:r>
        <w:t xml:space="preserve">Zhang, T., Zheng, L., Li, L. &amp;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t xml:space="preserve">1–10 (2016) doi:</w:t>
      </w:r>
      <w:hyperlink r:id="rId139">
        <w:r>
          <w:rPr>
            <w:rStyle w:val="Hyperlink"/>
          </w:rPr>
          <w:t xml:space="preserve">10.1007/s10811-016-0864-x</w:t>
        </w:r>
      </w:hyperlink>
      <w:r>
        <w:t xml:space="preserve">.</w:t>
      </w:r>
    </w:p>
    <w:bookmarkEnd w:id="140"/>
    <w:bookmarkStart w:id="142" w:name="ref-cook2001the"/>
    <w:p>
      <w:pPr>
        <w:pStyle w:val="Bibliography"/>
      </w:pPr>
      <w:r>
        <w:t xml:space="preserve">33.</w:t>
      </w:r>
      <w:r>
        <w:t xml:space="preserve"> </w:t>
      </w:r>
      <w:r>
        <w:t xml:space="preserve">	</w:t>
      </w:r>
      <w:r>
        <w:t xml:space="preserve">Cook, D., Newcombe, G. &amp; Sztajnbok, P.</w:t>
      </w:r>
      <w:r>
        <w:t xml:space="preserve"> </w:t>
      </w:r>
      <w:hyperlink r:id="rId141">
        <w:r>
          <w:rPr>
            <w:rStyle w:val="Hyperlink"/>
          </w:rPr>
          <w:t xml:space="preserve">The application of powdered activated carbon for</w:t>
        </w:r>
        <w:r>
          <w:rPr>
            <w:rStyle w:val="Hyperlink"/>
          </w:rPr>
          <w:t xml:space="preserve"> </w:t>
        </w:r>
        <w:r>
          <w:rPr>
            <w:rStyle w:val="Hyperlink"/>
          </w:rPr>
          <w:t xml:space="preserve">MIB</w:t>
        </w:r>
        <w:r>
          <w:rPr>
            <w:rStyle w:val="Hyperlink"/>
          </w:rPr>
          <w:t xml:space="preserve"> </w:t>
        </w:r>
        <w:r>
          <w:rPr>
            <w:rStyle w:val="Hyperlink"/>
          </w:rPr>
          <w:t xml:space="preserve">and geosmin removal: Predicting</w:t>
        </w:r>
        <w:r>
          <w:rPr>
            <w:rStyle w:val="Hyperlink"/>
          </w:rPr>
          <w:t xml:space="preserve"> </w:t>
        </w:r>
        <w:r>
          <w:rPr>
            <w:rStyle w:val="Hyperlink"/>
          </w:rPr>
          <w:t xml:space="preserve">PAC</w:t>
        </w:r>
        <w:r>
          <w:rPr>
            <w:rStyle w:val="Hyperlink"/>
          </w:rPr>
          <w:t xml:space="preserve"> </w:t>
        </w:r>
        <w:r>
          <w:rPr>
            <w:rStyle w:val="Hyperlink"/>
          </w:rPr>
          <w:t xml:space="preserve">doses in four raw waters</w:t>
        </w:r>
      </w:hyperlink>
      <w:r>
        <w:t xml:space="preserve">.</w:t>
      </w:r>
      <w:r>
        <w:t xml:space="preserve"> </w:t>
      </w:r>
      <w:r>
        <w:rPr>
          <w:i/>
          <w:iCs/>
        </w:rPr>
        <w:t xml:space="preserve">Water Research</w:t>
      </w:r>
      <w:r>
        <w:t xml:space="preserve"> </w:t>
      </w:r>
      <w:r>
        <w:rPr>
          <w:b/>
          <w:bCs/>
        </w:rPr>
        <w:t xml:space="preserve">35</w:t>
      </w:r>
      <w:r>
        <w:t xml:space="preserve">, 1325–1333 (2001).</w:t>
      </w:r>
    </w:p>
    <w:bookmarkEnd w:id="142"/>
    <w:bookmarkStart w:id="144" w:name="ref-li2018kinetics"/>
    <w:p>
      <w:pPr>
        <w:pStyle w:val="Bibliography"/>
      </w:pPr>
      <w:r>
        <w:t xml:space="preserve">34.</w:t>
      </w:r>
      <w:r>
        <w:t xml:space="preserve"> </w:t>
      </w:r>
      <w:r>
        <w:t xml:space="preserve">	</w:t>
      </w:r>
      <w:r>
        <w:t xml:space="preserve">Li, L.</w:t>
      </w:r>
      <w:r>
        <w:t xml:space="preserve"> </w:t>
      </w:r>
      <w:r>
        <w:rPr>
          <w:i/>
          <w:iCs/>
        </w:rPr>
        <w:t xml:space="preserve">et al.</w:t>
      </w:r>
      <w:r>
        <w:t xml:space="preserve"> </w:t>
      </w:r>
      <w:hyperlink r:id="rId143">
        <w:r>
          <w:rPr>
            <w:rStyle w:val="Hyperlink"/>
          </w:rPr>
          <w:t xml:space="preserve">Kinetics and mechanism of</w:t>
        </w:r>
        <w:r>
          <w:rPr>
            <w:rStyle w:val="Hyperlink"/>
          </w:rPr>
          <w:t xml:space="preserve"> </w:t>
        </w:r>
        <w:r>
          <w:rPr>
            <w:rStyle w:val="Hyperlink"/>
            <w:i/>
            <w:iCs/>
          </w:rPr>
          <w:t xml:space="preserve">Pseudoanabaena</w:t>
        </w:r>
        <w:r>
          <w:rPr>
            <w:rStyle w:val="Hyperlink"/>
          </w:rPr>
          <w:t xml:space="preserve"> </w:t>
        </w:r>
        <w:r>
          <w:rPr>
            <w:rStyle w:val="Hyperlink"/>
          </w:rPr>
          <w:t xml:space="preserve">cell inactivation, 2-</w:t>
        </w:r>
        <w:r>
          <w:rPr>
            <w:rStyle w:val="Hyperlink"/>
          </w:rPr>
          <w:t xml:space="preserve">MIB</w:t>
        </w:r>
        <w:r>
          <w:rPr>
            <w:rStyle w:val="Hyperlink"/>
          </w:rPr>
          <w:t xml:space="preserve"> </w:t>
        </w:r>
        <w:r>
          <w:rPr>
            <w:rStyle w:val="Hyperlink"/>
          </w:rPr>
          <w:t xml:space="preserve">release and degradation under exposure of ozone, chlorine and permanganate</w:t>
        </w:r>
      </w:hyperlink>
      <w:r>
        <w:t xml:space="preserve">.</w:t>
      </w:r>
      <w:r>
        <w:t xml:space="preserve"> </w:t>
      </w:r>
      <w:r>
        <w:rPr>
          <w:i/>
          <w:iCs/>
        </w:rPr>
        <w:t xml:space="preserve">Water Research</w:t>
      </w:r>
      <w:r>
        <w:t xml:space="preserve"> </w:t>
      </w:r>
      <w:r>
        <w:rPr>
          <w:b/>
          <w:bCs/>
        </w:rPr>
        <w:t xml:space="preserve">147</w:t>
      </w:r>
      <w:r>
        <w:t xml:space="preserve">, 422–428 (2018).</w:t>
      </w:r>
    </w:p>
    <w:bookmarkEnd w:id="144"/>
    <w:bookmarkStart w:id="146" w:name="ref-pan2022desorption"/>
    <w:p>
      <w:pPr>
        <w:pStyle w:val="Bibliography"/>
      </w:pPr>
      <w:r>
        <w:t xml:space="preserve">35.</w:t>
      </w:r>
      <w:r>
        <w:t xml:space="preserve"> </w:t>
      </w:r>
      <w:r>
        <w:t xml:space="preserve">	</w:t>
      </w:r>
      <w:r>
        <w:t xml:space="preserve">Pan, L., Nakayama, A., Matsui, Y., Matsushita, T. &amp; Shirasaki, N.</w:t>
      </w:r>
      <w:r>
        <w:t xml:space="preserve"> </w:t>
      </w:r>
      <w:hyperlink r:id="rId145">
        <w:r>
          <w:rPr>
            <w:rStyle w:val="Hyperlink"/>
          </w:rPr>
          <w:t xml:space="preserve">Desorption of micropollutant from superfine and normal powdered activated carbon in submerged-membrane system due to influent concentration change in the presence of natural organic matter: Experiments and two-component branched-pore kinetic model</w:t>
        </w:r>
      </w:hyperlink>
      <w:r>
        <w:t xml:space="preserve">.</w:t>
      </w:r>
      <w:r>
        <w:t xml:space="preserve"> </w:t>
      </w:r>
      <w:r>
        <w:rPr>
          <w:i/>
          <w:iCs/>
        </w:rPr>
        <w:t xml:space="preserve">Water Research</w:t>
      </w:r>
      <w:r>
        <w:t xml:space="preserve"> </w:t>
      </w:r>
      <w:r>
        <w:rPr>
          <w:b/>
          <w:bCs/>
        </w:rPr>
        <w:t xml:space="preserve">208</w:t>
      </w:r>
      <w:r>
        <w:t xml:space="preserve">, 117872 (2022).</w:t>
      </w:r>
    </w:p>
    <w:bookmarkEnd w:id="146"/>
    <w:bookmarkStart w:id="148" w:name="ref-mustapha2021a"/>
    <w:p>
      <w:pPr>
        <w:pStyle w:val="Bibliography"/>
      </w:pPr>
      <w:r>
        <w:t xml:space="preserve">36.</w:t>
      </w:r>
      <w:r>
        <w:t xml:space="preserve"> </w:t>
      </w:r>
      <w:r>
        <w:t xml:space="preserve">	</w:t>
      </w:r>
      <w:r>
        <w:t xml:space="preserve">Mustapha, S.</w:t>
      </w:r>
      <w:r>
        <w:t xml:space="preserve"> </w:t>
      </w:r>
      <w:r>
        <w:rPr>
          <w:i/>
          <w:iCs/>
        </w:rPr>
        <w:t xml:space="preserve">et al.</w:t>
      </w:r>
      <w:r>
        <w:t xml:space="preserve"> </w:t>
      </w:r>
      <w:hyperlink r:id="rId147">
        <w:r>
          <w:rPr>
            <w:rStyle w:val="Hyperlink"/>
          </w:rPr>
          <w:t xml:space="preserve">A critical review on geosmin and 2-methylisoborneol in water: Sources , effects, detection, and removal techniques</w:t>
        </w:r>
      </w:hyperlink>
      <w:r>
        <w:t xml:space="preserve">.</w:t>
      </w:r>
      <w:r>
        <w:t xml:space="preserve"> </w:t>
      </w:r>
      <w:r>
        <w:rPr>
          <w:i/>
          <w:iCs/>
        </w:rPr>
        <w:t xml:space="preserve">Environmental Monitoring and Assessment</w:t>
      </w:r>
      <w:r>
        <w:t xml:space="preserve"> </w:t>
      </w:r>
      <w:r>
        <w:rPr>
          <w:b/>
          <w:bCs/>
        </w:rPr>
        <w:t xml:space="preserve">193</w:t>
      </w:r>
      <w:r>
        <w:t xml:space="preserve">, (2021).</w:t>
      </w:r>
    </w:p>
    <w:bookmarkEnd w:id="148"/>
    <w:bookmarkStart w:id="150" w:name="ref-wang2024production"/>
    <w:p>
      <w:pPr>
        <w:pStyle w:val="Bibliography"/>
      </w:pPr>
      <w:r>
        <w:t xml:space="preserve">37.</w:t>
      </w:r>
      <w:r>
        <w:t xml:space="preserve"> </w:t>
      </w:r>
      <w:r>
        <w:t xml:space="preserve">	</w:t>
      </w:r>
      <w:r>
        <w:t xml:space="preserve">Wang, H.</w:t>
      </w:r>
      <w:r>
        <w:t xml:space="preserve"> </w:t>
      </w:r>
      <w:r>
        <w:rPr>
          <w:i/>
          <w:iCs/>
        </w:rPr>
        <w:t xml:space="preserve">et al.</w:t>
      </w:r>
      <w:r>
        <w:t xml:space="preserve"> </w:t>
      </w:r>
      <w:hyperlink r:id="rId149">
        <w:r>
          <w:rPr>
            <w:rStyle w:val="Hyperlink"/>
          </w:rPr>
          <w:t xml:space="preserve">Production and release of 2-MIB in pseudanabaena: Effects of growth phases on cell characteristics and 2-MIB yield</w:t>
        </w:r>
      </w:hyperlink>
      <w:r>
        <w:t xml:space="preserve">.</w:t>
      </w:r>
      <w:r>
        <w:t xml:space="preserve"> </w:t>
      </w:r>
      <w:r>
        <w:rPr>
          <w:i/>
          <w:iCs/>
        </w:rPr>
        <w:t xml:space="preserve">Ecotoxicology and Environmental Safety</w:t>
      </w:r>
      <w:r>
        <w:t xml:space="preserve"> </w:t>
      </w:r>
      <w:r>
        <w:rPr>
          <w:b/>
          <w:bCs/>
        </w:rPr>
        <w:t xml:space="preserve">274</w:t>
      </w:r>
      <w:r>
        <w:t xml:space="preserve">, 116198 (2024).</w:t>
      </w:r>
    </w:p>
    <w:bookmarkEnd w:id="150"/>
    <w:bookmarkStart w:id="152" w:name="ref-oh2017effects"/>
    <w:p>
      <w:pPr>
        <w:pStyle w:val="Bibliography"/>
      </w:pPr>
      <w:r>
        <w:t xml:space="preserve">38.</w:t>
      </w:r>
      <w:r>
        <w:t xml:space="preserve"> </w:t>
      </w:r>
      <w:r>
        <w:t xml:space="preserve">	</w:t>
      </w:r>
      <w:r>
        <w:t xml:space="preserve">Oh, H.-S., Lee, C. S., Srivastava, A., Oh, H.-M. &amp; Ahn, C.-Y.</w:t>
      </w:r>
      <w:r>
        <w:t xml:space="preserve"> </w:t>
      </w:r>
      <w:hyperlink r:id="rId151">
        <w:r>
          <w:rPr>
            <w:rStyle w:val="Hyperlink"/>
          </w:rPr>
          <w:t xml:space="preserve">Effects of environmental factors on cyanobacterial production of odorous compounds: Geosmin and 2-methylisoborneol</w:t>
        </w:r>
      </w:hyperlink>
      <w:r>
        <w:t xml:space="preserve">.</w:t>
      </w:r>
      <w:r>
        <w:t xml:space="preserve"> </w:t>
      </w:r>
      <w:r>
        <w:rPr>
          <w:i/>
          <w:iCs/>
        </w:rPr>
        <w:t xml:space="preserve">Journal of Microbiology and Biotechnology</w:t>
      </w:r>
      <w:r>
        <w:t xml:space="preserve"> </w:t>
      </w:r>
      <w:r>
        <w:rPr>
          <w:b/>
          <w:bCs/>
        </w:rPr>
        <w:t xml:space="preserve">27</w:t>
      </w:r>
      <w:r>
        <w:t xml:space="preserve">, 1316–1323 (2017).</w:t>
      </w:r>
    </w:p>
    <w:bookmarkEnd w:id="152"/>
    <w:bookmarkStart w:id="154" w:name="ref-alghanmi2018effect"/>
    <w:p>
      <w:pPr>
        <w:pStyle w:val="Bibliography"/>
      </w:pPr>
      <w:r>
        <w:t xml:space="preserve">39.</w:t>
      </w:r>
      <w:r>
        <w:t xml:space="preserve"> </w:t>
      </w:r>
      <w:r>
        <w:t xml:space="preserve">	</w:t>
      </w:r>
      <w:r>
        <w:t xml:space="preserve">Alghanmi, H. A., Alkam, F. M. &amp; AL-Taee, M. M.</w:t>
      </w:r>
      <w:r>
        <w:t xml:space="preserve"> </w:t>
      </w:r>
      <w:hyperlink r:id="rId153">
        <w:r>
          <w:rPr>
            <w:rStyle w:val="Hyperlink"/>
          </w:rPr>
          <w:t xml:space="preserve">Effect of light and temperature on new cyanobacteria producers for geosmin and 2-methylisoborneol</w:t>
        </w:r>
      </w:hyperlink>
      <w:r>
        <w:t xml:space="preserve">.</w:t>
      </w:r>
      <w:r>
        <w:t xml:space="preserve"> </w:t>
      </w:r>
      <w:r>
        <w:rPr>
          <w:i/>
          <w:iCs/>
        </w:rPr>
        <w:t xml:space="preserve">Journal of Applied Phycology</w:t>
      </w:r>
      <w:r>
        <w:t xml:space="preserve"> </w:t>
      </w:r>
      <w:r>
        <w:rPr>
          <w:b/>
          <w:bCs/>
        </w:rPr>
        <w:t xml:space="preserve">30</w:t>
      </w:r>
      <w:r>
        <w:t xml:space="preserve">, 319–328 (2018).</w:t>
      </w:r>
    </w:p>
    <w:bookmarkEnd w:id="154"/>
    <w:bookmarkStart w:id="156" w:name="ref-giglio2011biosynthesis"/>
    <w:p>
      <w:pPr>
        <w:pStyle w:val="Bibliography"/>
      </w:pPr>
      <w:r>
        <w:t xml:space="preserve">40.</w:t>
      </w:r>
      <w:r>
        <w:t xml:space="preserve"> </w:t>
      </w:r>
      <w:r>
        <w:t xml:space="preserve">	</w:t>
      </w:r>
      <w:r>
        <w:t xml:space="preserve">Giglio, S., Chou, W. K. W., Ikeda, H., Cane, D. E. &amp; Monis, P. T.</w:t>
      </w:r>
      <w:r>
        <w:t xml:space="preserve"> </w:t>
      </w:r>
      <w:hyperlink r:id="rId155">
        <w:r>
          <w:rPr>
            <w:rStyle w:val="Hyperlink"/>
          </w:rPr>
          <w:t xml:space="preserve">Biosynthesis of 2-methylisoborneol in cyanobacteria</w:t>
        </w:r>
      </w:hyperlink>
      <w:r>
        <w:t xml:space="preserve">.</w:t>
      </w:r>
      <w:r>
        <w:t xml:space="preserve"> </w:t>
      </w:r>
      <w:r>
        <w:rPr>
          <w:i/>
          <w:iCs/>
        </w:rPr>
        <w:t xml:space="preserve">Environmental Science &amp; Technology</w:t>
      </w:r>
      <w:r>
        <w:t xml:space="preserve"> </w:t>
      </w:r>
      <w:r>
        <w:rPr>
          <w:b/>
          <w:bCs/>
        </w:rPr>
        <w:t xml:space="preserve">45</w:t>
      </w:r>
      <w:r>
        <w:t xml:space="preserve">, 992–998 (2011).</w:t>
      </w:r>
    </w:p>
    <w:bookmarkEnd w:id="156"/>
    <w:bookmarkStart w:id="158" w:name="ref-wang2011genes"/>
    <w:p>
      <w:pPr>
        <w:pStyle w:val="Bibliography"/>
      </w:pPr>
      <w:r>
        <w:t xml:space="preserve">41.</w:t>
      </w:r>
      <w:r>
        <w:t xml:space="preserve"> </w:t>
      </w:r>
      <w:r>
        <w:t xml:space="preserve">	</w:t>
      </w:r>
      <w:r>
        <w:t xml:space="preserve">Wang, Z., Xu, Y., Shao, J., Wang, J. &amp; Li, R.</w:t>
      </w:r>
      <w:r>
        <w:t xml:space="preserve"> </w:t>
      </w:r>
      <w:hyperlink r:id="rId157">
        <w:r>
          <w:rPr>
            <w:rStyle w:val="Hyperlink"/>
          </w:rPr>
          <w:t xml:space="preserve">Genes associated with 2-methylisoborneol biosynthesis in cyanobacteria: Isolation, characterization, and expression in response to light</w:t>
        </w:r>
      </w:hyperlink>
      <w:r>
        <w:t xml:space="preserve">.</w:t>
      </w:r>
      <w:r>
        <w:t xml:space="preserve"> </w:t>
      </w:r>
      <w:r>
        <w:rPr>
          <w:i/>
          <w:iCs/>
        </w:rPr>
        <w:t xml:space="preserve">Plos One</w:t>
      </w:r>
      <w:r>
        <w:t xml:space="preserve"> </w:t>
      </w:r>
      <w:r>
        <w:rPr>
          <w:b/>
          <w:bCs/>
        </w:rPr>
        <w:t xml:space="preserve">6</w:t>
      </w:r>
      <w:r>
        <w:t xml:space="preserve">, E18665 (2011).</w:t>
      </w:r>
    </w:p>
    <w:bookmarkEnd w:id="158"/>
    <w:bookmarkStart w:id="160" w:name="ref-komatsu2008identification"/>
    <w:p>
      <w:pPr>
        <w:pStyle w:val="Bibliography"/>
      </w:pPr>
      <w:r>
        <w:t xml:space="preserve">42.</w:t>
      </w:r>
      <w:r>
        <w:t xml:space="preserve"> </w:t>
      </w:r>
      <w:r>
        <w:t xml:space="preserve">	</w:t>
      </w:r>
      <w:r>
        <w:t xml:space="preserve">Komatsu, M., Tsuda, M., omura, S., Oikawa, H. &amp; Ikeda, H.</w:t>
      </w:r>
      <w:r>
        <w:t xml:space="preserve"> </w:t>
      </w:r>
      <w:hyperlink r:id="rId159">
        <w:r>
          <w:rPr>
            <w:rStyle w:val="Hyperlink"/>
          </w:rPr>
          <w:t xml:space="preserve">Identification and functional analysis of genes controlling biosynthesis of 2-methylisoborneol</w:t>
        </w:r>
      </w:hyperlink>
      <w:r>
        <w:t xml:space="preserve">.</w:t>
      </w:r>
      <w:r>
        <w:t xml:space="preserve"> </w:t>
      </w:r>
      <w:r>
        <w:rPr>
          <w:i/>
          <w:iCs/>
        </w:rPr>
        <w:t xml:space="preserve">Proceedings of the National Academy of Sciences</w:t>
      </w:r>
      <w:r>
        <w:t xml:space="preserve"> </w:t>
      </w:r>
      <w:r>
        <w:rPr>
          <w:b/>
          <w:bCs/>
        </w:rPr>
        <w:t xml:space="preserve">105</w:t>
      </w:r>
      <w:r>
        <w:t xml:space="preserve">, 7422–7427 (2008).</w:t>
      </w:r>
    </w:p>
    <w:bookmarkEnd w:id="160"/>
    <w:bookmarkStart w:id="162" w:name="ref-andreas2024the"/>
    <w:p>
      <w:pPr>
        <w:pStyle w:val="Bibliography"/>
      </w:pPr>
      <w:r>
        <w:t xml:space="preserve">43.</w:t>
      </w:r>
      <w:r>
        <w:t xml:space="preserve"> </w:t>
      </w:r>
      <w:r>
        <w:t xml:space="preserve">	</w:t>
      </w:r>
      <w:r>
        <w:t xml:space="preserve">Andreas, M. P. &amp; Giessen, T. W.</w:t>
      </w:r>
      <w:r>
        <w:t xml:space="preserve"> </w:t>
      </w:r>
      <w:hyperlink r:id="rId161">
        <w:r>
          <w:rPr>
            <w:rStyle w:val="Hyperlink"/>
          </w:rPr>
          <w:t xml:space="preserve">The biosynthesis of the odorant 2-methylisoborneol is compartmentalized inside a protein shell</w:t>
        </w:r>
      </w:hyperlink>
      <w:r>
        <w:t xml:space="preserve">.</w:t>
      </w:r>
      <w:r>
        <w:t xml:space="preserve"> </w:t>
      </w:r>
      <w:r>
        <w:rPr>
          <w:i/>
          <w:iCs/>
        </w:rPr>
        <w:t xml:space="preserve">Nature Communications</w:t>
      </w:r>
      <w:r>
        <w:t xml:space="preserve"> </w:t>
      </w:r>
      <w:r>
        <w:rPr>
          <w:b/>
          <w:bCs/>
        </w:rPr>
        <w:t xml:space="preserve">15</w:t>
      </w:r>
      <w:r>
        <w:t xml:space="preserve">, (2024).</w:t>
      </w:r>
    </w:p>
    <w:bookmarkEnd w:id="162"/>
    <w:bookmarkStart w:id="164" w:name="ref-jia2019light"/>
    <w:p>
      <w:pPr>
        <w:pStyle w:val="Bibliography"/>
      </w:pPr>
      <w:r>
        <w:t xml:space="preserve">44.</w:t>
      </w:r>
      <w:r>
        <w:t xml:space="preserve"> </w:t>
      </w:r>
      <w:r>
        <w:t xml:space="preserve">	</w:t>
      </w:r>
      <w:r>
        <w:t xml:space="preserve">Jia, Z.</w:t>
      </w:r>
      <w:r>
        <w:t xml:space="preserve"> </w:t>
      </w:r>
      <w:r>
        <w:rPr>
          <w:i/>
          <w:iCs/>
        </w:rPr>
        <w:t xml:space="preserve">et al.</w:t>
      </w:r>
      <w:r>
        <w:t xml:space="preserve"> </w:t>
      </w:r>
      <w:hyperlink r:id="rId163">
        <w:r>
          <w:rPr>
            <w:rStyle w:val="Hyperlink"/>
          </w:rPr>
          <w:t xml:space="preserve">Light as a possible regulator of</w:t>
        </w:r>
        <w:r>
          <w:rPr>
            <w:rStyle w:val="Hyperlink"/>
          </w:rPr>
          <w:t xml:space="preserve"> </w:t>
        </w:r>
        <w:r>
          <w:rPr>
            <w:rStyle w:val="Hyperlink"/>
          </w:rPr>
          <w:t xml:space="preserve">MIB</w:t>
        </w:r>
        <w:r>
          <w:rPr>
            <w:rStyle w:val="Hyperlink"/>
          </w:rPr>
          <w:t xml:space="preserve">-producing</w:t>
        </w:r>
        <w:r>
          <w:rPr>
            <w:rStyle w:val="Hyperlink"/>
          </w:rPr>
          <w:t xml:space="preserve"> </w:t>
        </w:r>
        <w:r>
          <w:rPr>
            <w:rStyle w:val="Hyperlink"/>
            <w:i/>
            <w:iCs/>
          </w:rPr>
          <w:t xml:space="preserve">Planktothrix</w:t>
        </w:r>
        <w:r>
          <w:rPr>
            <w:rStyle w:val="Hyperlink"/>
          </w:rPr>
          <w:t xml:space="preserve"> </w:t>
        </w:r>
        <w:r>
          <w:rPr>
            <w:rStyle w:val="Hyperlink"/>
          </w:rPr>
          <w:t xml:space="preserve">in source water reservoir, mechanism and</w:t>
        </w:r>
        <w:r>
          <w:rPr>
            <w:rStyle w:val="Hyperlink"/>
          </w:rPr>
          <w:t xml:space="preserve"> </w:t>
        </w:r>
        <w:r>
          <w:rPr>
            <w:rStyle w:val="Hyperlink"/>
            <w:i/>
            <w:iCs/>
          </w:rPr>
          <w:t xml:space="preserve">in-situ</w:t>
        </w:r>
        <w:r>
          <w:rPr>
            <w:rStyle w:val="Hyperlink"/>
          </w:rPr>
          <w:t xml:space="preserve"> </w:t>
        </w:r>
        <w:r>
          <w:rPr>
            <w:rStyle w:val="Hyperlink"/>
          </w:rPr>
          <w:t xml:space="preserve">verification</w:t>
        </w:r>
      </w:hyperlink>
      <w:r>
        <w:t xml:space="preserve">.</w:t>
      </w:r>
      <w:r>
        <w:t xml:space="preserve"> </w:t>
      </w:r>
      <w:r>
        <w:rPr>
          <w:i/>
          <w:iCs/>
        </w:rPr>
        <w:t xml:space="preserve">Harmful Algae</w:t>
      </w:r>
      <w:r>
        <w:t xml:space="preserve"> </w:t>
      </w:r>
      <w:r>
        <w:rPr>
          <w:b/>
          <w:bCs/>
        </w:rPr>
        <w:t xml:space="preserve">88</w:t>
      </w:r>
      <w:r>
        <w:t xml:space="preserve">, 101658 (2019).</w:t>
      </w:r>
    </w:p>
    <w:bookmarkEnd w:id="164"/>
    <w:bookmarkStart w:id="166" w:name="ref-wang2015effects"/>
    <w:p>
      <w:pPr>
        <w:pStyle w:val="Bibliography"/>
      </w:pPr>
      <w:r>
        <w:t xml:space="preserve">45.</w:t>
      </w:r>
      <w:r>
        <w:t xml:space="preserve"> </w:t>
      </w:r>
      <w:r>
        <w:t xml:space="preserve">	</w:t>
      </w:r>
      <w:r>
        <w:t xml:space="preserve">Wang, Z. &amp; Li, R.</w:t>
      </w:r>
      <w:r>
        <w:t xml:space="preserve"> </w:t>
      </w:r>
      <w:hyperlink r:id="rId165">
        <w:r>
          <w:rPr>
            <w:rStyle w:val="Hyperlink"/>
          </w:rPr>
          <w:t xml:space="preserve">Effects of light and temperature on the odor production of 2-methylisoborneol-producing</w:t>
        </w:r>
        <w:r>
          <w:rPr>
            <w:rStyle w:val="Hyperlink"/>
          </w:rPr>
          <w:t xml:space="preserve"> </w:t>
        </w:r>
        <w:r>
          <w:rPr>
            <w:rStyle w:val="Hyperlink"/>
            <w:i/>
            <w:iCs/>
          </w:rPr>
          <w:t xml:space="preserve">Pseudanabaena</w:t>
        </w:r>
        <w:r>
          <w:rPr>
            <w:rStyle w:val="Hyperlink"/>
          </w:rPr>
          <w:t xml:space="preserve"> </w:t>
        </w:r>
        <w:r>
          <w:rPr>
            <w:rStyle w:val="Hyperlink"/>
          </w:rPr>
          <w:t xml:space="preserve">sp.</w:t>
        </w:r>
        <w:r>
          <w:rPr>
            <w:rStyle w:val="Hyperlink"/>
          </w:rPr>
          <w:t xml:space="preserve"> </w:t>
        </w:r>
        <w:r>
          <w:rPr>
            <w:rStyle w:val="Hyperlink"/>
          </w:rPr>
          <w:t xml:space="preserve">and</w:t>
        </w:r>
        <w:r>
          <w:rPr>
            <w:rStyle w:val="Hyperlink"/>
          </w:rPr>
          <w:t xml:space="preserve"> </w:t>
        </w:r>
        <w:r>
          <w:rPr>
            <w:rStyle w:val="Hyperlink"/>
          </w:rPr>
          <w:t xml:space="preserve">geosmin-producing</w:t>
        </w:r>
        <w:r>
          <w:rPr>
            <w:rStyle w:val="Hyperlink"/>
          </w:rPr>
          <w:t xml:space="preserve"> </w:t>
        </w:r>
        <w:r>
          <w:rPr>
            <w:rStyle w:val="Hyperlink"/>
            <w:i/>
            <w:iCs/>
          </w:rPr>
          <w:t xml:space="preserve">Anabaena ucrainica</w:t>
        </w:r>
        <w:r>
          <w:rPr>
            <w:rStyle w:val="Hyperlink"/>
          </w:rPr>
          <w:t xml:space="preserve"> </w:t>
        </w:r>
        <w:r>
          <w:rPr>
            <w:rStyle w:val="Hyperlink"/>
          </w:rPr>
          <w:t xml:space="preserve">(cyanobacteria)</w:t>
        </w:r>
      </w:hyperlink>
      <w:r>
        <w:t xml:space="preserve">.</w:t>
      </w:r>
      <w:r>
        <w:t xml:space="preserve"> </w:t>
      </w:r>
      <w:r>
        <w:rPr>
          <w:i/>
          <w:iCs/>
        </w:rPr>
        <w:t xml:space="preserve">Biochemical Systematics and Ecology</w:t>
      </w:r>
      <w:r>
        <w:t xml:space="preserve"> </w:t>
      </w:r>
      <w:r>
        <w:rPr>
          <w:b/>
          <w:bCs/>
        </w:rPr>
        <w:t xml:space="preserve">58</w:t>
      </w:r>
      <w:r>
        <w:t xml:space="preserve">, 219–226 (2015).</w:t>
      </w:r>
    </w:p>
    <w:bookmarkEnd w:id="166"/>
    <w:bookmarkStart w:id="168" w:name="ref-zimba1999evaluating"/>
    <w:p>
      <w:pPr>
        <w:pStyle w:val="Bibliography"/>
      </w:pPr>
      <w:r>
        <w:t xml:space="preserve">46.</w:t>
      </w:r>
      <w:r>
        <w:t xml:space="preserve"> </w:t>
      </w:r>
      <w:r>
        <w:t xml:space="preserve">	</w:t>
      </w:r>
      <w:r>
        <w:t xml:space="preserve">Zimba, P. V., Dionigi, C. P. &amp; Millie, D. F.</w:t>
      </w:r>
      <w:r>
        <w:t xml:space="preserve"> </w:t>
      </w:r>
      <w:hyperlink r:id="rId167">
        <w:r>
          <w:rPr>
            <w:rStyle w:val="Hyperlink"/>
          </w:rPr>
          <w:t xml:space="preserve">Evaluating the relationship between photopigment synthesis and 2-methylisoborneol accumulation in cyanobacteria</w:t>
        </w:r>
      </w:hyperlink>
      <w:r>
        <w:t xml:space="preserve">.</w:t>
      </w:r>
      <w:r>
        <w:t xml:space="preserve"> </w:t>
      </w:r>
      <w:r>
        <w:rPr>
          <w:i/>
          <w:iCs/>
        </w:rPr>
        <w:t xml:space="preserve">Journal of Phycology</w:t>
      </w:r>
      <w:r>
        <w:t xml:space="preserve"> </w:t>
      </w:r>
      <w:r>
        <w:rPr>
          <w:b/>
          <w:bCs/>
        </w:rPr>
        <w:t xml:space="preserve">35</w:t>
      </w:r>
      <w:r>
        <w:t xml:space="preserve">, 1422–1429 (1999).</w:t>
      </w:r>
    </w:p>
    <w:bookmarkEnd w:id="168"/>
    <w:bookmarkStart w:id="170" w:name="ref-eisenhoffer2013bringing"/>
    <w:p>
      <w:pPr>
        <w:pStyle w:val="Bibliography"/>
      </w:pPr>
      <w:r>
        <w:t xml:space="preserve">47.</w:t>
      </w:r>
      <w:r>
        <w:t xml:space="preserve"> </w:t>
      </w:r>
      <w:r>
        <w:t xml:space="preserve">	</w:t>
      </w:r>
      <w:r>
        <w:t xml:space="preserve">Eisenhoffer, G. T. &amp; Rosenblatt, J.</w:t>
      </w:r>
      <w:r>
        <w:t xml:space="preserve"> </w:t>
      </w:r>
      <w:hyperlink r:id="rId169">
        <w:r>
          <w:rPr>
            <w:rStyle w:val="Hyperlink"/>
          </w:rPr>
          <w:t xml:space="preserve">Bringing balance by force: Live cell extrusion controls epithelial cell numbers</w:t>
        </w:r>
      </w:hyperlink>
      <w:r>
        <w:t xml:space="preserve">.</w:t>
      </w:r>
      <w:r>
        <w:t xml:space="preserve"> </w:t>
      </w:r>
      <w:r>
        <w:rPr>
          <w:i/>
          <w:iCs/>
        </w:rPr>
        <w:t xml:space="preserve">Trends in Cell Biology</w:t>
      </w:r>
      <w:r>
        <w:t xml:space="preserve"> </w:t>
      </w:r>
      <w:r>
        <w:rPr>
          <w:b/>
          <w:bCs/>
        </w:rPr>
        <w:t xml:space="preserve">23</w:t>
      </w:r>
      <w:r>
        <w:t xml:space="preserve">, 185–192 (2013).</w:t>
      </w:r>
    </w:p>
    <w:bookmarkEnd w:id="170"/>
    <w:bookmarkStart w:id="172" w:name="ref-bermudez2024cell"/>
    <w:p>
      <w:pPr>
        <w:pStyle w:val="Bibliography"/>
      </w:pPr>
      <w:r>
        <w:t xml:space="preserve">48.</w:t>
      </w:r>
      <w:r>
        <w:t xml:space="preserve"> </w:t>
      </w:r>
      <w:r>
        <w:t xml:space="preserve">	</w:t>
      </w:r>
      <w:r>
        <w:t xml:space="preserve">Bermudez, A. G., Latham, Z., Hu, J. &amp; Lin, N.</w:t>
      </w:r>
      <w:r>
        <w:t xml:space="preserve"> </w:t>
      </w:r>
      <w:hyperlink r:id="rId171">
        <w:r>
          <w:rPr>
            <w:rStyle w:val="Hyperlink"/>
          </w:rPr>
          <w:t xml:space="preserve">Cell crowding-induced geometric constraint regulates chromatin organizations</w:t>
        </w:r>
      </w:hyperlink>
      <w:r>
        <w:t xml:space="preserve">.</w:t>
      </w:r>
      <w:r>
        <w:t xml:space="preserve"> </w:t>
      </w:r>
      <w:r>
        <w:rPr>
          <w:i/>
          <w:iCs/>
        </w:rPr>
        <w:t xml:space="preserve">Biophysical Journal</w:t>
      </w:r>
      <w:r>
        <w:t xml:space="preserve"> </w:t>
      </w:r>
      <w:r>
        <w:rPr>
          <w:b/>
          <w:bCs/>
        </w:rPr>
        <w:t xml:space="preserve">123</w:t>
      </w:r>
      <w:r>
        <w:t xml:space="preserve">, 407a (2024).</w:t>
      </w:r>
    </w:p>
    <w:bookmarkEnd w:id="172"/>
    <w:bookmarkStart w:id="174" w:name="ref-yang2024etv4"/>
    <w:p>
      <w:pPr>
        <w:pStyle w:val="Bibliography"/>
      </w:pPr>
      <w:r>
        <w:t xml:space="preserve">49.</w:t>
      </w:r>
      <w:r>
        <w:t xml:space="preserve"> </w:t>
      </w:r>
      <w:r>
        <w:t xml:space="preserve">	</w:t>
      </w:r>
      <w:r>
        <w:t xml:space="preserve">Yang, S.</w:t>
      </w:r>
      <w:r>
        <w:t xml:space="preserve"> </w:t>
      </w:r>
      <w:r>
        <w:rPr>
          <w:i/>
          <w:iCs/>
        </w:rPr>
        <w:t xml:space="preserve">et al.</w:t>
      </w:r>
      <w:r>
        <w:t xml:space="preserve"> </w:t>
      </w:r>
      <w:hyperlink r:id="rId173">
        <w:r>
          <w:rPr>
            <w:rStyle w:val="Hyperlink"/>
          </w:rPr>
          <w:t xml:space="preserve">ETV4 is a mechanical transducer linking cell crowding dynamics to lineage specification</w:t>
        </w:r>
      </w:hyperlink>
      <w:r>
        <w:t xml:space="preserve">.</w:t>
      </w:r>
      <w:r>
        <w:t xml:space="preserve"> </w:t>
      </w:r>
      <w:r>
        <w:rPr>
          <w:i/>
          <w:iCs/>
        </w:rPr>
        <w:t xml:space="preserve">Nature Cell Biology</w:t>
      </w:r>
      <w:r>
        <w:t xml:space="preserve"> </w:t>
      </w:r>
      <w:r>
        <w:rPr>
          <w:b/>
          <w:bCs/>
        </w:rPr>
        <w:t xml:space="preserve">26</w:t>
      </w:r>
      <w:r>
        <w:t xml:space="preserve">, 903–916 (2024).</w:t>
      </w:r>
    </w:p>
    <w:bookmarkEnd w:id="174"/>
    <w:bookmarkStart w:id="176" w:name="ref-lawsonkeister2021jamming"/>
    <w:p>
      <w:pPr>
        <w:pStyle w:val="Bibliography"/>
      </w:pPr>
      <w:r>
        <w:t xml:space="preserve">50.</w:t>
      </w:r>
      <w:r>
        <w:t xml:space="preserve"> </w:t>
      </w:r>
      <w:r>
        <w:t xml:space="preserve">	</w:t>
      </w:r>
      <w:r>
        <w:t xml:space="preserve">Lawson-Keister, E. &amp; Manning, M. L.</w:t>
      </w:r>
      <w:r>
        <w:t xml:space="preserve"> </w:t>
      </w:r>
      <w:hyperlink r:id="rId175">
        <w:r>
          <w:rPr>
            <w:rStyle w:val="Hyperlink"/>
          </w:rPr>
          <w:t xml:space="preserve">Jamming and arrest of cell motion in biological tissues</w:t>
        </w:r>
      </w:hyperlink>
      <w:r>
        <w:t xml:space="preserve">.</w:t>
      </w:r>
      <w:r>
        <w:t xml:space="preserve"> </w:t>
      </w:r>
      <w:r>
        <w:rPr>
          <w:i/>
          <w:iCs/>
        </w:rPr>
        <w:t xml:space="preserve">Current Opinion in Cell Biology</w:t>
      </w:r>
      <w:r>
        <w:t xml:space="preserve"> </w:t>
      </w:r>
      <w:r>
        <w:rPr>
          <w:b/>
          <w:bCs/>
        </w:rPr>
        <w:t xml:space="preserve">72</w:t>
      </w:r>
      <w:r>
        <w:t xml:space="preserve">, 146–155 (2021).</w:t>
      </w:r>
    </w:p>
    <w:bookmarkEnd w:id="176"/>
    <w:bookmarkStart w:id="178" w:name="ref-drewinko1984cultured"/>
    <w:p>
      <w:pPr>
        <w:pStyle w:val="Bibliography"/>
      </w:pPr>
      <w:r>
        <w:t xml:space="preserve">51.</w:t>
      </w:r>
      <w:r>
        <w:t xml:space="preserve"> </w:t>
      </w:r>
      <w:r>
        <w:t xml:space="preserve">	</w:t>
      </w:r>
      <w:r>
        <w:t xml:space="preserve">Drewinko, B., Yang, L. Y., Barlogie, B. &amp; Trujillo, J. M.</w:t>
      </w:r>
      <w:r>
        <w:t xml:space="preserve"> </w:t>
      </w:r>
      <w:hyperlink r:id="rId177">
        <w:r>
          <w:rPr>
            <w:rStyle w:val="Hyperlink"/>
          </w:rPr>
          <w:t xml:space="preserve">Cultured human tumour cells may be arrested in all stages of the cycle during stationary phase: Demonstration of quiescent cells in G1, s and G2 phase</w:t>
        </w:r>
      </w:hyperlink>
      <w:r>
        <w:t xml:space="preserve">.</w:t>
      </w:r>
      <w:r>
        <w:t xml:space="preserve"> </w:t>
      </w:r>
      <w:r>
        <w:rPr>
          <w:i/>
          <w:iCs/>
        </w:rPr>
        <w:t xml:space="preserve">Cell Proliferation</w:t>
      </w:r>
      <w:r>
        <w:t xml:space="preserve"> </w:t>
      </w:r>
      <w:r>
        <w:rPr>
          <w:b/>
          <w:bCs/>
        </w:rPr>
        <w:t xml:space="preserve">17</w:t>
      </w:r>
      <w:r>
        <w:t xml:space="preserve">, 453–463 (1984).</w:t>
      </w:r>
    </w:p>
    <w:bookmarkEnd w:id="178"/>
    <w:bookmarkStart w:id="180" w:name="ref-eisenhoffer2012crowding"/>
    <w:p>
      <w:pPr>
        <w:pStyle w:val="Bibliography"/>
      </w:pPr>
      <w:r>
        <w:t xml:space="preserve">52.</w:t>
      </w:r>
      <w:r>
        <w:t xml:space="preserve"> </w:t>
      </w:r>
      <w:r>
        <w:t xml:space="preserve">	</w:t>
      </w:r>
      <w:r>
        <w:t xml:space="preserve">Eisenhoffer, G. T.</w:t>
      </w:r>
      <w:r>
        <w:t xml:space="preserve"> </w:t>
      </w:r>
      <w:r>
        <w:rPr>
          <w:i/>
          <w:iCs/>
        </w:rPr>
        <w:t xml:space="preserve">et al.</w:t>
      </w:r>
      <w:r>
        <w:t xml:space="preserve"> </w:t>
      </w:r>
      <w:hyperlink r:id="rId179">
        <w:r>
          <w:rPr>
            <w:rStyle w:val="Hyperlink"/>
          </w:rPr>
          <w:t xml:space="preserve">Crowding induces live cell extrusion to maintain homeostatic cell numbers in epithelia</w:t>
        </w:r>
      </w:hyperlink>
      <w:r>
        <w:t xml:space="preserve">.</w:t>
      </w:r>
      <w:r>
        <w:t xml:space="preserve"> </w:t>
      </w:r>
      <w:r>
        <w:rPr>
          <w:i/>
          <w:iCs/>
        </w:rPr>
        <w:t xml:space="preserve">Nature</w:t>
      </w:r>
      <w:r>
        <w:t xml:space="preserve"> </w:t>
      </w:r>
      <w:r>
        <w:rPr>
          <w:b/>
          <w:bCs/>
        </w:rPr>
        <w:t xml:space="preserve">484</w:t>
      </w:r>
      <w:r>
        <w:t xml:space="preserve">, 546–549 (2012).</w:t>
      </w:r>
    </w:p>
    <w:bookmarkEnd w:id="180"/>
    <w:bookmarkStart w:id="182" w:name="ref-bar2004attenuation"/>
    <w:p>
      <w:pPr>
        <w:pStyle w:val="Bibliography"/>
      </w:pPr>
      <w:r>
        <w:t xml:space="preserve">53.</w:t>
      </w:r>
      <w:r>
        <w:t xml:space="preserve"> </w:t>
      </w:r>
      <w:r>
        <w:t xml:space="preserve">	</w:t>
      </w:r>
      <w:r>
        <w:t xml:space="preserve">Bar, J., Cohen-Noyman, E., Geiger, B. &amp; Oren, M.</w:t>
      </w:r>
      <w:r>
        <w:t xml:space="preserve"> </w:t>
      </w:r>
      <w:hyperlink r:id="rId181">
        <w:r>
          <w:rPr>
            <w:rStyle w:val="Hyperlink"/>
          </w:rPr>
          <w:t xml:space="preserve">Attenuation of the p53 response to DNA damage by high cell density</w:t>
        </w:r>
      </w:hyperlink>
      <w:r>
        <w:t xml:space="preserve">.</w:t>
      </w:r>
      <w:r>
        <w:t xml:space="preserve"> </w:t>
      </w:r>
      <w:r>
        <w:rPr>
          <w:i/>
          <w:iCs/>
        </w:rPr>
        <w:t xml:space="preserve">Oncogene</w:t>
      </w:r>
      <w:r>
        <w:t xml:space="preserve"> </w:t>
      </w:r>
      <w:r>
        <w:rPr>
          <w:b/>
          <w:bCs/>
        </w:rPr>
        <w:t xml:space="preserve">23</w:t>
      </w:r>
      <w:r>
        <w:t xml:space="preserve">, 2128–2137 (2004).</w:t>
      </w:r>
    </w:p>
    <w:bookmarkEnd w:id="182"/>
    <w:bookmarkStart w:id="184" w:name="ref-nishio2017hippo"/>
    <w:p>
      <w:pPr>
        <w:pStyle w:val="Bibliography"/>
      </w:pPr>
      <w:r>
        <w:t xml:space="preserve">54.</w:t>
      </w:r>
      <w:r>
        <w:t xml:space="preserve"> </w:t>
      </w:r>
      <w:r>
        <w:t xml:space="preserve">	</w:t>
      </w:r>
      <w:r>
        <w:t xml:space="preserve">Nishio, M.</w:t>
      </w:r>
      <w:r>
        <w:t xml:space="preserve"> </w:t>
      </w:r>
      <w:r>
        <w:rPr>
          <w:i/>
          <w:iCs/>
        </w:rPr>
        <w:t xml:space="preserve">et al.</w:t>
      </w:r>
      <w:r>
        <w:t xml:space="preserve"> </w:t>
      </w:r>
      <w:hyperlink r:id="rId183">
        <w:r>
          <w:rPr>
            <w:rStyle w:val="Hyperlink"/>
          </w:rPr>
          <w:t xml:space="preserve">Hippo vs. Crab: Tissue‐specific functions of the mammalian hippo pathway</w:t>
        </w:r>
      </w:hyperlink>
      <w:r>
        <w:t xml:space="preserve">.</w:t>
      </w:r>
      <w:r>
        <w:t xml:space="preserve"> </w:t>
      </w:r>
      <w:r>
        <w:rPr>
          <w:i/>
          <w:iCs/>
        </w:rPr>
        <w:t xml:space="preserve">Genes to Cells</w:t>
      </w:r>
      <w:r>
        <w:t xml:space="preserve"> </w:t>
      </w:r>
      <w:r>
        <w:rPr>
          <w:b/>
          <w:bCs/>
        </w:rPr>
        <w:t xml:space="preserve">22</w:t>
      </w:r>
      <w:r>
        <w:t xml:space="preserve">, 6–31 (2017).</w:t>
      </w:r>
    </w:p>
    <w:bookmarkEnd w:id="184"/>
    <w:bookmarkStart w:id="186" w:name="ref-sheridan1981studies"/>
    <w:p>
      <w:pPr>
        <w:pStyle w:val="Bibliography"/>
      </w:pPr>
      <w:r>
        <w:t xml:space="preserve">55.</w:t>
      </w:r>
      <w:r>
        <w:t xml:space="preserve"> </w:t>
      </w:r>
      <w:r>
        <w:t xml:space="preserve">	</w:t>
      </w:r>
      <w:r>
        <w:t xml:space="preserve">Sheridan, J. W. &amp; Simmons, R. J.</w:t>
      </w:r>
      <w:r>
        <w:t xml:space="preserve"> </w:t>
      </w:r>
      <w:hyperlink r:id="rId185">
        <w:r>
          <w:rPr>
            <w:rStyle w:val="Hyperlink"/>
          </w:rPr>
          <w:t xml:space="preserve">Studies on a human melanoma cell line: Effect of cell crowding and nutrient depletion on the biophysical and kinetic characteristics of the cells</w:t>
        </w:r>
      </w:hyperlink>
      <w:r>
        <w:t xml:space="preserve">.</w:t>
      </w:r>
      <w:r>
        <w:t xml:space="preserve"> </w:t>
      </w:r>
      <w:r>
        <w:rPr>
          <w:i/>
          <w:iCs/>
        </w:rPr>
        <w:t xml:space="preserve">Journal of Cellular Physiology</w:t>
      </w:r>
      <w:r>
        <w:t xml:space="preserve"> </w:t>
      </w:r>
      <w:r>
        <w:rPr>
          <w:b/>
          <w:bCs/>
        </w:rPr>
        <w:t xml:space="preserve">107</w:t>
      </w:r>
      <w:r>
        <w:t xml:space="preserve">, 85–100 (1981).</w:t>
      </w:r>
    </w:p>
    <w:bookmarkEnd w:id="186"/>
    <w:bookmarkStart w:id="188" w:name="ref-tjørve2017the"/>
    <w:p>
      <w:pPr>
        <w:pStyle w:val="Bibliography"/>
      </w:pPr>
      <w:r>
        <w:t xml:space="preserve">56.</w:t>
      </w:r>
      <w:r>
        <w:t xml:space="preserve"> </w:t>
      </w:r>
      <w:r>
        <w:t xml:space="preserve">	</w:t>
      </w:r>
      <w:r>
        <w:t xml:space="preserve">Tjørve, K. M. C. &amp; Tjørve, E.</w:t>
      </w:r>
      <w:r>
        <w:t xml:space="preserve"> </w:t>
      </w:r>
      <w:hyperlink r:id="rId187">
        <w:r>
          <w:rPr>
            <w:rStyle w:val="Hyperlink"/>
          </w:rPr>
          <w:t xml:space="preserve">The use of gompertz models in growth analyses, and new gompertz-model approach: An addition to the unified-richards family</w:t>
        </w:r>
      </w:hyperlink>
      <w:r>
        <w:t xml:space="preserve">.</w:t>
      </w:r>
      <w:r>
        <w:t xml:space="preserve"> </w:t>
      </w:r>
      <w:r>
        <w:rPr>
          <w:i/>
          <w:iCs/>
        </w:rPr>
        <w:t xml:space="preserve">PLOS ONE</w:t>
      </w:r>
      <w:r>
        <w:t xml:space="preserve"> </w:t>
      </w:r>
      <w:r>
        <w:rPr>
          <w:b/>
          <w:bCs/>
        </w:rPr>
        <w:t xml:space="preserve">12</w:t>
      </w:r>
      <w:r>
        <w:t xml:space="preserve">, e0178691 (2017).</w:t>
      </w:r>
    </w:p>
    <w:bookmarkEnd w:id="188"/>
    <w:bookmarkStart w:id="190" w:name="ref-lv2015stability"/>
    <w:p>
      <w:pPr>
        <w:pStyle w:val="Bibliography"/>
      </w:pPr>
      <w:r>
        <w:t xml:space="preserve">57.</w:t>
      </w:r>
      <w:r>
        <w:t xml:space="preserve"> </w:t>
      </w:r>
      <w:r>
        <w:t xml:space="preserve">	</w:t>
      </w:r>
      <w:r>
        <w:t xml:space="preserve">Lv, J., Wang, K. &amp; Jiao, J.</w:t>
      </w:r>
      <w:r>
        <w:t xml:space="preserve"> </w:t>
      </w:r>
      <w:hyperlink r:id="rId189">
        <w:r>
          <w:rPr>
            <w:rStyle w:val="Hyperlink"/>
          </w:rPr>
          <w:t xml:space="preserve">Stability of stochastic richards growth model</w:t>
        </w:r>
      </w:hyperlink>
      <w:r>
        <w:t xml:space="preserve">.</w:t>
      </w:r>
      <w:r>
        <w:t xml:space="preserve"> </w:t>
      </w:r>
      <w:r>
        <w:rPr>
          <w:i/>
          <w:iCs/>
        </w:rPr>
        <w:t xml:space="preserve">Applied Mathematical Modelling</w:t>
      </w:r>
      <w:r>
        <w:t xml:space="preserve"> </w:t>
      </w:r>
      <w:r>
        <w:rPr>
          <w:b/>
          <w:bCs/>
        </w:rPr>
        <w:t xml:space="preserve">39</w:t>
      </w:r>
      <w:r>
        <w:t xml:space="preserve">, 4821–4827 (2015).</w:t>
      </w:r>
    </w:p>
    <w:bookmarkEnd w:id="190"/>
    <w:bookmarkStart w:id="192" w:name="ref-peleg1998reinterpretation"/>
    <w:p>
      <w:pPr>
        <w:pStyle w:val="Bibliography"/>
      </w:pPr>
      <w:r>
        <w:t xml:space="preserve">58.</w:t>
      </w:r>
      <w:r>
        <w:t xml:space="preserve"> </w:t>
      </w:r>
      <w:r>
        <w:t xml:space="preserve">	</w:t>
      </w:r>
      <w:r>
        <w:t xml:space="preserve">Peleg, M. &amp; Cole, M. B.</w:t>
      </w:r>
      <w:r>
        <w:t xml:space="preserve"> </w:t>
      </w:r>
      <w:hyperlink r:id="rId191">
        <w:r>
          <w:rPr>
            <w:rStyle w:val="Hyperlink"/>
          </w:rPr>
          <w:t xml:space="preserve">Reinterpretation of microbial survival curves</w:t>
        </w:r>
      </w:hyperlink>
      <w:r>
        <w:t xml:space="preserve">.</w:t>
      </w:r>
      <w:r>
        <w:t xml:space="preserve"> </w:t>
      </w:r>
      <w:r>
        <w:rPr>
          <w:i/>
          <w:iCs/>
        </w:rPr>
        <w:t xml:space="preserve">Critical Reviews in Food Science and Nutrition</w:t>
      </w:r>
      <w:r>
        <w:t xml:space="preserve"> </w:t>
      </w:r>
      <w:r>
        <w:rPr>
          <w:b/>
          <w:bCs/>
        </w:rPr>
        <w:t xml:space="preserve">38</w:t>
      </w:r>
      <w:r>
        <w:t xml:space="preserve">, 353–380 (1998).</w:t>
      </w:r>
    </w:p>
    <w:bookmarkEnd w:id="192"/>
    <w:bookmarkStart w:id="194" w:name="ref-wang2023cell"/>
    <w:p>
      <w:pPr>
        <w:pStyle w:val="Bibliography"/>
      </w:pPr>
      <w:r>
        <w:t xml:space="preserve">59.</w:t>
      </w:r>
      <w:r>
        <w:t xml:space="preserve"> </w:t>
      </w:r>
      <w:r>
        <w:t xml:space="preserve">	</w:t>
      </w:r>
      <w:r>
        <w:t xml:space="preserve">Wang, Y.</w:t>
      </w:r>
      <w:r>
        <w:t xml:space="preserve"> </w:t>
      </w:r>
      <w:r>
        <w:rPr>
          <w:i/>
          <w:iCs/>
        </w:rPr>
        <w:t xml:space="preserve">et al.</w:t>
      </w:r>
      <w:r>
        <w:t xml:space="preserve"> </w:t>
      </w:r>
      <w:hyperlink r:id="rId193">
        <w:r>
          <w:rPr>
            <w:rStyle w:val="Hyperlink"/>
          </w:rPr>
          <w:t xml:space="preserve">Cell population growth kinetics in the presence of stochastic heterogeneity of cell phenotype</w:t>
        </w:r>
      </w:hyperlink>
      <w:r>
        <w:t xml:space="preserve">.</w:t>
      </w:r>
      <w:r>
        <w:t xml:space="preserve"> </w:t>
      </w:r>
      <w:r>
        <w:rPr>
          <w:i/>
          <w:iCs/>
        </w:rPr>
        <w:t xml:space="preserve">Journal of Theoretical Biology</w:t>
      </w:r>
      <w:r>
        <w:t xml:space="preserve"> </w:t>
      </w:r>
      <w:r>
        <w:rPr>
          <w:b/>
          <w:bCs/>
        </w:rPr>
        <w:t xml:space="preserve">575</w:t>
      </w:r>
      <w:r>
        <w:t xml:space="preserve">, 111645 (2023).</w:t>
      </w:r>
    </w:p>
    <w:bookmarkEnd w:id="194"/>
    <w:bookmarkStart w:id="196" w:name="ref-karim2023random"/>
    <w:p>
      <w:pPr>
        <w:pStyle w:val="Bibliography"/>
      </w:pPr>
      <w:r>
        <w:t xml:space="preserve">60.</w:t>
      </w:r>
      <w:r>
        <w:t xml:space="preserve"> </w:t>
      </w:r>
      <w:r>
        <w:t xml:space="preserve">	</w:t>
      </w:r>
      <w:r>
        <w:t xml:space="preserve">Karim, M. A. U., Aithal, V. &amp; Bhowmick, A. R.</w:t>
      </w:r>
      <w:r>
        <w:t xml:space="preserve"> </w:t>
      </w:r>
      <w:hyperlink r:id="rId195">
        <w:r>
          <w:rPr>
            <w:rStyle w:val="Hyperlink"/>
          </w:rPr>
          <w:t xml:space="preserve">Random variation in model parameters: A comprehensive review of stochastic logistic growth equation</w:t>
        </w:r>
      </w:hyperlink>
      <w:r>
        <w:t xml:space="preserve">.</w:t>
      </w:r>
      <w:r>
        <w:t xml:space="preserve"> </w:t>
      </w:r>
      <w:r>
        <w:rPr>
          <w:i/>
          <w:iCs/>
        </w:rPr>
        <w:t xml:space="preserve">Ecological Modelling</w:t>
      </w:r>
      <w:r>
        <w:t xml:space="preserve"> </w:t>
      </w:r>
      <w:r>
        <w:rPr>
          <w:b/>
          <w:bCs/>
        </w:rPr>
        <w:t xml:space="preserve">484</w:t>
      </w:r>
      <w:r>
        <w:t xml:space="preserve">, 110475 (2023).</w:t>
      </w:r>
    </w:p>
    <w:bookmarkEnd w:id="196"/>
    <w:bookmarkStart w:id="198" w:name="ref-li2010cyanobacterial"/>
    <w:p>
      <w:pPr>
        <w:pStyle w:val="Bibliography"/>
      </w:pPr>
      <w:r>
        <w:t xml:space="preserve">61.</w:t>
      </w:r>
      <w:r>
        <w:t xml:space="preserve"> </w:t>
      </w:r>
      <w:r>
        <w:t xml:space="preserve">	</w:t>
      </w:r>
      <w:r>
        <w:t xml:space="preserve">Li, Z.</w:t>
      </w:r>
      <w:r>
        <w:t xml:space="preserve"> </w:t>
      </w:r>
      <w:r>
        <w:rPr>
          <w:i/>
          <w:iCs/>
        </w:rPr>
        <w:t xml:space="preserve">et al.</w:t>
      </w:r>
      <w:r>
        <w:t xml:space="preserve"> </w:t>
      </w:r>
      <w:hyperlink r:id="rId197">
        <w:r>
          <w:rPr>
            <w:rStyle w:val="Hyperlink"/>
          </w:rPr>
          <w:t xml:space="preserve">Cyanobacterial population and harmful metabolites dynamics during a bloom in yanghe reservoir, north</w:t>
        </w:r>
        <w:r>
          <w:rPr>
            <w:rStyle w:val="Hyperlink"/>
          </w:rPr>
          <w:t xml:space="preserve"> </w:t>
        </w:r>
        <w:r>
          <w:rPr>
            <w:rStyle w:val="Hyperlink"/>
          </w:rPr>
          <w:t xml:space="preserve">China</w:t>
        </w:r>
      </w:hyperlink>
      <w:r>
        <w:t xml:space="preserve">.</w:t>
      </w:r>
      <w:r>
        <w:t xml:space="preserve"> </w:t>
      </w:r>
      <w:r>
        <w:rPr>
          <w:i/>
          <w:iCs/>
        </w:rPr>
        <w:t xml:space="preserve">Harmful Algae</w:t>
      </w:r>
      <w:r>
        <w:t xml:space="preserve"> </w:t>
      </w:r>
      <w:r>
        <w:rPr>
          <w:b/>
          <w:bCs/>
        </w:rPr>
        <w:t xml:space="preserve">9</w:t>
      </w:r>
      <w:r>
        <w:t xml:space="preserve">, 481–488 (2010).</w:t>
      </w:r>
    </w:p>
    <w:bookmarkEnd w:id="198"/>
    <w:bookmarkStart w:id="200" w:name="ref-liang2005removal"/>
    <w:p>
      <w:pPr>
        <w:pStyle w:val="Bibliography"/>
      </w:pPr>
      <w:r>
        <w:t xml:space="preserve">62.</w:t>
      </w:r>
      <w:r>
        <w:t xml:space="preserve"> </w:t>
      </w:r>
      <w:r>
        <w:t xml:space="preserve">	</w:t>
      </w:r>
      <w:r>
        <w:t xml:space="preserve">Liang, C., Wang, D., Yang, M., Sun, W. &amp; Zhang, S.</w:t>
      </w:r>
      <w:r>
        <w:t xml:space="preserve"> </w:t>
      </w:r>
      <w:hyperlink r:id="rId199">
        <w:r>
          <w:rPr>
            <w:rStyle w:val="Hyperlink"/>
          </w:rPr>
          <w:t xml:space="preserve">Removal of eathy-must odorants in drinking water by powdered activated carbon</w:t>
        </w:r>
      </w:hyperlink>
      <w:r>
        <w:t xml:space="preserve">.</w:t>
      </w:r>
      <w:r>
        <w:t xml:space="preserve"> </w:t>
      </w:r>
      <w:r>
        <w:rPr>
          <w:i/>
          <w:iCs/>
        </w:rPr>
        <w:t xml:space="preserve">Journal of Environmental Science and Health</w:t>
      </w:r>
      <w:r>
        <w:t xml:space="preserve"> </w:t>
      </w:r>
      <w:r>
        <w:rPr>
          <w:b/>
          <w:bCs/>
        </w:rPr>
        <w:t xml:space="preserve">40</w:t>
      </w:r>
      <w:r>
        <w:t xml:space="preserve">, 767–778 (2005).</w:t>
      </w:r>
    </w:p>
    <w:bookmarkEnd w:id="200"/>
    <w:bookmarkStart w:id="201" w:name="ref-sherr1993preservation"/>
    <w:p>
      <w:pPr>
        <w:pStyle w:val="Bibliography"/>
      </w:pPr>
      <w:r>
        <w:t xml:space="preserve">63.</w:t>
      </w:r>
      <w:r>
        <w:t xml:space="preserve"> </w:t>
      </w:r>
      <w:r>
        <w:t xml:space="preserve">	</w:t>
      </w:r>
      <w:r>
        <w:t xml:space="preserve">Sherr, E. B. &amp; Sherr, B. F. Preservation and storage of samples for enumeration of heterotrophic protists.</w:t>
      </w:r>
      <w:r>
        <w:t xml:space="preserve"> </w:t>
      </w:r>
      <w:r>
        <w:rPr>
          <w:i/>
          <w:iCs/>
        </w:rPr>
        <w:t xml:space="preserve">Handbook of Methods in Aquatic Microbial Ecology. Lewis Publishers, Boca Raton</w:t>
      </w:r>
      <w:r>
        <w:t xml:space="preserve"> </w:t>
      </w:r>
      <w:r>
        <w:t xml:space="preserve">207–212 (1993).</w:t>
      </w:r>
    </w:p>
    <w:bookmarkEnd w:id="201"/>
    <w:bookmarkStart w:id="202" w:name="ref-komarek1998cyanoprokaryota"/>
    <w:p>
      <w:pPr>
        <w:pStyle w:val="Bibliography"/>
      </w:pPr>
      <w:r>
        <w:t xml:space="preserve">64.</w:t>
      </w:r>
      <w:r>
        <w:t xml:space="preserve"> </w:t>
      </w:r>
      <w:r>
        <w:t xml:space="preserve">	</w:t>
      </w:r>
      <w:r>
        <w:t xml:space="preserve">Komárek, J. &amp; Anagnostidis, K.</w:t>
      </w:r>
      <w:r>
        <w:t xml:space="preserve"> </w:t>
      </w:r>
      <w:r>
        <w:rPr>
          <w:i/>
          <w:iCs/>
        </w:rPr>
        <w:t xml:space="preserve">Cyanoprokaryota 1</w:t>
      </w:r>
      <w:r>
        <w:t xml:space="preserve">.</w:t>
      </w:r>
      <w:r>
        <w:t xml:space="preserve"> </w:t>
      </w:r>
      <w:r>
        <w:rPr>
          <w:i/>
          <w:iCs/>
        </w:rPr>
        <w:t xml:space="preserve">Susswasserflora Von Mitteleuropa</w:t>
      </w:r>
      <w:r>
        <w:t xml:space="preserve"> </w:t>
      </w:r>
      <w:r>
        <w:t xml:space="preserve">vol. 19(1) (Deu, 1998).</w:t>
      </w:r>
    </w:p>
    <w:bookmarkEnd w:id="202"/>
    <w:bookmarkStart w:id="203" w:name="ref-komarek2014taxonomic"/>
    <w:p>
      <w:pPr>
        <w:pStyle w:val="Bibliography"/>
      </w:pPr>
      <w:r>
        <w:t xml:space="preserve">65.</w:t>
      </w:r>
      <w:r>
        <w:t xml:space="preserve"> </w:t>
      </w:r>
      <w:r>
        <w:t xml:space="preserve">	</w:t>
      </w:r>
      <w:r>
        <w:t xml:space="preserve">Komarek, J., Kastovsky, J., Mares, J. &amp; Johansen, J. R. Taxonomic classification of cyanoprokaryotes (cyanobacterial genera) 2014, using a polyphasic approach.</w:t>
      </w:r>
      <w:r>
        <w:t xml:space="preserve"> </w:t>
      </w:r>
      <w:r>
        <w:rPr>
          <w:i/>
          <w:iCs/>
        </w:rPr>
        <w:t xml:space="preserve">Preslia</w:t>
      </w:r>
      <w:r>
        <w:t xml:space="preserve"> </w:t>
      </w:r>
      <w:r>
        <w:rPr>
          <w:b/>
          <w:bCs/>
        </w:rPr>
        <w:t xml:space="preserve">86</w:t>
      </w:r>
      <w:r>
        <w:t xml:space="preserve">, 295–335 (2014).</w:t>
      </w:r>
    </w:p>
    <w:bookmarkEnd w:id="203"/>
    <w:bookmarkStart w:id="204" w:name="ref-utermohl1958vervollkommnung"/>
    <w:p>
      <w:pPr>
        <w:pStyle w:val="Bibliography"/>
      </w:pPr>
      <w:r>
        <w:t xml:space="preserve">66.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9</w:t>
      </w:r>
      <w:r>
        <w:t xml:space="preserve">, 1–38 (1958).</w:t>
      </w:r>
    </w:p>
    <w:bookmarkEnd w:id="204"/>
    <w:bookmarkStart w:id="206" w:name="ref-r2021r"/>
    <w:p>
      <w:pPr>
        <w:pStyle w:val="Bibliography"/>
      </w:pPr>
      <w:r>
        <w:t xml:space="preserve">67.</w:t>
      </w:r>
      <w:r>
        <w:t xml:space="preserve"> </w:t>
      </w:r>
      <w:r>
        <w:t xml:space="preserve">	</w:t>
      </w:r>
      <w:r>
        <w:t xml:space="preserve">R Core Team.</w:t>
      </w:r>
      <w:r>
        <w:t xml:space="preserve"> </w:t>
      </w:r>
      <w:hyperlink r:id="rId205">
        <w:r>
          <w:rPr>
            <w:rStyle w:val="Hyperlink"/>
            <w:i/>
            <w:iCs/>
          </w:rPr>
          <w:t xml:space="preserve">R</w:t>
        </w:r>
        <w:r>
          <w:rPr>
            <w:rStyle w:val="Hyperlink"/>
            <w:i/>
            <w:iCs/>
          </w:rPr>
          <w:t xml:space="preserve">: A language and environment for statistical computing</w:t>
        </w:r>
      </w:hyperlink>
      <w:r>
        <w:t xml:space="preserve">. (R Foundation for Statistical Computing, 2021).</w:t>
      </w:r>
    </w:p>
    <w:bookmarkEnd w:id="206"/>
    <w:bookmarkStart w:id="208" w:name="ref-timbers2022r"/>
    <w:p>
      <w:pPr>
        <w:pStyle w:val="Bibliography"/>
      </w:pPr>
      <w:r>
        <w:t xml:space="preserve">68.</w:t>
      </w:r>
      <w:r>
        <w:t xml:space="preserve"> </w:t>
      </w:r>
      <w:r>
        <w:t xml:space="preserve">	</w:t>
      </w:r>
      <w:r>
        <w:t xml:space="preserve">Timbers, T., Campbell, T. &amp; Lee, M. R and the tidyverse. in</w:t>
      </w:r>
      <w:r>
        <w:t xml:space="preserve"> </w:t>
      </w:r>
      <w:r>
        <w:rPr>
          <w:i/>
          <w:iCs/>
        </w:rPr>
        <w:t xml:space="preserve">Data science</w:t>
      </w:r>
      <w:r>
        <w:t xml:space="preserve"> </w:t>
      </w:r>
      <w:r>
        <w:t xml:space="preserve">1–26 (Chapman; Hall/CRC, 2022). doi:</w:t>
      </w:r>
      <w:hyperlink r:id="rId207">
        <w:r>
          <w:rPr>
            <w:rStyle w:val="Hyperlink"/>
          </w:rPr>
          <w:t xml:space="preserve">10.1201/9781003080978-1</w:t>
        </w:r>
      </w:hyperlink>
      <w:r>
        <w:t xml:space="preserve">.</w:t>
      </w:r>
    </w:p>
    <w:bookmarkEnd w:id="208"/>
    <w:bookmarkStart w:id="209" w:name="ref-wood2017generalized"/>
    <w:p>
      <w:pPr>
        <w:pStyle w:val="Bibliography"/>
      </w:pPr>
      <w:r>
        <w:t xml:space="preserve">69.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(Chapman; Hall/CRC, 2017).</w:t>
      </w:r>
    </w:p>
    <w:bookmarkEnd w:id="209"/>
    <w:bookmarkStart w:id="211" w:name="ref-koenker2017handbook"/>
    <w:p>
      <w:pPr>
        <w:pStyle w:val="Bibliography"/>
      </w:pPr>
      <w:r>
        <w:t xml:space="preserve">70.</w:t>
      </w:r>
      <w:r>
        <w:t xml:space="preserve"> </w:t>
      </w:r>
      <w:r>
        <w:t xml:space="preserve">	</w:t>
      </w:r>
      <w:r>
        <w:rPr>
          <w:i/>
          <w:iCs/>
        </w:rPr>
        <w:t xml:space="preserve">Handbook of quantile regression</w:t>
      </w:r>
      <w:r>
        <w:t xml:space="preserve">. (Chapman; Hall/CRC, 2017). doi:</w:t>
      </w:r>
      <w:hyperlink r:id="rId210">
        <w:r>
          <w:rPr>
            <w:rStyle w:val="Hyperlink"/>
          </w:rPr>
          <w:t xml:space="preserve">10.1201/9781315120256</w:t>
        </w:r>
      </w:hyperlink>
      <w:r>
        <w:t xml:space="preserve">.</w:t>
      </w:r>
    </w:p>
    <w:bookmarkEnd w:id="211"/>
    <w:bookmarkStart w:id="213" w:name="ref-wickham2009ggplot"/>
    <w:p>
      <w:pPr>
        <w:pStyle w:val="Bibliography"/>
      </w:pPr>
      <w:r>
        <w:t xml:space="preserve">71.</w:t>
      </w:r>
      <w:r>
        <w:t xml:space="preserve"> </w:t>
      </w:r>
      <w:r>
        <w:t xml:space="preserve">	</w:t>
      </w:r>
      <w:r>
        <w:t xml:space="preserve">Wickham, H. Introduction. in</w:t>
      </w:r>
      <w:r>
        <w:t xml:space="preserve"> </w:t>
      </w:r>
      <w:r>
        <w:rPr>
          <w:i/>
          <w:iCs/>
        </w:rPr>
        <w:t xml:space="preserve">ggplot2</w:t>
      </w:r>
      <w:r>
        <w:t xml:space="preserve"> </w:t>
      </w:r>
      <w:r>
        <w:t xml:space="preserve">1–7 (Springer New York, 2009). doi:</w:t>
      </w:r>
      <w:hyperlink r:id="rId212">
        <w:r>
          <w:rPr>
            <w:rStyle w:val="Hyperlink"/>
          </w:rPr>
          <w:t xml:space="preserve">10.1007/978-0-387-98141-3_1</w:t>
        </w:r>
      </w:hyperlink>
      <w:r>
        <w:t xml:space="preserve">.</w:t>
      </w:r>
    </w:p>
    <w:bookmarkEnd w:id="213"/>
    <w:bookmarkStart w:id="215" w:name="ref-liu2019production"/>
    <w:p>
      <w:pPr>
        <w:pStyle w:val="Bibliography"/>
      </w:pPr>
      <w:r>
        <w:t xml:space="preserve">72.</w:t>
      </w:r>
      <w:r>
        <w:t xml:space="preserve"> </w:t>
      </w:r>
      <w:r>
        <w:t xml:space="preserve">	</w:t>
      </w:r>
      <w:r>
        <w:t xml:space="preserve">Liu, T.</w:t>
      </w:r>
      <w:r>
        <w:t xml:space="preserve"> </w:t>
      </w:r>
      <w:r>
        <w:rPr>
          <w:i/>
          <w:iCs/>
        </w:rPr>
        <w:t xml:space="preserve">et al.</w:t>
      </w:r>
      <w:r>
        <w:t xml:space="preserve"> </w:t>
      </w:r>
      <w:hyperlink r:id="rId214">
        <w:r>
          <w:rPr>
            <w:rStyle w:val="Hyperlink"/>
          </w:rPr>
          <w:t xml:space="preserve">Production and fate of fishy odorants produced by two freshwater chrysophyte species under different temperature and light conditions</w:t>
        </w:r>
      </w:hyperlink>
      <w:r>
        <w:t xml:space="preserve">.</w:t>
      </w:r>
      <w:r>
        <w:t xml:space="preserve"> </w:t>
      </w:r>
      <w:r>
        <w:rPr>
          <w:i/>
          <w:iCs/>
        </w:rPr>
        <w:t xml:space="preserve">Water Research</w:t>
      </w:r>
      <w:r>
        <w:t xml:space="preserve"> </w:t>
      </w:r>
      <w:r>
        <w:rPr>
          <w:b/>
          <w:bCs/>
        </w:rPr>
        <w:t xml:space="preserve">157</w:t>
      </w:r>
      <w:r>
        <w:t xml:space="preserve">, 529–534 (2019).</w:t>
      </w:r>
    </w:p>
    <w:bookmarkEnd w:id="215"/>
    <w:bookmarkStart w:id="217" w:name="ref-perkins2019managing"/>
    <w:p>
      <w:pPr>
        <w:pStyle w:val="Bibliography"/>
      </w:pPr>
      <w:r>
        <w:t xml:space="preserve">73.</w:t>
      </w:r>
      <w:r>
        <w:t xml:space="preserve"> </w:t>
      </w:r>
      <w:r>
        <w:t xml:space="preserve">	</w:t>
      </w:r>
      <w:r>
        <w:t xml:space="preserve">Perkins, R. G.</w:t>
      </w:r>
      <w:r>
        <w:t xml:space="preserve"> </w:t>
      </w:r>
      <w:r>
        <w:rPr>
          <w:i/>
          <w:iCs/>
        </w:rPr>
        <w:t xml:space="preserve">et al.</w:t>
      </w:r>
      <w:r>
        <w:t xml:space="preserve"> </w:t>
      </w:r>
      <w:hyperlink r:id="rId216">
        <w:r>
          <w:rPr>
            <w:rStyle w:val="Hyperlink"/>
          </w:rPr>
          <w:t xml:space="preserve">Managing taste and odour metabolite production in drinking water reservoirs: The importance of ammonium as a key nutrient trigger</w:t>
        </w:r>
      </w:hyperlink>
      <w:r>
        <w:t xml:space="preserve">.</w:t>
      </w:r>
      <w:r>
        <w:t xml:space="preserve"> </w:t>
      </w:r>
      <w:r>
        <w:rPr>
          <w:i/>
          <w:iCs/>
        </w:rPr>
        <w:t xml:space="preserve">Journal of Environmental Management</w:t>
      </w:r>
      <w:r>
        <w:t xml:space="preserve"> </w:t>
      </w:r>
      <w:r>
        <w:rPr>
          <w:b/>
          <w:bCs/>
        </w:rPr>
        <w:t xml:space="preserve">244</w:t>
      </w:r>
      <w:r>
        <w:t xml:space="preserve">, 276–284 (2019).</w:t>
      </w:r>
    </w:p>
    <w:bookmarkEnd w:id="217"/>
    <w:bookmarkStart w:id="219" w:name="ref-bafford1993intracellular"/>
    <w:p>
      <w:pPr>
        <w:pStyle w:val="Bibliography"/>
      </w:pPr>
      <w:r>
        <w:t xml:space="preserve">74.</w:t>
      </w:r>
      <w:r>
        <w:t xml:space="preserve"> </w:t>
      </w:r>
      <w:r>
        <w:t xml:space="preserve">	</w:t>
      </w:r>
      <w:r>
        <w:t xml:space="preserve">Bafford, R. A., Seagull, R. W., Chung, S. &amp; Millie, D. F.</w:t>
      </w:r>
      <w:r>
        <w:t xml:space="preserve"> </w:t>
      </w:r>
      <w:hyperlink r:id="rId218">
        <w:r>
          <w:rPr>
            <w:rStyle w:val="Hyperlink"/>
          </w:rPr>
          <w:t xml:space="preserve">INTRACELLULAR LOCALIZATION OF THE TASTE/ODOR METABOLITE 2‐METHYLISOBORNEOL IN OSCILLATORIA LIMOSA (CYANOPHYTA)1</w:t>
        </w:r>
      </w:hyperlink>
      <w:r>
        <w:t xml:space="preserve">.</w:t>
      </w:r>
      <w:r>
        <w:t xml:space="preserve"> </w:t>
      </w:r>
      <w:r>
        <w:rPr>
          <w:i/>
          <w:iCs/>
        </w:rPr>
        <w:t xml:space="preserve">Journal of Phycology</w:t>
      </w:r>
      <w:r>
        <w:t xml:space="preserve"> </w:t>
      </w:r>
      <w:r>
        <w:rPr>
          <w:b/>
          <w:bCs/>
        </w:rPr>
        <w:t xml:space="preserve">29</w:t>
      </w:r>
      <w:r>
        <w:t xml:space="preserve">, 91–95 (1993).</w:t>
      </w:r>
    </w:p>
    <w:bookmarkEnd w:id="219"/>
    <w:bookmarkStart w:id="221" w:name="ref-pavel2018contact"/>
    <w:p>
      <w:pPr>
        <w:pStyle w:val="Bibliography"/>
      </w:pPr>
      <w:r>
        <w:t xml:space="preserve">75.</w:t>
      </w:r>
      <w:r>
        <w:t xml:space="preserve"> </w:t>
      </w:r>
      <w:r>
        <w:t xml:space="preserve">	</w:t>
      </w:r>
      <w:r>
        <w:t xml:space="preserve">Pavel, M.</w:t>
      </w:r>
      <w:r>
        <w:t xml:space="preserve"> </w:t>
      </w:r>
      <w:r>
        <w:rPr>
          <w:i/>
          <w:iCs/>
        </w:rPr>
        <w:t xml:space="preserve">et al.</w:t>
      </w:r>
      <w:r>
        <w:t xml:space="preserve"> </w:t>
      </w:r>
      <w:hyperlink r:id="rId220">
        <w:r>
          <w:rPr>
            <w:rStyle w:val="Hyperlink"/>
          </w:rPr>
          <w:t xml:space="preserve">Contact inhibition controls cell survival and proliferation via YAP/TAZ-autophagy axis</w:t>
        </w:r>
      </w:hyperlink>
      <w:r>
        <w:t xml:space="preserve">.</w:t>
      </w:r>
      <w:r>
        <w:t xml:space="preserve"> </w:t>
      </w:r>
      <w:r>
        <w:rPr>
          <w:i/>
          <w:iCs/>
        </w:rPr>
        <w:t xml:space="preserve">Nature Communications</w:t>
      </w:r>
      <w:r>
        <w:t xml:space="preserve"> </w:t>
      </w:r>
      <w:r>
        <w:rPr>
          <w:b/>
          <w:bCs/>
        </w:rPr>
        <w:t xml:space="preserve">9</w:t>
      </w:r>
      <w:r>
        <w:t xml:space="preserve">, (2018).</w:t>
      </w:r>
    </w:p>
    <w:bookmarkEnd w:id="221"/>
    <w:bookmarkStart w:id="223" w:name="ref-li2022cooccurrence"/>
    <w:p>
      <w:pPr>
        <w:pStyle w:val="Bibliography"/>
      </w:pPr>
      <w:r>
        <w:t xml:space="preserve">76.</w:t>
      </w:r>
      <w:r>
        <w:t xml:space="preserve"> </w:t>
      </w:r>
      <w:r>
        <w:t xml:space="preserve">	</w:t>
      </w:r>
      <w:r>
        <w:t xml:space="preserve">Li, H.</w:t>
      </w:r>
      <w:r>
        <w:t xml:space="preserve"> </w:t>
      </w:r>
      <w:r>
        <w:rPr>
          <w:i/>
          <w:iCs/>
        </w:rPr>
        <w:t xml:space="preserve">et al.</w:t>
      </w:r>
      <w:r>
        <w:t xml:space="preserve"> </w:t>
      </w:r>
      <w:hyperlink r:id="rId222">
        <w:r>
          <w:rPr>
            <w:rStyle w:val="Hyperlink"/>
          </w:rPr>
          <w:t xml:space="preserve">Co-occurrence of multiple cyanotoxins and taste-and-odor compounds in the large eutrophic lake taihu, china: Dynamics, driving factors, and challenges for risk assessment</w:t>
        </w:r>
      </w:hyperlink>
      <w:r>
        <w:t xml:space="preserve">.</w:t>
      </w:r>
      <w:r>
        <w:t xml:space="preserve"> </w:t>
      </w:r>
      <w:r>
        <w:rPr>
          <w:i/>
          <w:iCs/>
        </w:rPr>
        <w:t xml:space="preserve">Environmental Pollution</w:t>
      </w:r>
      <w:r>
        <w:t xml:space="preserve"> </w:t>
      </w:r>
      <w:r>
        <w:rPr>
          <w:b/>
          <w:bCs/>
        </w:rPr>
        <w:t xml:space="preserve">294</w:t>
      </w:r>
      <w:r>
        <w:t xml:space="preserve">, 118594 (2022).</w:t>
      </w:r>
    </w:p>
    <w:bookmarkEnd w:id="223"/>
    <w:bookmarkStart w:id="225" w:name="ref-shi2023distribution"/>
    <w:p>
      <w:pPr>
        <w:pStyle w:val="Bibliography"/>
      </w:pPr>
      <w:r>
        <w:t xml:space="preserve">77.</w:t>
      </w:r>
      <w:r>
        <w:t xml:space="preserve"> </w:t>
      </w:r>
      <w:r>
        <w:t xml:space="preserve">	</w:t>
      </w:r>
      <w:r>
        <w:t xml:space="preserve">Shi, X.</w:t>
      </w:r>
      <w:r>
        <w:t xml:space="preserve"> </w:t>
      </w:r>
      <w:r>
        <w:rPr>
          <w:i/>
          <w:iCs/>
        </w:rPr>
        <w:t xml:space="preserve">et al.</w:t>
      </w:r>
      <w:r>
        <w:t xml:space="preserve"> </w:t>
      </w:r>
      <w:hyperlink r:id="rId224">
        <w:r>
          <w:rPr>
            <w:rStyle w:val="Hyperlink"/>
          </w:rPr>
          <w:t xml:space="preserve">Distribution, driving forces, and risk assessment of 2-MIB and its producer in a drinking water source-oriented shallow lake</w:t>
        </w:r>
      </w:hyperlink>
      <w:r>
        <w:t xml:space="preserve">.</w:t>
      </w:r>
      <w:r>
        <w:t xml:space="preserve"> </w:t>
      </w:r>
      <w:r>
        <w:rPr>
          <w:i/>
          <w:iCs/>
        </w:rPr>
        <w:t xml:space="preserve">Environmental Science and Pollution Research</w:t>
      </w:r>
      <w:r>
        <w:t xml:space="preserve"> </w:t>
      </w:r>
      <w:r>
        <w:rPr>
          <w:b/>
          <w:bCs/>
        </w:rPr>
        <w:t xml:space="preserve">30</w:t>
      </w:r>
      <w:r>
        <w:t xml:space="preserve">, 71194–71208 (2023).</w:t>
      </w:r>
    </w:p>
    <w:bookmarkEnd w:id="225"/>
    <w:bookmarkStart w:id="227" w:name="ref-nan2021enclosure"/>
    <w:p>
      <w:pPr>
        <w:pStyle w:val="Bibliography"/>
      </w:pPr>
      <w:r>
        <w:t xml:space="preserve">78.</w:t>
      </w:r>
      <w:r>
        <w:t xml:space="preserve"> </w:t>
      </w:r>
      <w:r>
        <w:t xml:space="preserve">	</w:t>
      </w:r>
      <w:r>
        <w:t xml:space="preserve">Nan, J.</w:t>
      </w:r>
      <w:r>
        <w:t xml:space="preserve"> </w:t>
      </w:r>
      <w:r>
        <w:rPr>
          <w:i/>
          <w:iCs/>
        </w:rPr>
        <w:t xml:space="preserve">et al.</w:t>
      </w:r>
      <w:r>
        <w:t xml:space="preserve"> </w:t>
      </w:r>
      <w:hyperlink r:id="rId226">
        <w:r>
          <w:rPr>
            <w:rStyle w:val="Hyperlink"/>
          </w:rPr>
          <w:t xml:space="preserve">Enclosure culture ban and its effects on water quality and phytoplankton community in a subtropical shallow lake</w:t>
        </w:r>
      </w:hyperlink>
      <w:r>
        <w:t xml:space="preserve">.</w:t>
      </w:r>
      <w:r>
        <w:t xml:space="preserve"> </w:t>
      </w:r>
      <w:r>
        <w:rPr>
          <w:i/>
          <w:iCs/>
        </w:rPr>
        <w:t xml:space="preserve">Aquaculture Research</w:t>
      </w:r>
      <w:r>
        <w:t xml:space="preserve"> </w:t>
      </w:r>
      <w:r>
        <w:rPr>
          <w:b/>
          <w:bCs/>
        </w:rPr>
        <w:t xml:space="preserve">53</w:t>
      </w:r>
      <w:r>
        <w:t xml:space="preserve">, 221–231 (2021).</w:t>
      </w:r>
    </w:p>
    <w:bookmarkEnd w:id="227"/>
    <w:bookmarkStart w:id="229" w:name="ref-wang2019causality"/>
    <w:p>
      <w:pPr>
        <w:pStyle w:val="Bibliography"/>
      </w:pPr>
      <w:r>
        <w:t xml:space="preserve">79.</w:t>
      </w:r>
      <w:r>
        <w:t xml:space="preserve"> </w:t>
      </w:r>
      <w:r>
        <w:t xml:space="preserve">	</w:t>
      </w:r>
      <w:r>
        <w:t xml:space="preserve">Wang, M., Yoshimura, C., Allam, A., Kimura, F. &amp; Honma, T.</w:t>
      </w:r>
      <w:r>
        <w:t xml:space="preserve"> </w:t>
      </w:r>
      <w:hyperlink r:id="rId228">
        <w:r>
          <w:rPr>
            <w:rStyle w:val="Hyperlink"/>
          </w:rPr>
          <w:t xml:space="preserve">Causality analysis and prediction of 2-methylisoborneol production in a reservoir using empirical dynamic modeling</w:t>
        </w:r>
      </w:hyperlink>
      <w:r>
        <w:t xml:space="preserve">.</w:t>
      </w:r>
      <w:r>
        <w:t xml:space="preserve"> </w:t>
      </w:r>
      <w:r>
        <w:rPr>
          <w:i/>
          <w:iCs/>
        </w:rPr>
        <w:t xml:space="preserve">Water Research</w:t>
      </w:r>
      <w:r>
        <w:t xml:space="preserve"> </w:t>
      </w:r>
      <w:r>
        <w:rPr>
          <w:b/>
          <w:bCs/>
        </w:rPr>
        <w:t xml:space="preserve">163</w:t>
      </w:r>
      <w:r>
        <w:t xml:space="preserve">, 114864 (2019).</w:t>
      </w:r>
    </w:p>
    <w:bookmarkEnd w:id="229"/>
    <w:bookmarkStart w:id="231" w:name="ref-yu2019taste"/>
    <w:p>
      <w:pPr>
        <w:pStyle w:val="Bibliography"/>
      </w:pPr>
      <w:r>
        <w:t xml:space="preserve">80.</w:t>
      </w:r>
      <w:r>
        <w:t xml:space="preserve"> </w:t>
      </w:r>
      <w:r>
        <w:t xml:space="preserve">	</w:t>
      </w:r>
      <w:r>
        <w:t xml:space="preserve">Yu, C.</w:t>
      </w:r>
      <w:r>
        <w:t xml:space="preserve"> </w:t>
      </w:r>
      <w:r>
        <w:rPr>
          <w:i/>
          <w:iCs/>
        </w:rPr>
        <w:t xml:space="preserve">et al.</w:t>
      </w:r>
      <w:r>
        <w:t xml:space="preserve"> </w:t>
      </w:r>
      <w:hyperlink r:id="rId230">
        <w:r>
          <w:rPr>
            <w:rStyle w:val="Hyperlink"/>
          </w:rPr>
          <w:t xml:space="preserve">Taste and odor compounds associated with aquatic plants in taihu lake: Distribution and producing potential</w:t>
        </w:r>
      </w:hyperlink>
      <w:r>
        <w:t xml:space="preserve">.</w:t>
      </w:r>
      <w:r>
        <w:t xml:space="preserve"> </w:t>
      </w:r>
      <w:r>
        <w:rPr>
          <w:i/>
          <w:iCs/>
        </w:rPr>
        <w:t xml:space="preserve">Environmental Science and Pollution Research</w:t>
      </w:r>
      <w:r>
        <w:t xml:space="preserve"> </w:t>
      </w:r>
      <w:r>
        <w:rPr>
          <w:b/>
          <w:bCs/>
        </w:rPr>
        <w:t xml:space="preserve">26</w:t>
      </w:r>
      <w:r>
        <w:t xml:space="preserve">, 34510–34520 (2019).</w:t>
      </w:r>
    </w:p>
    <w:bookmarkEnd w:id="231"/>
    <w:bookmarkStart w:id="233" w:name="ref-su2022lightdominated"/>
    <w:p>
      <w:pPr>
        <w:pStyle w:val="Bibliography"/>
      </w:pPr>
      <w:r>
        <w:t xml:space="preserve">81.</w:t>
      </w:r>
      <w:r>
        <w:t xml:space="preserve"> </w:t>
      </w:r>
      <w:r>
        <w:t xml:space="preserve">	</w:t>
      </w:r>
      <w:r>
        <w:t xml:space="preserve">Su, M.</w:t>
      </w:r>
      <w:r>
        <w:t xml:space="preserve"> </w:t>
      </w:r>
      <w:r>
        <w:rPr>
          <w:i/>
          <w:iCs/>
        </w:rPr>
        <w:t xml:space="preserve">et al.</w:t>
      </w:r>
      <w:r>
        <w:t xml:space="preserve"> </w:t>
      </w:r>
      <w:hyperlink r:id="rId232">
        <w:r>
          <w:rPr>
            <w:rStyle w:val="Hyperlink"/>
          </w:rPr>
          <w:t xml:space="preserve">Light-dominated selection shaping filamentous cyanobacterial assemblages drives odor problem in a drinking water reservoir</w:t>
        </w:r>
      </w:hyperlink>
      <w:r>
        <w:t xml:space="preserve">.</w:t>
      </w:r>
      <w:r>
        <w:t xml:space="preserve"> </w:t>
      </w:r>
      <w:r>
        <w:rPr>
          <w:i/>
          <w:iCs/>
        </w:rPr>
        <w:t xml:space="preserve">npj Clean Water</w:t>
      </w:r>
      <w:r>
        <w:t xml:space="preserve"> </w:t>
      </w:r>
      <w:r>
        <w:rPr>
          <w:b/>
          <w:bCs/>
        </w:rPr>
        <w:t xml:space="preserve">5</w:t>
      </w:r>
      <w:r>
        <w:t xml:space="preserve">, 37 (2022).</w:t>
      </w:r>
    </w:p>
    <w:bookmarkEnd w:id="233"/>
    <w:bookmarkStart w:id="235" w:name="ref-su2019succession"/>
    <w:p>
      <w:pPr>
        <w:pStyle w:val="Bibliography"/>
      </w:pPr>
      <w:r>
        <w:t xml:space="preserve">82.</w:t>
      </w:r>
      <w:r>
        <w:t xml:space="preserve"> </w:t>
      </w:r>
      <w:r>
        <w:t xml:space="preserve">	</w:t>
      </w:r>
      <w:r>
        <w:t xml:space="preserve">Su, M.</w:t>
      </w:r>
      <w:r>
        <w:t xml:space="preserve"> </w:t>
      </w:r>
      <w:r>
        <w:rPr>
          <w:i/>
          <w:iCs/>
        </w:rPr>
        <w:t xml:space="preserve">et al.</w:t>
      </w:r>
      <w:r>
        <w:t xml:space="preserve"> </w:t>
      </w:r>
      <w:hyperlink r:id="rId234">
        <w:r>
          <w:rPr>
            <w:rStyle w:val="Hyperlink"/>
          </w:rPr>
          <w:t xml:space="preserve">Succession and interaction of surface and subsurface cyanobacterial blooms in oligotrophic/mesotrophic reservoirs: A case study in</w:t>
        </w:r>
        <w:r>
          <w:rPr>
            <w:rStyle w:val="Hyperlink"/>
          </w:rPr>
          <w:t xml:space="preserve"> </w:t>
        </w:r>
        <w:r>
          <w:rPr>
            <w:rStyle w:val="Hyperlink"/>
          </w:rPr>
          <w:t xml:space="preserve">Miyun Reservoir</w:t>
        </w:r>
      </w:hyperlink>
      <w:r>
        <w:t xml:space="preserve">.</w:t>
      </w:r>
      <w:r>
        <w:t xml:space="preserve"> </w:t>
      </w:r>
      <w:r>
        <w:rPr>
          <w:i/>
          <w:iCs/>
        </w:rPr>
        <w:t xml:space="preserve">Science of the Total Environment</w:t>
      </w:r>
      <w:r>
        <w:t xml:space="preserve"> </w:t>
      </w:r>
      <w:r>
        <w:rPr>
          <w:b/>
          <w:bCs/>
        </w:rPr>
        <w:t xml:space="preserve">649</w:t>
      </w:r>
      <w:r>
        <w:t xml:space="preserve">, 1553–1562 (2019).</w:t>
      </w:r>
    </w:p>
    <w:bookmarkEnd w:id="235"/>
    <w:bookmarkStart w:id="237" w:name="ref-qi2020characterization"/>
    <w:p>
      <w:pPr>
        <w:pStyle w:val="Bibliography"/>
      </w:pPr>
      <w:r>
        <w:t xml:space="preserve">83.</w:t>
      </w:r>
      <w:r>
        <w:t xml:space="preserve"> </w:t>
      </w:r>
      <w:r>
        <w:t xml:space="preserve">	</w:t>
      </w:r>
      <w:r>
        <w:t xml:space="preserve">Qi, C.</w:t>
      </w:r>
      <w:r>
        <w:t xml:space="preserve"> </w:t>
      </w:r>
      <w:r>
        <w:rPr>
          <w:i/>
          <w:iCs/>
        </w:rPr>
        <w:t xml:space="preserve">et al.</w:t>
      </w:r>
      <w:r>
        <w:t xml:space="preserve"> </w:t>
      </w:r>
      <w:hyperlink r:id="rId236">
        <w:r>
          <w:rPr>
            <w:rStyle w:val="Hyperlink"/>
          </w:rPr>
          <w:t xml:space="preserve">Characterization of odorants in contrasting ecotypes of lake taihu: Algae-dominated versus macrophyte-dominated zones</w:t>
        </w:r>
      </w:hyperlink>
      <w:r>
        <w:t xml:space="preserve">.</w:t>
      </w:r>
      <w:r>
        <w:t xml:space="preserve"> </w:t>
      </w:r>
      <w:r>
        <w:rPr>
          <w:i/>
          <w:iCs/>
        </w:rPr>
        <w:t xml:space="preserve">Environmental Science and Pollution Research</w:t>
      </w:r>
      <w:r>
        <w:t xml:space="preserve"> </w:t>
      </w:r>
      <w:r>
        <w:rPr>
          <w:b/>
          <w:bCs/>
        </w:rPr>
        <w:t xml:space="preserve">27</w:t>
      </w:r>
      <w:r>
        <w:t xml:space="preserve">, 42221–42229 (2020).</w:t>
      </w:r>
    </w:p>
    <w:bookmarkEnd w:id="237"/>
    <w:bookmarkStart w:id="239" w:name="ref-rong2018source"/>
    <w:p>
      <w:pPr>
        <w:pStyle w:val="Bibliography"/>
      </w:pPr>
      <w:r>
        <w:t xml:space="preserve">84.</w:t>
      </w:r>
      <w:r>
        <w:t xml:space="preserve"> </w:t>
      </w:r>
      <w:r>
        <w:t xml:space="preserve">	</w:t>
      </w:r>
      <w:r>
        <w:t xml:space="preserve">Rong, C.</w:t>
      </w:r>
      <w:r>
        <w:t xml:space="preserve"> </w:t>
      </w:r>
      <w:r>
        <w:rPr>
          <w:i/>
          <w:iCs/>
        </w:rPr>
        <w:t xml:space="preserve">et al.</w:t>
      </w:r>
      <w:r>
        <w:t xml:space="preserve"> </w:t>
      </w:r>
      <w:hyperlink r:id="rId238">
        <w:r>
          <w:rPr>
            <w:rStyle w:val="Hyperlink"/>
          </w:rPr>
          <w:t xml:space="preserve">Source water odor in one reservoir in hot and humid areas of southern</w:t>
        </w:r>
        <w:r>
          <w:rPr>
            <w:rStyle w:val="Hyperlink"/>
          </w:rPr>
          <w:t xml:space="preserve"> </w:t>
        </w:r>
        <w:r>
          <w:rPr>
            <w:rStyle w:val="Hyperlink"/>
          </w:rPr>
          <w:t xml:space="preserve">China</w:t>
        </w:r>
        <w:r>
          <w:rPr>
            <w:rStyle w:val="Hyperlink"/>
          </w:rPr>
          <w:t xml:space="preserve">: Occurrence, diagnosis and possible mitigation measures</w:t>
        </w:r>
      </w:hyperlink>
      <w:r>
        <w:t xml:space="preserve">.</w:t>
      </w:r>
      <w:r>
        <w:t xml:space="preserve"> </w:t>
      </w:r>
      <w:r>
        <w:rPr>
          <w:i/>
          <w:iCs/>
        </w:rPr>
        <w:t xml:space="preserve">Environmental Sciences Europe</w:t>
      </w:r>
      <w:r>
        <w:t xml:space="preserve"> </w:t>
      </w:r>
      <w:r>
        <w:rPr>
          <w:b/>
          <w:bCs/>
        </w:rPr>
        <w:t xml:space="preserve">30</w:t>
      </w:r>
      <w:r>
        <w:t xml:space="preserve">, (2018).</w:t>
      </w:r>
    </w:p>
    <w:bookmarkEnd w:id="239"/>
    <w:bookmarkStart w:id="241" w:name="ref-deng2019the"/>
    <w:p>
      <w:pPr>
        <w:pStyle w:val="Bibliography"/>
      </w:pPr>
      <w:r>
        <w:t xml:space="preserve">85.</w:t>
      </w:r>
      <w:r>
        <w:t xml:space="preserve"> </w:t>
      </w:r>
      <w:r>
        <w:t xml:space="preserve">	</w:t>
      </w:r>
      <w:r>
        <w:t xml:space="preserve">Deng, X.</w:t>
      </w:r>
      <w:r>
        <w:t xml:space="preserve"> </w:t>
      </w:r>
      <w:r>
        <w:rPr>
          <w:i/>
          <w:iCs/>
        </w:rPr>
        <w:t xml:space="preserve">et al.</w:t>
      </w:r>
      <w:r>
        <w:t xml:space="preserve"> </w:t>
      </w:r>
      <w:hyperlink r:id="rId240">
        <w:r>
          <w:rPr>
            <w:rStyle w:val="Hyperlink"/>
          </w:rPr>
          <w:t xml:space="preserve">The relationships between odors and environmental factors at bloom and non-bloom area in lake taihu, china</w:t>
        </w:r>
      </w:hyperlink>
      <w:r>
        <w:t xml:space="preserve">.</w:t>
      </w:r>
      <w:r>
        <w:t xml:space="preserve"> </w:t>
      </w:r>
      <w:r>
        <w:rPr>
          <w:i/>
          <w:iCs/>
        </w:rPr>
        <w:t xml:space="preserve">Chemosphere</w:t>
      </w:r>
      <w:r>
        <w:t xml:space="preserve"> </w:t>
      </w:r>
      <w:r>
        <w:rPr>
          <w:b/>
          <w:bCs/>
        </w:rPr>
        <w:t xml:space="preserve">218</w:t>
      </w:r>
      <w:r>
        <w:t xml:space="preserve">, 569–576 (2019).</w:t>
      </w:r>
    </w:p>
    <w:bookmarkEnd w:id="241"/>
    <w:bookmarkEnd w:id="242"/>
    <w:bookmarkEnd w:id="24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1" Target="media/rId61.png" /><Relationship Type="http://schemas.openxmlformats.org/officeDocument/2006/relationships/image" Id="rId37" Target="media/rId37.png" /><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2025-09-26T02:14:26Z</dcterms:created>
  <dcterms:modified xsi:type="dcterms:W3CDTF">2025-09-26T02:14:26Z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_extensions/drwater/dwinst/nature.csl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