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Bureau of Hydrology Information Center of Taihu Basin Authority, Shanghai 200434, China, Shanghai 200434, [Str "200434"].</w:t>
      </w:r>
      <w:r>
        <w:br/>
      </w:r>
      <w:r>
        <w:rPr>
          <w:vertAlign w:val="superscript"/>
        </w:rPr>
        <w:t xml:space="preserve">c</w:t>
      </w:r>
      <w:r>
        <w:t xml:space="preserve"> </w:t>
      </w:r>
      <w:r>
        <w:t xml:space="preserve">College of Environmental Science and Engineering, Ocean University of China, Qingdao 266100, [Str "266100"].</w:t>
      </w:r>
      <w:r>
        <w:br/>
      </w:r>
      <w:r>
        <w:rPr>
          <w:vertAlign w:val="superscript"/>
        </w:rPr>
        <w:t xml:space="preserve">d</w:t>
      </w:r>
      <w:r>
        <w:t xml:space="preserve"> </w:t>
      </w:r>
      <w:r>
        <w:t xml:space="preserve">University of Chinese Academy of Sciences. No. 19A Yuquan Road, Shijingshan, Beijing, 100049, China, Beijing 100049, [Str "100049"].</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t xml:space="preserve"> </w:t>
      </w:r>
      <w:r>
        <w:t xml:space="preserve">[1–3]</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t xml:space="preserve"> </w:t>
      </w:r>
      <w:r>
        <w:t xml:space="preserve">[4–12]</w:t>
      </w:r>
      <w:r>
        <w:t xml:space="preserve">.</w:t>
      </w:r>
      <w:r>
        <w:t xml:space="preserve"> </w:t>
      </w:r>
      <w:r>
        <w:t xml:space="preserve">This compound is produced by various microorganisms, including actinomycetes</w:t>
      </w:r>
      <w:r>
        <w:t xml:space="preserve"> </w:t>
      </w:r>
      <w:r>
        <w:t xml:space="preserve">[13, 14]</w:t>
      </w:r>
      <w:r>
        <w:t xml:space="preserve">, cyanobacteria</w:t>
      </w:r>
      <w:r>
        <w:t xml:space="preserve"> </w:t>
      </w:r>
      <w:r>
        <w:t xml:space="preserve">[15]</w:t>
      </w:r>
      <w:r>
        <w:t xml:space="preserve">, fungi</w:t>
      </w:r>
      <w:r>
        <w:t xml:space="preserve"> </w:t>
      </w:r>
      <w:r>
        <w:t xml:space="preserve">[16]</w:t>
      </w:r>
      <w:r>
        <w:t xml:space="preserve">, and myxobacteria</w:t>
      </w:r>
      <w:r>
        <w:t xml:space="preserve"> </w:t>
      </w:r>
      <w:r>
        <w:t xml:space="preserve">[17]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[18–23]</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t xml:space="preserve"> </w:t>
      </w:r>
      <w:r>
        <w:t xml:space="preserve">[24–28]</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[29, 30]</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[31, 32]</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t xml:space="preserve"> </w:t>
      </w:r>
      <w:r>
        <w:t xml:space="preserve">[33–36]</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t xml:space="preserve"> </w:t>
      </w:r>
      <w:r>
        <w:t xml:space="preserve">[37]</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[32, 37–39]</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t xml:space="preserve"> </w:t>
      </w:r>
      <w:r>
        <w:t xml:space="preserve">[40–43]</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[25, 37]</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[32, 44, 45]</w:t>
      </w:r>
      <w:r>
        <w:t xml:space="preserve">. One hypothesis suggests that cyanobacteria may increase extracellular MIB release under stress to inhibit competing algal species, thereby maintaining ecological dominance</w:t>
      </w:r>
      <w:r>
        <w:t xml:space="preserve"> </w:t>
      </w:r>
      <w:r>
        <w:t xml:space="preserve">[45]</w:t>
      </w:r>
      <w:r>
        <w:t xml:space="preserve">. Alternatively, extracellular MIB may simply result from cell damage or death under adverse conditions</w:t>
      </w:r>
      <w:r>
        <w:t xml:space="preserve"> </w:t>
      </w:r>
      <w:r>
        <w:t xml:space="preserve">[32, 46]</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[47–50]</w:t>
      </w:r>
      <w:r>
        <w:t xml:space="preserve">. Crowding-induced growth limitation arises from resource competition, spatial constraints, and cell cycle arrest</w:t>
      </w:r>
      <w:r>
        <w:t xml:space="preserve"> </w:t>
      </w:r>
      <w:r>
        <w:t xml:space="preserve">[51, 52]</w:t>
      </w:r>
      <w:r>
        <w:t xml:space="preserve">, while cell death may result from programmed cell death, metabolic stress, mechanical damage, or cell-to-cell interactions</w:t>
      </w:r>
      <w:r>
        <w:t xml:space="preserve"> </w:t>
      </w:r>
      <w:r>
        <w:t xml:space="preserve">[53–55]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[56–58]</w:t>
      </w:r>
      <w:r>
        <w:t xml:space="preserve">. This model is particularly useful for analyzing shifts in metabolic activity and the timing of metabolite release, making it well-suited for studying MIB dynamics</w:t>
      </w:r>
      <w:r>
        <w:t xml:space="preserve"> </w:t>
      </w:r>
      <w:r>
        <w:t xml:space="preserve">[59, 60]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w:t>
      </w:r>
      <w:r>
        <w:t xml:space="preserve"> </w:t>
      </w:r>
      <w:r>
        <w:t xml:space="preserve">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[61]</w:t>
      </w:r>
      <w:r>
        <w:t xml:space="preserve">.</w:t>
      </w:r>
      <w:r>
        <w:t xml:space="preserve"> </w:t>
      </w:r>
      <w:r>
        <w:t xml:space="preserve">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t xml:space="preserve"> </w:t>
      </w:r>
      <w:r>
        <w:t xml:space="preserve">[19, 35, 62]</w:t>
      </w:r>
      <w:r>
        <w:t xml:space="preserve">.</w:t>
      </w:r>
    </w:p>
    <w:p>
      <w:pPr>
        <w:pStyle w:val="BodyText"/>
      </w:pPr>
      <w:r>
        <w:t xml:space="preserve">For phytoplankton enumeration, subsamples (1000 mL) were fixed with 5% Lugol’s iodine solution</w:t>
      </w:r>
      <w:r>
        <w:t xml:space="preserve"> </w:t>
      </w:r>
      <w:r>
        <w:t xml:space="preserve">[63]</w:t>
      </w:r>
      <w:r>
        <w:t xml:space="preserve">, settled for 48 hours, and pre-concentrated 20-fold before analysis.</w:t>
      </w:r>
      <w:r>
        <w:t xml:space="preserve"> </w:t>
      </w:r>
      <w:r>
        <w:t xml:space="preserve">Cyanobacterial species were identified based on morphological criteria</w:t>
      </w:r>
      <w:r>
        <w:t xml:space="preserve"> </w:t>
      </w:r>
      <w:r>
        <w:t xml:space="preserve">[64]</w:t>
      </w:r>
      <w:r>
        <w:t xml:space="preserve">, with taxonomic revisions following ref</w:t>
      </w:r>
      <w:r>
        <w:t xml:space="preserve"> </w:t>
      </w:r>
      <w:r>
        <w:t xml:space="preserve">[65]</w:t>
      </w:r>
      <w:r>
        <w:t xml:space="preserve">. Cell counts were performed using an upright microscope (Olympus BX53, Japan) following the Utermöhl method</w:t>
      </w:r>
      <w:r>
        <w:t xml:space="preserve"> </w:t>
      </w:r>
      <w:r>
        <w:t xml:space="preserve">[66]</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workstation (P350)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[58, 60]</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[25]</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[67]</w:t>
      </w:r>
      <w:r>
        <w:t xml:space="preserve">. Data preprocessing and summarization used</w:t>
      </w:r>
      <w:r>
        <w:t xml:space="preserve"> </w:t>
      </w:r>
      <w:r>
        <w:rPr>
          <w:rStyle w:val="VerbatimChar"/>
        </w:rPr>
        <w:t xml:space="preserve">dplyr</w:t>
      </w:r>
      <w:r>
        <w:t xml:space="preserve"> </w:t>
      </w:r>
      <w:r>
        <w:t xml:space="preserve">[68]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 </w:t>
      </w:r>
      <w:r>
        <w:t xml:space="preserve">[69]</w:t>
      </w:r>
      <w:r>
        <w:t xml:space="preserve">) and quantile regression (</w:t>
      </w:r>
      <w:r>
        <w:rPr>
          <w:rStyle w:val="VerbatimChar"/>
        </w:rPr>
        <w:t xml:space="preserve">quantreg</w:t>
      </w:r>
      <w:r>
        <w:t xml:space="preserve"> </w:t>
      </w:r>
      <w:r>
        <w:t xml:space="preserve">[70]</w:t>
      </w:r>
      <w:r>
        <w:t xml:space="preserve">) were applied where appropriate. Figures were generated using</w:t>
      </w:r>
      <w:r>
        <w:t xml:space="preserve"> </w:t>
      </w:r>
      <w:r>
        <w:rPr>
          <w:rStyle w:val="VerbatimChar"/>
        </w:rPr>
        <w:t xml:space="preserve">ggplot2</w:t>
      </w:r>
      <w:r>
        <w:t xml:space="preserve"> </w:t>
      </w:r>
      <w:r>
        <w:t xml:space="preserve">[71]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North)(Fig. S1).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[27]</w:t>
            </w:r>
            <w:r>
              <w:t xml:space="preserve"> </w:t>
            </w:r>
            <w:r>
              <w:t xml:space="preserve">and</w:t>
            </w:r>
            <w:r>
              <w:t xml:space="preserve"> </w:t>
            </w:r>
            <w:r>
              <w:t xml:space="preserve">[25]</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[72, 73]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[74]</w:t>
      </w:r>
      <w:r>
        <w:t xml:space="preserve">. The major mechanism of MIB release is cell lysis, occurring either through programmed cell death or mechanical rupture of the cell wall</w:t>
      </w:r>
      <w:r>
        <w:t xml:space="preserve"> </w:t>
      </w:r>
      <w:r>
        <w:t xml:space="preserve">[32, 37, 39, 46]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[75]</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028"/>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028"/>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[32, 37]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[76, 77]</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t xml:space="preserve"> </w:t>
      </w:r>
      <w:r>
        <w:t xml:space="preserve">[78–80]</w:t>
      </w:r>
      <w:r>
        <w:t xml:space="preserve">, benefiting from minimal competition and resulting in spring MIB peaks. In the Shanghai QCS Reservoir, located at the same latitude, an MIB outbreak caused by Pseudoanabaena was observed at the end of April</w:t>
      </w:r>
      <w:r>
        <w:t xml:space="preserve"> </w:t>
      </w:r>
      <w:r>
        <w:t xml:space="preserve">[27]</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[81, 82]</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t xml:space="preserve"> </w:t>
      </w:r>
      <w:r>
        <w:t xml:space="preserve">[77, 81, 83, 84]</w:t>
      </w:r>
      <w:r>
        <w:t xml:space="preserve">. This ecological succession aligns with observed microcystin concentration trends</w:t>
      </w:r>
      <w:r>
        <w:t xml:space="preserve"> </w:t>
      </w:r>
      <w:r>
        <w:t xml:space="preserve">[76]</w:t>
      </w:r>
      <w:r>
        <w:t xml:space="preserve"> </w:t>
      </w:r>
      <w:r>
        <w:t xml:space="preserve">and documented phytoplankton community shifts</w:t>
      </w:r>
      <w:r>
        <w:t xml:space="preserve"> </w:t>
      </w:r>
      <w:r>
        <w:t xml:space="preserve">[85]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[27]</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[25]</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1" w:name="ref-who2011guidelines"/>
    <w:p>
      <w:pPr>
        <w:pStyle w:val="Bibliography"/>
      </w:pPr>
      <w:r>
        <w:t xml:space="preserve">[1]</w:t>
      </w:r>
      <w:r>
        <w:t xml:space="preserve"> </w:t>
      </w:r>
      <w:r>
        <w:t xml:space="preserve">	</w:t>
      </w: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81"/>
    <w:bookmarkStart w:id="83" w:name="ref-devi2021quantitative"/>
    <w:p>
      <w:pPr>
        <w:pStyle w:val="Bibliography"/>
      </w:pPr>
      <w:r>
        <w:t xml:space="preserve">[2]</w:t>
      </w:r>
      <w:r>
        <w:t xml:space="preserve"> </w:t>
      </w:r>
      <w:r>
        <w:t xml:space="preserve">	</w:t>
      </w: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2">
        <w:r>
          <w:rPr>
            <w:rStyle w:val="Hyperlink"/>
          </w:rPr>
          <w:t xml:space="preserve">https://doi.org/10.1016/j.watres.2020.116478</w:t>
        </w:r>
      </w:hyperlink>
    </w:p>
    <w:bookmarkEnd w:id="83"/>
    <w:bookmarkStart w:id="85" w:name="ref-suurnakki2015identification"/>
    <w:p>
      <w:pPr>
        <w:pStyle w:val="Bibliography"/>
      </w:pPr>
      <w:r>
        <w:t xml:space="preserve">[3]</w:t>
      </w:r>
      <w:r>
        <w:t xml:space="preserve"> </w:t>
      </w:r>
      <w:r>
        <w:t xml:space="preserve">	</w:t>
      </w: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84">
        <w:r>
          <w:rPr>
            <w:rStyle w:val="Hyperlink"/>
          </w:rPr>
          <w:t xml:space="preserve">https://doi.org/10.1016/j.watres.2014.09.037</w:t>
        </w:r>
      </w:hyperlink>
    </w:p>
    <w:bookmarkEnd w:id="85"/>
    <w:bookmarkStart w:id="87" w:name="ref-izaguirre2004a"/>
    <w:p>
      <w:pPr>
        <w:pStyle w:val="Bibliography"/>
      </w:pPr>
      <w:r>
        <w:t xml:space="preserve">[4]</w:t>
      </w:r>
      <w:r>
        <w:t xml:space="preserve"> </w:t>
      </w:r>
      <w:r>
        <w:t xml:space="preserve">	</w:t>
      </w:r>
      <w:r>
        <w:t xml:space="preserve">Izaguirre G, Taylor WD, 2004. A guide to geosmin- and MIB-producing cyanobacteria in the united states. Water Science and Technology 49, 19–24.</w:t>
      </w:r>
      <w:r>
        <w:t xml:space="preserve"> </w:t>
      </w:r>
      <w:hyperlink r:id="rId86">
        <w:r>
          <w:rPr>
            <w:rStyle w:val="Hyperlink"/>
          </w:rPr>
          <w:t xml:space="preserve">https://doi.org/10.2166/wst.2004.0524</w:t>
        </w:r>
      </w:hyperlink>
    </w:p>
    <w:bookmarkEnd w:id="87"/>
    <w:bookmarkStart w:id="89" w:name="ref-wang2023risk"/>
    <w:p>
      <w:pPr>
        <w:pStyle w:val="Bibliography"/>
      </w:pPr>
      <w:r>
        <w:t xml:space="preserve">[5]</w:t>
      </w:r>
      <w:r>
        <w:t xml:space="preserve"> </w:t>
      </w:r>
      <w:r>
        <w:t xml:space="preserve">	</w:t>
      </w:r>
      <w:r>
        <w:t xml:space="preserve">Wang C, An W, Zhao Y, Dietrich AM, Gallagher DL, Zhang Y, Qian Y, Yu J, Yang M, 2023. Risk assessment for 2-MIB odor complaint in drinking water based on zero-inflated log-normal model. ACS ES&amp;T Water 4, 146–154.</w:t>
      </w:r>
      <w:r>
        <w:t xml:space="preserve"> </w:t>
      </w:r>
      <w:hyperlink r:id="rId88">
        <w:r>
          <w:rPr>
            <w:rStyle w:val="Hyperlink"/>
          </w:rPr>
          <w:t xml:space="preserve">https://doi.org/10.1021/acsestwater.3c00477</w:t>
        </w:r>
      </w:hyperlink>
    </w:p>
    <w:bookmarkEnd w:id="89"/>
    <w:bookmarkStart w:id="91" w:name="ref-suffet1999drinking"/>
    <w:p>
      <w:pPr>
        <w:pStyle w:val="Bibliography"/>
      </w:pPr>
      <w:r>
        <w:t xml:space="preserve">[6]</w:t>
      </w:r>
      <w:r>
        <w:t xml:space="preserve"> </w:t>
      </w:r>
      <w:r>
        <w:t xml:space="preserve">	</w:t>
      </w:r>
      <w:r>
        <w:t xml:space="preserve">Suffet Ih (mel), Khiari D, Bruchet A, 1999. The drinking water taste and odor wheel for the millennium: Beyond geosmin and 2-methylisoborneol. Water Science and Technology 40, 1–13.</w:t>
      </w:r>
      <w:r>
        <w:t xml:space="preserve"> </w:t>
      </w:r>
      <w:hyperlink r:id="rId90">
        <w:r>
          <w:rPr>
            <w:rStyle w:val="Hyperlink"/>
          </w:rPr>
          <w:t xml:space="preserve">https://doi.org/10.1016/s0273-1223(99)00531-4</w:t>
        </w:r>
      </w:hyperlink>
    </w:p>
    <w:bookmarkEnd w:id="91"/>
    <w:bookmarkStart w:id="93" w:name="ref-gillogly1999a"/>
    <w:p>
      <w:pPr>
        <w:pStyle w:val="Bibliography"/>
      </w:pPr>
      <w:r>
        <w:t xml:space="preserve">[7]</w:t>
      </w:r>
      <w:r>
        <w:t xml:space="preserve"> </w:t>
      </w:r>
      <w:r>
        <w:t xml:space="preserve">	</w:t>
      </w:r>
      <w:r>
        <w:t xml:space="preserve">Gillogly TET, Snoeyink VL, Newcombe G, Elarde JR, 1999. A simplified method to determine the powdered activated carbon dose required to remove methylisoborneol. Water Science and Technology 40, 59–64.</w:t>
      </w:r>
      <w:r>
        <w:t xml:space="preserve"> </w:t>
      </w:r>
      <w:hyperlink r:id="rId92">
        <w:r>
          <w:rPr>
            <w:rStyle w:val="Hyperlink"/>
          </w:rPr>
          <w:t xml:space="preserve">https://doi.org/10.1016/S0273-1223(99)00538-7</w:t>
        </w:r>
      </w:hyperlink>
    </w:p>
    <w:bookmarkEnd w:id="93"/>
    <w:bookmarkStart w:id="95" w:name="ref-dionigi1991effects"/>
    <w:p>
      <w:pPr>
        <w:pStyle w:val="Bibliography"/>
      </w:pPr>
      <w:r>
        <w:t xml:space="preserve">[8]</w:t>
      </w:r>
      <w:r>
        <w:t xml:space="preserve"> </w:t>
      </w:r>
      <w:r>
        <w:t xml:space="preserve">	</w:t>
      </w:r>
      <w:r>
        <w:t xml:space="preserve">Dionigi CP, Millie DF, Johnsen PB, 1991.</w:t>
      </w:r>
      <w:r>
        <w:t xml:space="preserve"> </w:t>
      </w:r>
      <w:hyperlink r:id="rId94">
        <w:r>
          <w:rPr>
            <w:rStyle w:val="Hyperlink"/>
          </w:rPr>
          <w:t xml:space="preserve">Effects of farnesol and the off-flavor derivative geosmin on</w:t>
        </w:r>
        <w:r>
          <w:rPr>
            <w:rStyle w:val="Hyperlink"/>
          </w:rPr>
          <w:t xml:space="preserve"> </w:t>
        </w:r>
        <w:r>
          <w:rPr>
            <w:rStyle w:val="Hyperlink"/>
            <w:i/>
            <w:iCs/>
          </w:rPr>
          <w:t xml:space="preserve">Streptomyces Tendae</w:t>
        </w:r>
      </w:hyperlink>
      <w:r>
        <w:t xml:space="preserve">. Applied and Environmental Microbiology 57, 3429–3432</w:t>
      </w:r>
    </w:p>
    <w:bookmarkEnd w:id="95"/>
    <w:bookmarkStart w:id="97" w:name="ref-lin2002correlation"/>
    <w:p>
      <w:pPr>
        <w:pStyle w:val="Bibliography"/>
      </w:pPr>
      <w:r>
        <w:t xml:space="preserve">[9]</w:t>
      </w:r>
      <w:r>
        <w:t xml:space="preserve"> </w:t>
      </w:r>
      <w:r>
        <w:t xml:space="preserve">	</w:t>
      </w:r>
      <w:r>
        <w:t xml:space="preserve">Lin T-F, Wong J-Y, Kao H-P, 2002. Correlation of musty odor and 2-</w:t>
      </w:r>
      <w:r>
        <w:t xml:space="preserve">MIB</w:t>
      </w:r>
      <w:r>
        <w:t xml:space="preserve"> </w:t>
      </w:r>
      <w:r>
        <w:t xml:space="preserve">in two drinking water treatment plants in south taiwan. Science of the Total Environment 289, 225–235.</w:t>
      </w:r>
      <w:r>
        <w:t xml:space="preserve"> </w:t>
      </w:r>
      <w:hyperlink r:id="rId96">
        <w:r>
          <w:rPr>
            <w:rStyle w:val="Hyperlink"/>
          </w:rPr>
          <w:t xml:space="preserve">https://doi.org/10.1016/S0048-9697(01)01049-X</w:t>
        </w:r>
      </w:hyperlink>
    </w:p>
    <w:bookmarkEnd w:id="97"/>
    <w:bookmarkStart w:id="99" w:name="ref-li2019variation"/>
    <w:p>
      <w:pPr>
        <w:pStyle w:val="Bibliography"/>
      </w:pPr>
      <w:r>
        <w:t xml:space="preserve">[10]</w:t>
      </w:r>
      <w:r>
        <w:t xml:space="preserve"> </w:t>
      </w:r>
      <w:r>
        <w:t xml:space="preserve">	</w:t>
      </w: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98">
        <w:r>
          <w:rPr>
            <w:rStyle w:val="Hyperlink"/>
          </w:rPr>
          <w:t xml:space="preserve">https://doi.org/10.1016/j.watres.2019.06.066</w:t>
        </w:r>
      </w:hyperlink>
    </w:p>
    <w:bookmarkEnd w:id="99"/>
    <w:bookmarkStart w:id="100" w:name="ref-american2010algae"/>
    <w:p>
      <w:pPr>
        <w:pStyle w:val="Bibliography"/>
      </w:pPr>
      <w:r>
        <w:t xml:space="preserve">[11]</w:t>
      </w:r>
      <w:r>
        <w:t xml:space="preserve"> </w:t>
      </w:r>
      <w:r>
        <w:t xml:space="preserve">	</w:t>
      </w:r>
      <w:r>
        <w:t xml:space="preserve">AWWA AWWA, 2010. Algae: Source to treatment. American Water Works Association</w:t>
      </w:r>
    </w:p>
    <w:bookmarkEnd w:id="100"/>
    <w:bookmarkStart w:id="102" w:name="ref-ceronvivas2022geosmin"/>
    <w:p>
      <w:pPr>
        <w:pStyle w:val="Bibliography"/>
      </w:pPr>
      <w:r>
        <w:t xml:space="preserve">[12]</w:t>
      </w:r>
      <w:r>
        <w:t xml:space="preserve"> </w:t>
      </w:r>
      <w:r>
        <w:t xml:space="preserve">	</w:t>
      </w:r>
      <w:r>
        <w:t xml:space="preserve">Cerón-Vivas A, Villamizar León MP, Cajigas ÁA, 2022. Geosmin and 2-methylisoborneol removal in drinking water treatment. Water Practice and Technology 18, 159–167.</w:t>
      </w:r>
      <w:r>
        <w:t xml:space="preserve"> </w:t>
      </w:r>
      <w:hyperlink r:id="rId101">
        <w:r>
          <w:rPr>
            <w:rStyle w:val="Hyperlink"/>
          </w:rPr>
          <w:t xml:space="preserve">https://doi.org/10.2166/wpt.2022.167</w:t>
        </w:r>
      </w:hyperlink>
    </w:p>
    <w:bookmarkEnd w:id="102"/>
    <w:bookmarkStart w:id="103" w:name="ref-gerber1969a"/>
    <w:p>
      <w:pPr>
        <w:pStyle w:val="Bibliography"/>
      </w:pPr>
      <w:r>
        <w:t xml:space="preserve">[13]</w:t>
      </w:r>
      <w:r>
        <w:t xml:space="preserve"> </w:t>
      </w:r>
      <w:r>
        <w:t xml:space="preserve">	</w:t>
      </w:r>
      <w:r>
        <w:t xml:space="preserve">Gerber NN, 1969. A volatile metabolite of actinomycetes, 2-methylisoborneol. Antibiotics 22, 508–509</w:t>
      </w:r>
    </w:p>
    <w:bookmarkEnd w:id="103"/>
    <w:bookmarkStart w:id="105" w:name="ref-franklin2023potential"/>
    <w:p>
      <w:pPr>
        <w:pStyle w:val="Bibliography"/>
      </w:pPr>
      <w:r>
        <w:t xml:space="preserve">[14]</w:t>
      </w:r>
      <w:r>
        <w:t xml:space="preserve"> </w:t>
      </w:r>
      <w:r>
        <w:t xml:space="preserve">	</w:t>
      </w:r>
      <w:r>
        <w:t xml:space="preserve">Franklin HM, Podduturi R, Jørgensen NOG, Roberts DT, Schlüter L, Burford MA, 2023. Potential sources and producers of 2-methylisoborneol and geosmin in a river supplying a drinking water treatment plant. Chemical Engineering Journal Advances 14, 100455.</w:t>
      </w:r>
      <w:r>
        <w:t xml:space="preserve"> </w:t>
      </w:r>
      <w:hyperlink r:id="rId104">
        <w:r>
          <w:rPr>
            <w:rStyle w:val="Hyperlink"/>
          </w:rPr>
          <w:t xml:space="preserve">https://doi.org/10.1016/j.ceja.2023.100455</w:t>
        </w:r>
      </w:hyperlink>
    </w:p>
    <w:bookmarkEnd w:id="105"/>
    <w:bookmarkStart w:id="107" w:name="ref-tabachek1976isolation"/>
    <w:p>
      <w:pPr>
        <w:pStyle w:val="Bibliography"/>
      </w:pPr>
      <w:r>
        <w:t xml:space="preserve">[15]</w:t>
      </w:r>
      <w:r>
        <w:t xml:space="preserve"> </w:t>
      </w:r>
      <w:r>
        <w:t xml:space="preserve">	</w:t>
      </w: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06">
        <w:r>
          <w:rPr>
            <w:rStyle w:val="Hyperlink"/>
          </w:rPr>
          <w:t xml:space="preserve">https://doi.org/10.1139/f76-004</w:t>
        </w:r>
      </w:hyperlink>
    </w:p>
    <w:bookmarkEnd w:id="107"/>
    <w:bookmarkStart w:id="109" w:name="ref-yamada2014terpene"/>
    <w:p>
      <w:pPr>
        <w:pStyle w:val="Bibliography"/>
      </w:pPr>
      <w:r>
        <w:t xml:space="preserve">[16]</w:t>
      </w:r>
      <w:r>
        <w:t xml:space="preserve"> </w:t>
      </w:r>
      <w:r>
        <w:t xml:space="preserve">	</w:t>
      </w:r>
      <w:r>
        <w:t xml:space="preserve">Yamada Y, Kuzuyama T, Komatsu M, Shin-ya K, Omura S, Cane DE, Ikeda H, 2014. Terpene synthases are widely distributed in bacteria. Proceedings of the National Academy of Sciences 112, 857–862.</w:t>
      </w:r>
      <w:r>
        <w:t xml:space="preserve"> </w:t>
      </w:r>
      <w:hyperlink r:id="rId108">
        <w:r>
          <w:rPr>
            <w:rStyle w:val="Hyperlink"/>
          </w:rPr>
          <w:t xml:space="preserve">https://doi.org/10.1073/pnas.1422108112</w:t>
        </w:r>
      </w:hyperlink>
    </w:p>
    <w:bookmarkEnd w:id="109"/>
    <w:bookmarkStart w:id="111" w:name="ref-dickschat2007biosynthesis"/>
    <w:p>
      <w:pPr>
        <w:pStyle w:val="Bibliography"/>
      </w:pPr>
      <w:r>
        <w:t xml:space="preserve">[17]</w:t>
      </w:r>
      <w:r>
        <w:t xml:space="preserve"> </w:t>
      </w:r>
      <w:r>
        <w:t xml:space="preserve">	</w:t>
      </w: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110">
        <w:r>
          <w:rPr>
            <w:rStyle w:val="Hyperlink"/>
          </w:rPr>
          <w:t xml:space="preserve">https://doi.org/10.1002/anie.200702496</w:t>
        </w:r>
      </w:hyperlink>
    </w:p>
    <w:bookmarkEnd w:id="111"/>
    <w:bookmarkStart w:id="113" w:name="ref-su2021ecological"/>
    <w:p>
      <w:pPr>
        <w:pStyle w:val="Bibliography"/>
      </w:pPr>
      <w:r>
        <w:t xml:space="preserve">[18]</w:t>
      </w:r>
      <w:r>
        <w:t xml:space="preserve"> </w:t>
      </w:r>
      <w:r>
        <w:t xml:space="preserve">	</w:t>
      </w: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12">
        <w:r>
          <w:rPr>
            <w:rStyle w:val="Hyperlink"/>
          </w:rPr>
          <w:t xml:space="preserve">https://doi.org/10.1016/j.jes.2021.03.026</w:t>
        </w:r>
      </w:hyperlink>
    </w:p>
    <w:bookmarkEnd w:id="113"/>
    <w:bookmarkStart w:id="115" w:name="ref-su2015mib"/>
    <w:p>
      <w:pPr>
        <w:pStyle w:val="Bibliography"/>
      </w:pPr>
      <w:r>
        <w:t xml:space="preserve">[19]</w:t>
      </w:r>
      <w:r>
        <w:t xml:space="preserve"> </w:t>
      </w:r>
      <w:r>
        <w:t xml:space="preserve">	</w:t>
      </w: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14">
        <w:r>
          <w:rPr>
            <w:rStyle w:val="Hyperlink"/>
          </w:rPr>
          <w:t xml:space="preserve">https://doi.org/10.1016/j.watres.2014.09.038</w:t>
        </w:r>
      </w:hyperlink>
    </w:p>
    <w:bookmarkEnd w:id="115"/>
    <w:bookmarkStart w:id="117" w:name="ref-lu2023mibderived"/>
    <w:p>
      <w:pPr>
        <w:pStyle w:val="Bibliography"/>
      </w:pPr>
      <w:r>
        <w:t xml:space="preserve">[20]</w:t>
      </w:r>
      <w:r>
        <w:t xml:space="preserve"> </w:t>
      </w:r>
      <w:r>
        <w:t xml:space="preserve">	</w:t>
      </w: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6">
        <w:r>
          <w:rPr>
            <w:rStyle w:val="Hyperlink"/>
          </w:rPr>
          <w:t xml:space="preserve">https://doi.org/10.1016/j.watres.2023.120485</w:t>
        </w:r>
      </w:hyperlink>
    </w:p>
    <w:bookmarkEnd w:id="117"/>
    <w:bookmarkStart w:id="119" w:name="ref-izaguirre2007benthic"/>
    <w:p>
      <w:pPr>
        <w:pStyle w:val="Bibliography"/>
      </w:pPr>
      <w:r>
        <w:t xml:space="preserve">[21]</w:t>
      </w:r>
      <w:r>
        <w:t xml:space="preserve"> </w:t>
      </w:r>
      <w:r>
        <w:t xml:space="preserve">	</w:t>
      </w: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18">
        <w:r>
          <w:rPr>
            <w:rStyle w:val="Hyperlink"/>
          </w:rPr>
          <w:t xml:space="preserve">https://doi.org/10.1016/j.watres.2006.10.012</w:t>
        </w:r>
      </w:hyperlink>
    </w:p>
    <w:bookmarkEnd w:id="119"/>
    <w:bookmarkStart w:id="121" w:name="ref-vanderploeg1995biology"/>
    <w:p>
      <w:pPr>
        <w:pStyle w:val="Bibliography"/>
      </w:pPr>
      <w:r>
        <w:t xml:space="preserve">[22]</w:t>
      </w:r>
      <w:r>
        <w:t xml:space="preserve"> </w:t>
      </w:r>
      <w:r>
        <w:t xml:space="preserve">	</w:t>
      </w: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20">
        <w:r>
          <w:rPr>
            <w:rStyle w:val="Hyperlink"/>
          </w:rPr>
          <w:t xml:space="preserve">https://doi.org/10.1016/0273-1223(95)00473-Z</w:t>
        </w:r>
      </w:hyperlink>
    </w:p>
    <w:bookmarkEnd w:id="121"/>
    <w:bookmarkStart w:id="123" w:name="ref-juttner2007biochemical"/>
    <w:p>
      <w:pPr>
        <w:pStyle w:val="Bibliography"/>
      </w:pPr>
      <w:r>
        <w:t xml:space="preserve">[23]</w:t>
      </w:r>
      <w:r>
        <w:t xml:space="preserve"> </w:t>
      </w:r>
      <w:r>
        <w:t xml:space="preserve">	</w:t>
      </w:r>
      <w:r>
        <w:t xml:space="preserve">Jüttner F, Watson SB, 2007. Biochemical and ecological control of geosmin and 2-methylisoborneol in source waters. Applied and Environmental Microbiology 73, 4395–4406.</w:t>
      </w:r>
      <w:r>
        <w:t xml:space="preserve"> </w:t>
      </w:r>
      <w:hyperlink r:id="rId122">
        <w:r>
          <w:rPr>
            <w:rStyle w:val="Hyperlink"/>
          </w:rPr>
          <w:t xml:space="preserve">https://doi.org/10.1128/aem.02250-06</w:t>
        </w:r>
      </w:hyperlink>
    </w:p>
    <w:bookmarkEnd w:id="123"/>
    <w:bookmarkStart w:id="125" w:name="ref-su2014spatial"/>
    <w:p>
      <w:pPr>
        <w:pStyle w:val="Bibliography"/>
      </w:pPr>
      <w:r>
        <w:t xml:space="preserve">[24]</w:t>
      </w:r>
      <w:r>
        <w:t xml:space="preserve"> </w:t>
      </w:r>
      <w:r>
        <w:t xml:space="preserve">	</w:t>
      </w:r>
      <w:r>
        <w:t xml:space="preserve">Su M, Yu J, Pan S, An W, Yang M, 2014. Spatial and temporal variations of two cyanobacteria in the mesotrophic</w:t>
      </w:r>
      <w:r>
        <w:t xml:space="preserve"> </w:t>
      </w:r>
      <w:r>
        <w:t xml:space="preserve">Miyun Reservoir</w:t>
      </w:r>
      <w:r>
        <w:t xml:space="preserve">,</w:t>
      </w:r>
      <w:r>
        <w:t xml:space="preserve"> </w:t>
      </w:r>
      <w:r>
        <w:t xml:space="preserve">China</w:t>
      </w:r>
      <w:r>
        <w:t xml:space="preserve">. Journal of Environmental Sciences 26, 289–298.</w:t>
      </w:r>
      <w:r>
        <w:t xml:space="preserve"> </w:t>
      </w:r>
      <w:hyperlink r:id="rId124">
        <w:r>
          <w:rPr>
            <w:rStyle w:val="Hyperlink"/>
          </w:rPr>
          <w:t xml:space="preserve">https://doi.org/10.1016/s1001-0742(13)60433-7</w:t>
        </w:r>
      </w:hyperlink>
    </w:p>
    <w:bookmarkEnd w:id="125"/>
    <w:bookmarkStart w:id="127" w:name="ref-lu2022driving"/>
    <w:p>
      <w:pPr>
        <w:pStyle w:val="Bibliography"/>
      </w:pPr>
      <w:r>
        <w:t xml:space="preserve">[25]</w:t>
      </w:r>
      <w:r>
        <w:t xml:space="preserve"> </w:t>
      </w:r>
      <w:r>
        <w:t xml:space="preserve">	</w:t>
      </w: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26">
        <w:r>
          <w:rPr>
            <w:rStyle w:val="Hyperlink"/>
          </w:rPr>
          <w:t xml:space="preserve">https://doi.org/10.1016/j.watres.2022.118670</w:t>
        </w:r>
      </w:hyperlink>
    </w:p>
    <w:bookmarkEnd w:id="127"/>
    <w:bookmarkStart w:id="129" w:name="ref-zhang2009effects"/>
    <w:p>
      <w:pPr>
        <w:pStyle w:val="Bibliography"/>
      </w:pPr>
      <w:r>
        <w:t xml:space="preserve">[26]</w:t>
      </w:r>
      <w:r>
        <w:t xml:space="preserve"> </w:t>
      </w:r>
      <w:r>
        <w:t xml:space="preserve">	</w:t>
      </w: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28">
        <w:r>
          <w:rPr>
            <w:rStyle w:val="Hyperlink"/>
          </w:rPr>
          <w:t xml:space="preserve">https://doi.org/10.1007/s10811-008-9363-z</w:t>
        </w:r>
      </w:hyperlink>
    </w:p>
    <w:bookmarkEnd w:id="129"/>
    <w:bookmarkStart w:id="131" w:name="ref-cao2023early"/>
    <w:p>
      <w:pPr>
        <w:pStyle w:val="Bibliography"/>
      </w:pPr>
      <w:r>
        <w:t xml:space="preserve">[27]</w:t>
      </w:r>
      <w:r>
        <w:t xml:space="preserve"> </w:t>
      </w:r>
      <w:r>
        <w:t xml:space="preserve">	</w:t>
      </w:r>
      <w:r>
        <w:t xml:space="preserve">Cao T, Fang J, Jia Z, Zhu Y, Su M, Zhang Q, Song Y, Yu J, Yang M, 2023. Early warning of MIB episode based on gene abundance and expression in drinking water reservoirs. Water Research 231, 119667. https://doi.org/</w:t>
      </w:r>
      <w:hyperlink r:id="rId130">
        <w:r>
          <w:rPr>
            <w:rStyle w:val="Hyperlink"/>
          </w:rPr>
          <w:t xml:space="preserve">https://doi.org/10.1016/j.watres.2023.119667</w:t>
        </w:r>
      </w:hyperlink>
    </w:p>
    <w:bookmarkEnd w:id="131"/>
    <w:bookmarkStart w:id="133" w:name="ref-clercin2019influence"/>
    <w:p>
      <w:pPr>
        <w:pStyle w:val="Bibliography"/>
      </w:pPr>
      <w:r>
        <w:t xml:space="preserve">[28]</w:t>
      </w:r>
      <w:r>
        <w:t xml:space="preserve"> </w:t>
      </w:r>
      <w:r>
        <w:t xml:space="preserve">	</w:t>
      </w:r>
      <w:r>
        <w:t xml:space="preserve">Clercin NA, Druschel GK, 2019. Influence of environmental factors on the production of MIB and geosmin metabolites by bacteria in a eutrophic reservoir. Water Resources Research 55, 5413–5430.</w:t>
      </w:r>
      <w:r>
        <w:t xml:space="preserve"> </w:t>
      </w:r>
      <w:hyperlink r:id="rId132">
        <w:r>
          <w:rPr>
            <w:rStyle w:val="Hyperlink"/>
          </w:rPr>
          <w:t xml:space="preserve">https://doi.org/10.1029/2018wr023651</w:t>
        </w:r>
      </w:hyperlink>
    </w:p>
    <w:bookmarkEnd w:id="133"/>
    <w:bookmarkStart w:id="134" w:name="ref-bentley1981geosmin"/>
    <w:p>
      <w:pPr>
        <w:pStyle w:val="Bibliography"/>
      </w:pPr>
      <w:r>
        <w:t xml:space="preserve">[29]</w:t>
      </w:r>
      <w:r>
        <w:t xml:space="preserve"> </w:t>
      </w:r>
      <w:r>
        <w:t xml:space="preserve">	</w:t>
      </w:r>
      <w:r>
        <w:t xml:space="preserve">Bentley R, Meganathan R, 1981. Geosmin and methylisoborneol biosynthesis in streptomycetes. Evidence for an isoprenoid pathway and its absence in non-differentiating isolates. FEBS Letters 125, 220</w:t>
      </w:r>
    </w:p>
    <w:bookmarkEnd w:id="134"/>
    <w:bookmarkStart w:id="136" w:name="ref-wu1988differential"/>
    <w:p>
      <w:pPr>
        <w:pStyle w:val="Bibliography"/>
      </w:pPr>
      <w:r>
        <w:t xml:space="preserve">[30]</w:t>
      </w:r>
      <w:r>
        <w:t xml:space="preserve"> </w:t>
      </w:r>
      <w:r>
        <w:t xml:space="preserve">	</w:t>
      </w: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35">
        <w:r>
          <w:rPr>
            <w:rStyle w:val="Hyperlink"/>
          </w:rPr>
          <w:t xml:space="preserve">https://doi.org/10.1007/bf00408253</w:t>
        </w:r>
      </w:hyperlink>
    </w:p>
    <w:bookmarkEnd w:id="136"/>
    <w:bookmarkStart w:id="138" w:name="ref-rashash1995influence"/>
    <w:p>
      <w:pPr>
        <w:pStyle w:val="Bibliography"/>
      </w:pPr>
      <w:r>
        <w:t xml:space="preserve">[31]</w:t>
      </w:r>
      <w:r>
        <w:t xml:space="preserve"> </w:t>
      </w:r>
      <w:r>
        <w:t xml:space="preserve">	</w:t>
      </w:r>
      <w:r>
        <w:t xml:space="preserve">Rashash DmC, Dietrich Am, Hoehn Rc, Parker Bc, 1995. The influence of growth conditions on odor-compound production by two chrysophytes and two cyanobacteria. Water Science and Technology 31, 165–172.</w:t>
      </w:r>
      <w:r>
        <w:t xml:space="preserve"> </w:t>
      </w:r>
      <w:hyperlink r:id="rId137">
        <w:r>
          <w:rPr>
            <w:rStyle w:val="Hyperlink"/>
          </w:rPr>
          <w:t xml:space="preserve">https://doi.org/10.1016/0273-1223(95)00472-y</w:t>
        </w:r>
      </w:hyperlink>
    </w:p>
    <w:bookmarkEnd w:id="138"/>
    <w:bookmarkStart w:id="140" w:name="ref-zhang2016methylisoborneol"/>
    <w:p>
      <w:pPr>
        <w:pStyle w:val="Bibliography"/>
      </w:pPr>
      <w:r>
        <w:t xml:space="preserve">[32]</w:t>
      </w:r>
      <w:r>
        <w:t xml:space="preserve"> </w:t>
      </w:r>
      <w:r>
        <w:t xml:space="preserve">	</w:t>
      </w: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39">
        <w:r>
          <w:rPr>
            <w:rStyle w:val="Hyperlink"/>
          </w:rPr>
          <w:t xml:space="preserve">https://doi.org/10.1007/s10811-016-0864-x</w:t>
        </w:r>
      </w:hyperlink>
    </w:p>
    <w:bookmarkEnd w:id="140"/>
    <w:bookmarkStart w:id="142" w:name="ref-cook2001the"/>
    <w:p>
      <w:pPr>
        <w:pStyle w:val="Bibliography"/>
      </w:pPr>
      <w:r>
        <w:t xml:space="preserve">[33]</w:t>
      </w:r>
      <w:r>
        <w:t xml:space="preserve"> </w:t>
      </w:r>
      <w:r>
        <w:t xml:space="preserve">	</w:t>
      </w: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41">
        <w:r>
          <w:rPr>
            <w:rStyle w:val="Hyperlink"/>
          </w:rPr>
          <w:t xml:space="preserve">https://doi.org/10.1016/S0043-1354(00)00363-8</w:t>
        </w:r>
      </w:hyperlink>
    </w:p>
    <w:bookmarkEnd w:id="142"/>
    <w:bookmarkStart w:id="144" w:name="ref-li2018kinetics"/>
    <w:p>
      <w:pPr>
        <w:pStyle w:val="Bibliography"/>
      </w:pPr>
      <w:r>
        <w:t xml:space="preserve">[34]</w:t>
      </w:r>
      <w:r>
        <w:t xml:space="preserve"> </w:t>
      </w:r>
      <w:r>
        <w:t xml:space="preserve">	</w:t>
      </w:r>
      <w:r>
        <w:t xml:space="preserve">Li L, Zhu C, Xie C, Shao C, Yu S, Zhao L, Gao N, 2018. Kinetics and mechanism of</w:t>
      </w:r>
      <w:r>
        <w:t xml:space="preserve"> </w:t>
      </w:r>
      <w:r>
        <w:rPr>
          <w:i/>
          <w:iCs/>
        </w:rPr>
        <w:t xml:space="preserve">Pseudoanabaena</w:t>
      </w:r>
      <w:r>
        <w:t xml:space="preserve"> </w:t>
      </w:r>
      <w:r>
        <w:t xml:space="preserve">cell inactivation, 2-</w:t>
      </w:r>
      <w:r>
        <w:t xml:space="preserve">MIB</w:t>
      </w:r>
      <w:r>
        <w:t xml:space="preserve"> </w:t>
      </w:r>
      <w:r>
        <w:t xml:space="preserve">release and degradation under exposure of ozone, chlorine and permanganate. Water Research 147, 422–428.</w:t>
      </w:r>
      <w:r>
        <w:t xml:space="preserve"> </w:t>
      </w:r>
      <w:hyperlink r:id="rId143">
        <w:r>
          <w:rPr>
            <w:rStyle w:val="Hyperlink"/>
          </w:rPr>
          <w:t xml:space="preserve">https://doi.org/10.1016/j.watres.2018.10.023</w:t>
        </w:r>
      </w:hyperlink>
    </w:p>
    <w:bookmarkEnd w:id="144"/>
    <w:bookmarkStart w:id="146" w:name="ref-pan2022desorption"/>
    <w:p>
      <w:pPr>
        <w:pStyle w:val="Bibliography"/>
      </w:pPr>
      <w:r>
        <w:t xml:space="preserve">[35]</w:t>
      </w:r>
      <w:r>
        <w:t xml:space="preserve"> </w:t>
      </w:r>
      <w:r>
        <w:t xml:space="preserve">	</w:t>
      </w:r>
      <w:r>
        <w:t xml:space="preserve">Pan L, Nakayama A, Matsui Y, Matsushita T, Shirasaki N, 2022. Desorption of micropollutant from superfine and normal powdered activated carbon in submerged-membrane system due to influent concentration change in the presence of natural organic matter: Experiments and two-component branched-pore kinetic model. Water Research 208, 117872.</w:t>
      </w:r>
      <w:r>
        <w:t xml:space="preserve"> </w:t>
      </w:r>
      <w:hyperlink r:id="rId145">
        <w:r>
          <w:rPr>
            <w:rStyle w:val="Hyperlink"/>
          </w:rPr>
          <w:t xml:space="preserve">https://doi.org/10.1016/j.watres.2021.117872</w:t>
        </w:r>
      </w:hyperlink>
    </w:p>
    <w:bookmarkEnd w:id="146"/>
    <w:bookmarkStart w:id="148" w:name="ref-mustapha2021a"/>
    <w:p>
      <w:pPr>
        <w:pStyle w:val="Bibliography"/>
      </w:pPr>
      <w:r>
        <w:t xml:space="preserve">[36]</w:t>
      </w:r>
      <w:r>
        <w:t xml:space="preserve"> </w:t>
      </w:r>
      <w:r>
        <w:t xml:space="preserve">	</w:t>
      </w:r>
      <w:r>
        <w:t xml:space="preserve">Mustapha S, Tijani JO, Ndamitso M, Abdulkareem AS, Shuaib DT, Mohammed AK, 2021. A critical review on geosmin and 2-methylisoborneol in water: Sources , effects, detection, and removal techniques. Environmental Monitoring and Assessment 193.</w:t>
      </w:r>
      <w:r>
        <w:t xml:space="preserve"> </w:t>
      </w:r>
      <w:hyperlink r:id="rId147">
        <w:r>
          <w:rPr>
            <w:rStyle w:val="Hyperlink"/>
          </w:rPr>
          <w:t xml:space="preserve">https://doi.org/10.1007/s10661-021-08980-9</w:t>
        </w:r>
      </w:hyperlink>
    </w:p>
    <w:bookmarkEnd w:id="148"/>
    <w:bookmarkStart w:id="150" w:name="ref-wang2024production"/>
    <w:p>
      <w:pPr>
        <w:pStyle w:val="Bibliography"/>
      </w:pPr>
      <w:r>
        <w:t xml:space="preserve">[37]</w:t>
      </w:r>
      <w:r>
        <w:t xml:space="preserve"> </w:t>
      </w:r>
      <w:r>
        <w:t xml:space="preserve">	</w:t>
      </w: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49">
        <w:r>
          <w:rPr>
            <w:rStyle w:val="Hyperlink"/>
          </w:rPr>
          <w:t xml:space="preserve">https://doi.org/10.1016/j.ecoenv.2024.116198</w:t>
        </w:r>
      </w:hyperlink>
    </w:p>
    <w:bookmarkEnd w:id="150"/>
    <w:bookmarkStart w:id="152" w:name="ref-oh2017effects"/>
    <w:p>
      <w:pPr>
        <w:pStyle w:val="Bibliography"/>
      </w:pPr>
      <w:r>
        <w:t xml:space="preserve">[38]</w:t>
      </w:r>
      <w:r>
        <w:t xml:space="preserve"> </w:t>
      </w:r>
      <w:r>
        <w:t xml:space="preserve">	</w:t>
      </w: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51">
        <w:r>
          <w:rPr>
            <w:rStyle w:val="Hyperlink"/>
          </w:rPr>
          <w:t xml:space="preserve">https://doi.org/10.4014/jmb.1702.02069</w:t>
        </w:r>
      </w:hyperlink>
    </w:p>
    <w:bookmarkEnd w:id="152"/>
    <w:bookmarkStart w:id="154" w:name="ref-alghanmi2018effect"/>
    <w:p>
      <w:pPr>
        <w:pStyle w:val="Bibliography"/>
      </w:pPr>
      <w:r>
        <w:t xml:space="preserve">[39]</w:t>
      </w:r>
      <w:r>
        <w:t xml:space="preserve"> </w:t>
      </w:r>
      <w:r>
        <w:t xml:space="preserve">	</w:t>
      </w:r>
      <w:r>
        <w:t xml:space="preserve">Alghanmi HA, Alkam FM, AL-Taee MM, 2018. Effect of light and temperature on new cyanobacteria producers for geosmin and 2-methylisoborneol. Journal of Applied Phycology 30, 319–328.</w:t>
      </w:r>
      <w:r>
        <w:t xml:space="preserve"> </w:t>
      </w:r>
      <w:hyperlink r:id="rId153">
        <w:r>
          <w:rPr>
            <w:rStyle w:val="Hyperlink"/>
          </w:rPr>
          <w:t xml:space="preserve">https://doi.org/10.1007/s10811-017-1233-0</w:t>
        </w:r>
      </w:hyperlink>
    </w:p>
    <w:bookmarkEnd w:id="154"/>
    <w:bookmarkStart w:id="156" w:name="ref-giglio2011biosynthesis"/>
    <w:p>
      <w:pPr>
        <w:pStyle w:val="Bibliography"/>
      </w:pPr>
      <w:r>
        <w:t xml:space="preserve">[40]</w:t>
      </w:r>
      <w:r>
        <w:t xml:space="preserve"> </w:t>
      </w:r>
      <w:r>
        <w:t xml:space="preserve">	</w:t>
      </w:r>
      <w:r>
        <w:t xml:space="preserve">Giglio S, Chou WKW, Ikeda H, Cane DE, Monis PT, 2011. Biosynthesis of 2-methylisoborneol in cyanobacteria. Environmental Science &amp; Technology 45, 992–998.</w:t>
      </w:r>
      <w:r>
        <w:t xml:space="preserve"> </w:t>
      </w:r>
      <w:hyperlink r:id="rId155">
        <w:r>
          <w:rPr>
            <w:rStyle w:val="Hyperlink"/>
          </w:rPr>
          <w:t xml:space="preserve">https://doi.org/10.1021/es102992p</w:t>
        </w:r>
      </w:hyperlink>
    </w:p>
    <w:bookmarkEnd w:id="156"/>
    <w:bookmarkStart w:id="158" w:name="ref-wang2011genes"/>
    <w:p>
      <w:pPr>
        <w:pStyle w:val="Bibliography"/>
      </w:pPr>
      <w:r>
        <w:t xml:space="preserve">[41]</w:t>
      </w:r>
      <w:r>
        <w:t xml:space="preserve"> </w:t>
      </w:r>
      <w:r>
        <w:t xml:space="preserve">	</w:t>
      </w:r>
      <w:r>
        <w:t xml:space="preserve">Wang Z, Xu Y, Shao J, Wang J, Li R, 2011. Genes associated with 2-methylisoborneol biosynthesis in cyanobacteria: Isolation, characterization, and expression in response to light. Plos One 6, E18665.</w:t>
      </w:r>
      <w:r>
        <w:t xml:space="preserve"> </w:t>
      </w:r>
      <w:hyperlink r:id="rId157">
        <w:r>
          <w:rPr>
            <w:rStyle w:val="Hyperlink"/>
          </w:rPr>
          <w:t xml:space="preserve">https://doi.org/10.1371/journal.pone.0018665</w:t>
        </w:r>
      </w:hyperlink>
    </w:p>
    <w:bookmarkEnd w:id="158"/>
    <w:bookmarkStart w:id="160" w:name="ref-komatsu2008identification"/>
    <w:p>
      <w:pPr>
        <w:pStyle w:val="Bibliography"/>
      </w:pPr>
      <w:r>
        <w:t xml:space="preserve">[42]</w:t>
      </w:r>
      <w:r>
        <w:t xml:space="preserve"> </w:t>
      </w:r>
      <w:r>
        <w:t xml:space="preserve">	</w:t>
      </w:r>
      <w:r>
        <w:t xml:space="preserve">Komatsu M, Tsuda M, omura S, Oikawa H, Ikeda H, 2008. Identification and functional analysis of genes controlling biosynthesis of 2-methylisoborneol. Proceedings of the National Academy of Sciences 105, 7422–7427.</w:t>
      </w:r>
      <w:r>
        <w:t xml:space="preserve"> </w:t>
      </w:r>
      <w:hyperlink r:id="rId159">
        <w:r>
          <w:rPr>
            <w:rStyle w:val="Hyperlink"/>
          </w:rPr>
          <w:t xml:space="preserve">https://doi.org/10.1073/pnas.0802312105</w:t>
        </w:r>
      </w:hyperlink>
    </w:p>
    <w:bookmarkEnd w:id="160"/>
    <w:bookmarkStart w:id="162" w:name="ref-andreas2024the"/>
    <w:p>
      <w:pPr>
        <w:pStyle w:val="Bibliography"/>
      </w:pPr>
      <w:r>
        <w:t xml:space="preserve">[43]</w:t>
      </w:r>
      <w:r>
        <w:t xml:space="preserve"> </w:t>
      </w:r>
      <w:r>
        <w:t xml:space="preserve">	</w:t>
      </w:r>
      <w:r>
        <w:t xml:space="preserve">Andreas MP, Giessen TW, 2024. The biosynthesis of the odorant 2-methylisoborneol is compartmentalized inside a protein shell. Nature Communications 15.</w:t>
      </w:r>
      <w:r>
        <w:t xml:space="preserve"> </w:t>
      </w:r>
      <w:hyperlink r:id="rId161">
        <w:r>
          <w:rPr>
            <w:rStyle w:val="Hyperlink"/>
          </w:rPr>
          <w:t xml:space="preserve">https://doi.org/10.1038/s41467-024-54175-4</w:t>
        </w:r>
      </w:hyperlink>
    </w:p>
    <w:bookmarkEnd w:id="162"/>
    <w:bookmarkStart w:id="164" w:name="ref-jia2019light"/>
    <w:p>
      <w:pPr>
        <w:pStyle w:val="Bibliography"/>
      </w:pPr>
      <w:r>
        <w:t xml:space="preserve">[44]</w:t>
      </w:r>
      <w:r>
        <w:t xml:space="preserve"> </w:t>
      </w:r>
      <w:r>
        <w:t xml:space="preserve">	</w:t>
      </w: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63">
        <w:r>
          <w:rPr>
            <w:rStyle w:val="Hyperlink"/>
          </w:rPr>
          <w:t xml:space="preserve">https://doi.org/10.1016/j.hal.2019.101658</w:t>
        </w:r>
      </w:hyperlink>
    </w:p>
    <w:bookmarkEnd w:id="164"/>
    <w:bookmarkStart w:id="166" w:name="ref-wang2015effects"/>
    <w:p>
      <w:pPr>
        <w:pStyle w:val="Bibliography"/>
      </w:pPr>
      <w:r>
        <w:t xml:space="preserve">[45]</w:t>
      </w:r>
      <w:r>
        <w:t xml:space="preserve"> </w:t>
      </w:r>
      <w:r>
        <w:t xml:space="preserve">	</w:t>
      </w: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65">
        <w:r>
          <w:rPr>
            <w:rStyle w:val="Hyperlink"/>
          </w:rPr>
          <w:t xml:space="preserve">https://doi.org/10.1016/j.bse.2014.12.013</w:t>
        </w:r>
      </w:hyperlink>
    </w:p>
    <w:bookmarkEnd w:id="166"/>
    <w:bookmarkStart w:id="168" w:name="ref-zimba1999evaluating"/>
    <w:p>
      <w:pPr>
        <w:pStyle w:val="Bibliography"/>
      </w:pPr>
      <w:r>
        <w:t xml:space="preserve">[46]</w:t>
      </w:r>
      <w:r>
        <w:t xml:space="preserve"> </w:t>
      </w:r>
      <w:r>
        <w:t xml:space="preserve">	</w:t>
      </w:r>
      <w:r>
        <w:t xml:space="preserve">Zimba PV, Dionigi CP, Millie DF, 1999. Evaluating the relationship between photopigment synthesis and 2-methylisoborneol accumulation in cyanobacteria. Journal of Phycology 35, 1422–1429.</w:t>
      </w:r>
      <w:r>
        <w:t xml:space="preserve"> </w:t>
      </w:r>
      <w:hyperlink r:id="rId167">
        <w:r>
          <w:rPr>
            <w:rStyle w:val="Hyperlink"/>
          </w:rPr>
          <w:t xml:space="preserve">https://doi.org/10.1046/j.1529-8817.1999.3561422.x</w:t>
        </w:r>
      </w:hyperlink>
    </w:p>
    <w:bookmarkEnd w:id="168"/>
    <w:bookmarkStart w:id="170" w:name="ref-eisenhoffer2013bringing"/>
    <w:p>
      <w:pPr>
        <w:pStyle w:val="Bibliography"/>
      </w:pPr>
      <w:r>
        <w:t xml:space="preserve">[47]</w:t>
      </w:r>
      <w:r>
        <w:t xml:space="preserve"> </w:t>
      </w:r>
      <w:r>
        <w:t xml:space="preserve">	</w:t>
      </w:r>
      <w:r>
        <w:t xml:space="preserve">Eisenhoffer GT, Rosenblatt J, 2013. Bringing balance by force: Live cell extrusion controls epithelial cell numbers. Trends in Cell Biology 23, 185–192.</w:t>
      </w:r>
      <w:r>
        <w:t xml:space="preserve"> </w:t>
      </w:r>
      <w:hyperlink r:id="rId169">
        <w:r>
          <w:rPr>
            <w:rStyle w:val="Hyperlink"/>
          </w:rPr>
          <w:t xml:space="preserve">https://doi.org/10.1016/j.tcb.2012.11.006</w:t>
        </w:r>
      </w:hyperlink>
    </w:p>
    <w:bookmarkEnd w:id="170"/>
    <w:bookmarkStart w:id="172" w:name="ref-bermudez2024cell"/>
    <w:p>
      <w:pPr>
        <w:pStyle w:val="Bibliography"/>
      </w:pPr>
      <w:r>
        <w:t xml:space="preserve">[48]</w:t>
      </w:r>
      <w:r>
        <w:t xml:space="preserve"> </w:t>
      </w:r>
      <w:r>
        <w:t xml:space="preserve">	</w:t>
      </w:r>
      <w:r>
        <w:t xml:space="preserve">Bermudez AG, Latham Z, Hu J, Lin N, 2024. Cell crowding-induced geometric constraint regulates chromatin organizations. Biophysical Journal 123, 407a.</w:t>
      </w:r>
      <w:r>
        <w:t xml:space="preserve"> </w:t>
      </w:r>
      <w:hyperlink r:id="rId171">
        <w:r>
          <w:rPr>
            <w:rStyle w:val="Hyperlink"/>
          </w:rPr>
          <w:t xml:space="preserve">https://doi.org/10.1016/j.bpj.2023.11.2493</w:t>
        </w:r>
      </w:hyperlink>
    </w:p>
    <w:bookmarkEnd w:id="172"/>
    <w:bookmarkStart w:id="174" w:name="ref-yang2024etv4"/>
    <w:p>
      <w:pPr>
        <w:pStyle w:val="Bibliography"/>
      </w:pPr>
      <w:r>
        <w:t xml:space="preserve">[49]</w:t>
      </w:r>
      <w:r>
        <w:t xml:space="preserve"> </w:t>
      </w:r>
      <w:r>
        <w:t xml:space="preserve">	</w:t>
      </w:r>
      <w:r>
        <w:t xml:space="preserve">Yang S, Golkaram M, Oh S, Oh Y, Cho Y, Yoe J, Ju S, Lalli MA, Park S-Y, Lee Y, Jang J, 2024. ETV4 is a mechanical transducer linking cell crowding dynamics to lineage specification. Nature Cell Biology 26, 903–916.</w:t>
      </w:r>
      <w:r>
        <w:t xml:space="preserve"> </w:t>
      </w:r>
      <w:hyperlink r:id="rId173">
        <w:r>
          <w:rPr>
            <w:rStyle w:val="Hyperlink"/>
          </w:rPr>
          <w:t xml:space="preserve">https://doi.org/10.1038/s41556-024-01415-w</w:t>
        </w:r>
      </w:hyperlink>
    </w:p>
    <w:bookmarkEnd w:id="174"/>
    <w:bookmarkStart w:id="176" w:name="ref-lawsonkeister2021jamming"/>
    <w:p>
      <w:pPr>
        <w:pStyle w:val="Bibliography"/>
      </w:pPr>
      <w:r>
        <w:t xml:space="preserve">[50]</w:t>
      </w:r>
      <w:r>
        <w:t xml:space="preserve"> </w:t>
      </w:r>
      <w:r>
        <w:t xml:space="preserve">	</w:t>
      </w:r>
      <w:r>
        <w:t xml:space="preserve">Lawson-Keister E, Manning ML, 2021. Jamming and arrest of cell motion in biological tissues. Current Opinion in Cell Biology 72, 146–155.</w:t>
      </w:r>
      <w:r>
        <w:t xml:space="preserve"> </w:t>
      </w:r>
      <w:hyperlink r:id="rId175">
        <w:r>
          <w:rPr>
            <w:rStyle w:val="Hyperlink"/>
          </w:rPr>
          <w:t xml:space="preserve">https://doi.org/10.1016/j.ceb.2021.07.011</w:t>
        </w:r>
      </w:hyperlink>
    </w:p>
    <w:bookmarkEnd w:id="176"/>
    <w:bookmarkStart w:id="178" w:name="ref-drewinko1984cultured"/>
    <w:p>
      <w:pPr>
        <w:pStyle w:val="Bibliography"/>
      </w:pPr>
      <w:r>
        <w:t xml:space="preserve">[51]</w:t>
      </w:r>
      <w:r>
        <w:t xml:space="preserve"> </w:t>
      </w:r>
      <w:r>
        <w:t xml:space="preserve">	</w:t>
      </w: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177">
        <w:r>
          <w:rPr>
            <w:rStyle w:val="Hyperlink"/>
          </w:rPr>
          <w:t xml:space="preserve">https://doi.org/10.1111/j.1365-2184.1984.tb00604.x</w:t>
        </w:r>
      </w:hyperlink>
    </w:p>
    <w:bookmarkEnd w:id="178"/>
    <w:bookmarkStart w:id="180" w:name="ref-eisenhoffer2012crowding"/>
    <w:p>
      <w:pPr>
        <w:pStyle w:val="Bibliography"/>
      </w:pPr>
      <w:r>
        <w:t xml:space="preserve">[52]</w:t>
      </w:r>
      <w:r>
        <w:t xml:space="preserve"> </w:t>
      </w:r>
      <w:r>
        <w:t xml:space="preserve">	</w:t>
      </w:r>
      <w:r>
        <w:t xml:space="preserve">Eisenhoffer GT, Loftus PD, Yoshigi M, Otsuna H, Chien C-B, Morcos PA, Rosenblatt J, 2012. Crowding induces live cell extrusion to maintain homeostatic cell numbers in epithelia. Nature 484, 546–549.</w:t>
      </w:r>
      <w:r>
        <w:t xml:space="preserve"> </w:t>
      </w:r>
      <w:hyperlink r:id="rId179">
        <w:r>
          <w:rPr>
            <w:rStyle w:val="Hyperlink"/>
          </w:rPr>
          <w:t xml:space="preserve">https://doi.org/10.1038/nature10999</w:t>
        </w:r>
      </w:hyperlink>
    </w:p>
    <w:bookmarkEnd w:id="180"/>
    <w:bookmarkStart w:id="182" w:name="ref-bar2004attenuation"/>
    <w:p>
      <w:pPr>
        <w:pStyle w:val="Bibliography"/>
      </w:pPr>
      <w:r>
        <w:t xml:space="preserve">[53]</w:t>
      </w:r>
      <w:r>
        <w:t xml:space="preserve"> </w:t>
      </w:r>
      <w:r>
        <w:t xml:space="preserve">	</w:t>
      </w:r>
      <w:r>
        <w:t xml:space="preserve">Bar J, Cohen-Noyman E, Geiger B, Oren M, 2004. Attenuation of the p53 response to DNA damage by high cell density. Oncogene 23, 2128–2137.</w:t>
      </w:r>
      <w:r>
        <w:t xml:space="preserve"> </w:t>
      </w:r>
      <w:hyperlink r:id="rId181">
        <w:r>
          <w:rPr>
            <w:rStyle w:val="Hyperlink"/>
          </w:rPr>
          <w:t xml:space="preserve">https://doi.org/10.1038/sj.onc.1207325</w:t>
        </w:r>
      </w:hyperlink>
    </w:p>
    <w:bookmarkEnd w:id="182"/>
    <w:bookmarkStart w:id="184" w:name="ref-nishio2017hippo"/>
    <w:p>
      <w:pPr>
        <w:pStyle w:val="Bibliography"/>
      </w:pPr>
      <w:r>
        <w:t xml:space="preserve">[54]</w:t>
      </w:r>
      <w:r>
        <w:t xml:space="preserve"> </w:t>
      </w:r>
      <w:r>
        <w:t xml:space="preserve">	</w:t>
      </w:r>
      <w:r>
        <w:t xml:space="preserve">Nishio M, Maehama T, Goto H, Nakatani K, Kato W, Omori H, Miyachi Y, Togashi H, Shimono Y, Suzuki A, 2017. Hippo vs. Crab: Tissue‐specific functions of the mammalian hippo pathway. Genes to Cells 22, 6–31.</w:t>
      </w:r>
      <w:r>
        <w:t xml:space="preserve"> </w:t>
      </w:r>
      <w:hyperlink r:id="rId183">
        <w:r>
          <w:rPr>
            <w:rStyle w:val="Hyperlink"/>
          </w:rPr>
          <w:t xml:space="preserve">https://doi.org/10.1111/gtc.12461</w:t>
        </w:r>
      </w:hyperlink>
    </w:p>
    <w:bookmarkEnd w:id="184"/>
    <w:bookmarkStart w:id="186" w:name="ref-sheridan1981studies"/>
    <w:p>
      <w:pPr>
        <w:pStyle w:val="Bibliography"/>
      </w:pPr>
      <w:r>
        <w:t xml:space="preserve">[55]</w:t>
      </w:r>
      <w:r>
        <w:t xml:space="preserve"> </w:t>
      </w:r>
      <w:r>
        <w:t xml:space="preserve">	</w:t>
      </w: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85">
        <w:r>
          <w:rPr>
            <w:rStyle w:val="Hyperlink"/>
          </w:rPr>
          <w:t xml:space="preserve">https://doi.org/10.1002/jcp.1041070111</w:t>
        </w:r>
      </w:hyperlink>
    </w:p>
    <w:bookmarkEnd w:id="186"/>
    <w:bookmarkStart w:id="188" w:name="ref-tjørve2017the"/>
    <w:p>
      <w:pPr>
        <w:pStyle w:val="Bibliography"/>
      </w:pPr>
      <w:r>
        <w:t xml:space="preserve">[56]</w:t>
      </w:r>
      <w:r>
        <w:t xml:space="preserve"> </w:t>
      </w:r>
      <w:r>
        <w:t xml:space="preserve">	</w:t>
      </w:r>
      <w:r>
        <w:t xml:space="preserve">Tjørve KMC, Tjørve E, 2017. The use of gompertz models in growth analyses, and new gompertz-model approach: An addition to the unified-richards family. PLOS ONE 12, e0178691.</w:t>
      </w:r>
      <w:r>
        <w:t xml:space="preserve"> </w:t>
      </w:r>
      <w:hyperlink r:id="rId187">
        <w:r>
          <w:rPr>
            <w:rStyle w:val="Hyperlink"/>
          </w:rPr>
          <w:t xml:space="preserve">https://doi.org/10.1371/journal.pone.0178691</w:t>
        </w:r>
      </w:hyperlink>
    </w:p>
    <w:bookmarkEnd w:id="188"/>
    <w:bookmarkStart w:id="190" w:name="ref-lv2015stability"/>
    <w:p>
      <w:pPr>
        <w:pStyle w:val="Bibliography"/>
      </w:pPr>
      <w:r>
        <w:t xml:space="preserve">[57]</w:t>
      </w:r>
      <w:r>
        <w:t xml:space="preserve"> </w:t>
      </w:r>
      <w:r>
        <w:t xml:space="preserve">	</w:t>
      </w:r>
      <w:r>
        <w:t xml:space="preserve">Lv J, Wang K, Jiao J, 2015. Stability of stochastic richards growth model. Applied Mathematical Modelling 39, 4821–4827.</w:t>
      </w:r>
      <w:r>
        <w:t xml:space="preserve"> </w:t>
      </w:r>
      <w:hyperlink r:id="rId189">
        <w:r>
          <w:rPr>
            <w:rStyle w:val="Hyperlink"/>
          </w:rPr>
          <w:t xml:space="preserve">https://doi.org/10.1016/j.apm.2015.04.016</w:t>
        </w:r>
      </w:hyperlink>
    </w:p>
    <w:bookmarkEnd w:id="190"/>
    <w:bookmarkStart w:id="192" w:name="ref-peleg1998reinterpretation"/>
    <w:p>
      <w:pPr>
        <w:pStyle w:val="Bibliography"/>
      </w:pPr>
      <w:r>
        <w:t xml:space="preserve">[58]</w:t>
      </w:r>
      <w:r>
        <w:t xml:space="preserve"> </w:t>
      </w:r>
      <w:r>
        <w:t xml:space="preserve">	</w:t>
      </w:r>
      <w:r>
        <w:t xml:space="preserve">Peleg M, Cole MB, 1998. Reinterpretation of microbial survival curves. Critical Reviews in Food Science and Nutrition 38, 353–380.</w:t>
      </w:r>
      <w:r>
        <w:t xml:space="preserve"> </w:t>
      </w:r>
      <w:hyperlink r:id="rId191">
        <w:r>
          <w:rPr>
            <w:rStyle w:val="Hyperlink"/>
          </w:rPr>
          <w:t xml:space="preserve">https://doi.org/10.1080/10408699891274246</w:t>
        </w:r>
      </w:hyperlink>
    </w:p>
    <w:bookmarkEnd w:id="192"/>
    <w:bookmarkStart w:id="194" w:name="ref-wang2023cell"/>
    <w:p>
      <w:pPr>
        <w:pStyle w:val="Bibliography"/>
      </w:pPr>
      <w:r>
        <w:t xml:space="preserve">[59]</w:t>
      </w:r>
      <w:r>
        <w:t xml:space="preserve"> </w:t>
      </w:r>
      <w:r>
        <w:t xml:space="preserve">	</w:t>
      </w: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93">
        <w:r>
          <w:rPr>
            <w:rStyle w:val="Hyperlink"/>
          </w:rPr>
          <w:t xml:space="preserve">https://doi.org/10.1016/j.jtbi.2023.111645</w:t>
        </w:r>
      </w:hyperlink>
    </w:p>
    <w:bookmarkEnd w:id="194"/>
    <w:bookmarkStart w:id="196" w:name="ref-karim2023random"/>
    <w:p>
      <w:pPr>
        <w:pStyle w:val="Bibliography"/>
      </w:pPr>
      <w:r>
        <w:t xml:space="preserve">[60]</w:t>
      </w:r>
      <w:r>
        <w:t xml:space="preserve"> </w:t>
      </w:r>
      <w:r>
        <w:t xml:space="preserve">	</w:t>
      </w:r>
      <w:r>
        <w:t xml:space="preserve">Karim MAU, Aithal V, Bhowmick AR, 2023. Random variation in model parameters: A comprehensive review of stochastic logistic growth equation. Ecological Modelling 484, 110475.</w:t>
      </w:r>
      <w:r>
        <w:t xml:space="preserve"> </w:t>
      </w:r>
      <w:hyperlink r:id="rId195">
        <w:r>
          <w:rPr>
            <w:rStyle w:val="Hyperlink"/>
          </w:rPr>
          <w:t xml:space="preserve">https://doi.org/10.1016/j.ecolmodel.2023.110475</w:t>
        </w:r>
      </w:hyperlink>
    </w:p>
    <w:bookmarkEnd w:id="196"/>
    <w:bookmarkStart w:id="198" w:name="ref-li2010cyanobacterial"/>
    <w:p>
      <w:pPr>
        <w:pStyle w:val="Bibliography"/>
      </w:pPr>
      <w:r>
        <w:t xml:space="preserve">[61]</w:t>
      </w:r>
      <w:r>
        <w:t xml:space="preserve"> </w:t>
      </w:r>
      <w:r>
        <w:t xml:space="preserve">	</w:t>
      </w: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97">
        <w:r>
          <w:rPr>
            <w:rStyle w:val="Hyperlink"/>
          </w:rPr>
          <w:t xml:space="preserve">https://doi.org/10.1016/j.hal.2010.03.003</w:t>
        </w:r>
      </w:hyperlink>
    </w:p>
    <w:bookmarkEnd w:id="198"/>
    <w:bookmarkStart w:id="200" w:name="ref-liang2005removal"/>
    <w:p>
      <w:pPr>
        <w:pStyle w:val="Bibliography"/>
      </w:pPr>
      <w:r>
        <w:t xml:space="preserve">[62]</w:t>
      </w:r>
      <w:r>
        <w:t xml:space="preserve"> </w:t>
      </w:r>
      <w:r>
        <w:t xml:space="preserve">	</w:t>
      </w:r>
      <w:r>
        <w:t xml:space="preserve">Liang C, Wang D, Yang M, Sun W, Zhang S, 2005. Removal of eathy-must odorants in drinking water by powdered activated carbon. Journal of Environmental Science and Health 40, 767–778.</w:t>
      </w:r>
      <w:r>
        <w:t xml:space="preserve"> </w:t>
      </w:r>
      <w:hyperlink r:id="rId199">
        <w:r>
          <w:rPr>
            <w:rStyle w:val="Hyperlink"/>
          </w:rPr>
          <w:t xml:space="preserve">https://doi.org/10.1081/ese-200048262</w:t>
        </w:r>
      </w:hyperlink>
    </w:p>
    <w:bookmarkEnd w:id="200"/>
    <w:bookmarkStart w:id="201" w:name="ref-sherr1993preservation"/>
    <w:p>
      <w:pPr>
        <w:pStyle w:val="Bibliography"/>
      </w:pPr>
      <w:r>
        <w:t xml:space="preserve">[63]</w:t>
      </w:r>
      <w:r>
        <w:t xml:space="preserve"> </w:t>
      </w:r>
      <w:r>
        <w:t xml:space="preserve">	</w:t>
      </w:r>
      <w:r>
        <w:t xml:space="preserve">Sherr EB, Sherr BF, 1993. Preservation and storage of samples for enumeration of heterotrophic protists. Handbook of Methods in Aquatic Microbial Ecology Lewis Publishers, Boca Raton 207–212</w:t>
      </w:r>
    </w:p>
    <w:bookmarkEnd w:id="201"/>
    <w:bookmarkStart w:id="202" w:name="ref-komarek1998cyanoprokaryota"/>
    <w:p>
      <w:pPr>
        <w:pStyle w:val="Bibliography"/>
      </w:pPr>
      <w:r>
        <w:t xml:space="preserve">[64]</w:t>
      </w:r>
      <w:r>
        <w:t xml:space="preserve"> </w:t>
      </w:r>
      <w:r>
        <w:t xml:space="preserve">	</w:t>
      </w:r>
      <w:r>
        <w:t xml:space="preserve">Komárek J, Anagnostidis K, 1998. Cyanoprokaryota 1. Deu</w:t>
      </w:r>
    </w:p>
    <w:bookmarkEnd w:id="202"/>
    <w:bookmarkStart w:id="203" w:name="ref-komarek2014taxonomic"/>
    <w:p>
      <w:pPr>
        <w:pStyle w:val="Bibliography"/>
      </w:pPr>
      <w:r>
        <w:t xml:space="preserve">[65]</w:t>
      </w:r>
      <w:r>
        <w:t xml:space="preserve"> </w:t>
      </w:r>
      <w:r>
        <w:t xml:space="preserve">	</w:t>
      </w:r>
      <w:r>
        <w:t xml:space="preserve">Komarek J, Kastovsky J, Mares J, Johansen JR, 2014. Taxonomic classification of cyanoprokaryotes (cyanobacterial genera) 2014, using a polyphasic approach. Preslia 86, 295–335</w:t>
      </w:r>
    </w:p>
    <w:bookmarkEnd w:id="203"/>
    <w:bookmarkStart w:id="204" w:name="ref-utermohl1958vervollkommnung"/>
    <w:p>
      <w:pPr>
        <w:pStyle w:val="Bibliography"/>
      </w:pPr>
      <w:r>
        <w:t xml:space="preserve">[66]</w:t>
      </w:r>
      <w:r>
        <w:t xml:space="preserve"> </w:t>
      </w:r>
      <w:r>
        <w:t xml:space="preserve">	</w:t>
      </w:r>
      <w:r>
        <w:t xml:space="preserve">Utermöhl H, 1958. Zur vervollkommnung der quantitativen phytoplankton-methodik. Mitteilungen Internationale Vereinigung Für Theoretische Und Angewandte Limnologie 9, 1–38</w:t>
      </w:r>
    </w:p>
    <w:bookmarkEnd w:id="204"/>
    <w:bookmarkStart w:id="206" w:name="ref-r2021r"/>
    <w:p>
      <w:pPr>
        <w:pStyle w:val="Bibliography"/>
      </w:pPr>
      <w:r>
        <w:t xml:space="preserve">[67]</w:t>
      </w:r>
      <w:r>
        <w:t xml:space="preserve"> </w:t>
      </w:r>
      <w:r>
        <w:t xml:space="preserve">	</w:t>
      </w:r>
      <w:r>
        <w:t xml:space="preserve">R Core Team, 2021.</w:t>
      </w:r>
      <w:r>
        <w:t xml:space="preserve"> </w:t>
      </w:r>
      <w:hyperlink r:id="rId205">
        <w:r>
          <w:rPr>
            <w:rStyle w:val="Hyperlink"/>
          </w:rPr>
          <w:t xml:space="preserve">R</w:t>
        </w:r>
        <w:r>
          <w:rPr>
            <w:rStyle w:val="Hyperlink"/>
          </w:rPr>
          <w:t xml:space="preserve">: A language and environment for statistical computing</w:t>
        </w:r>
      </w:hyperlink>
      <w:r>
        <w:t xml:space="preserve">. R Foundation for Statistical Computing, Vienna, Austria</w:t>
      </w:r>
    </w:p>
    <w:bookmarkEnd w:id="206"/>
    <w:bookmarkStart w:id="208" w:name="ref-timbers2022r"/>
    <w:p>
      <w:pPr>
        <w:pStyle w:val="Bibliography"/>
      </w:pPr>
      <w:r>
        <w:t xml:space="preserve">[68]</w:t>
      </w:r>
      <w:r>
        <w:t xml:space="preserve"> </w:t>
      </w:r>
      <w:r>
        <w:t xml:space="preserve">	</w:t>
      </w:r>
      <w:r>
        <w:t xml:space="preserve">Timbers T, Campbell T, Lee M, 2022.</w:t>
      </w:r>
      <w:r>
        <w:t xml:space="preserve"> </w:t>
      </w:r>
      <w:hyperlink r:id="rId207">
        <w:r>
          <w:rPr>
            <w:rStyle w:val="Hyperlink"/>
          </w:rPr>
          <w:t xml:space="preserve">R and the tidyverse</w:t>
        </w:r>
      </w:hyperlink>
      <w:r>
        <w:t xml:space="preserve">. In: Data science. Chapman; Hall/CRC, pp 1–26</w:t>
      </w:r>
    </w:p>
    <w:bookmarkEnd w:id="208"/>
    <w:bookmarkStart w:id="209" w:name="ref-wood2017generalized"/>
    <w:p>
      <w:pPr>
        <w:pStyle w:val="Bibliography"/>
      </w:pPr>
      <w:r>
        <w:t xml:space="preserve">[69]</w:t>
      </w:r>
      <w:r>
        <w:t xml:space="preserve"> </w:t>
      </w:r>
      <w:r>
        <w:t xml:space="preserve">	</w:t>
      </w:r>
      <w:r>
        <w:t xml:space="preserve">Wood SN, 2017.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w:t>
      </w:r>
    </w:p>
    <w:bookmarkEnd w:id="209"/>
    <w:bookmarkStart w:id="211" w:name="ref-koenker2017handbook"/>
    <w:p>
      <w:pPr>
        <w:pStyle w:val="Bibliography"/>
      </w:pPr>
      <w:r>
        <w:t xml:space="preserve">[70]</w:t>
      </w:r>
      <w:r>
        <w:t xml:space="preserve"> </w:t>
      </w:r>
      <w:r>
        <w:t xml:space="preserve">	</w:t>
      </w:r>
      <w:r>
        <w:t xml:space="preserve">Koenker R, Chernozhukov V, He X, Peng L, 2017.</w:t>
      </w:r>
      <w:r>
        <w:t xml:space="preserve"> </w:t>
      </w:r>
      <w:hyperlink r:id="rId210">
        <w:r>
          <w:rPr>
            <w:rStyle w:val="Hyperlink"/>
          </w:rPr>
          <w:t xml:space="preserve">Handbook of quantile regression</w:t>
        </w:r>
      </w:hyperlink>
      <w:r>
        <w:t xml:space="preserve">, 1st ed. Chapman; Hall/CRC</w:t>
      </w:r>
    </w:p>
    <w:bookmarkEnd w:id="211"/>
    <w:bookmarkStart w:id="213" w:name="ref-wickham2009ggplot"/>
    <w:p>
      <w:pPr>
        <w:pStyle w:val="Bibliography"/>
      </w:pPr>
      <w:r>
        <w:t xml:space="preserve">[71]</w:t>
      </w:r>
      <w:r>
        <w:t xml:space="preserve"> </w:t>
      </w:r>
      <w:r>
        <w:t xml:space="preserve">	</w:t>
      </w:r>
      <w:r>
        <w:t xml:space="preserve">Wickham H, 2009.</w:t>
      </w:r>
      <w:r>
        <w:t xml:space="preserve"> </w:t>
      </w:r>
      <w:hyperlink r:id="rId212">
        <w:r>
          <w:rPr>
            <w:rStyle w:val="Hyperlink"/>
          </w:rPr>
          <w:t xml:space="preserve">Introduction</w:t>
        </w:r>
      </w:hyperlink>
      <w:r>
        <w:t xml:space="preserve">. In:</w:t>
      </w:r>
      <w:r>
        <w:t xml:space="preserve"> </w:t>
      </w:r>
      <w:r>
        <w:t xml:space="preserve">ggplot2</w:t>
      </w:r>
      <w:r>
        <w:t xml:space="preserve">. Springer New York, pp 1–7</w:t>
      </w:r>
    </w:p>
    <w:bookmarkEnd w:id="213"/>
    <w:bookmarkStart w:id="215" w:name="ref-liu2019production"/>
    <w:p>
      <w:pPr>
        <w:pStyle w:val="Bibliography"/>
      </w:pPr>
      <w:r>
        <w:t xml:space="preserve">[72]</w:t>
      </w:r>
      <w:r>
        <w:t xml:space="preserve"> </w:t>
      </w:r>
      <w:r>
        <w:t xml:space="preserve">	</w:t>
      </w: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214">
        <w:r>
          <w:rPr>
            <w:rStyle w:val="Hyperlink"/>
          </w:rPr>
          <w:t xml:space="preserve">https://doi.org/10.1016/j.watres.2019.04.004</w:t>
        </w:r>
      </w:hyperlink>
    </w:p>
    <w:bookmarkEnd w:id="215"/>
    <w:bookmarkStart w:id="217" w:name="ref-perkins2019managing"/>
    <w:p>
      <w:pPr>
        <w:pStyle w:val="Bibliography"/>
      </w:pPr>
      <w:r>
        <w:t xml:space="preserve">[73]</w:t>
      </w:r>
      <w:r>
        <w:t xml:space="preserve"> </w:t>
      </w:r>
      <w:r>
        <w:t xml:space="preserve">	</w:t>
      </w: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216">
        <w:r>
          <w:rPr>
            <w:rStyle w:val="Hyperlink"/>
          </w:rPr>
          <w:t xml:space="preserve">https://doi.org/10.1016/j.jenvman.2019.04.123</w:t>
        </w:r>
      </w:hyperlink>
    </w:p>
    <w:bookmarkEnd w:id="217"/>
    <w:bookmarkStart w:id="219" w:name="ref-bafford1993intracellular"/>
    <w:p>
      <w:pPr>
        <w:pStyle w:val="Bibliography"/>
      </w:pPr>
      <w:r>
        <w:t xml:space="preserve">[74]</w:t>
      </w:r>
      <w:r>
        <w:t xml:space="preserve"> </w:t>
      </w:r>
      <w:r>
        <w:t xml:space="preserve">	</w:t>
      </w:r>
      <w:r>
        <w:t xml:space="preserve">Bafford RA, Seagull RW, Chung S, Millie DF, 1993. INTRACELLULAR LOCALIZATION OF THE TASTE/ODOR METABOLITE 2‐METHYLISOBORNEOL IN OSCILLATORIA LIMOSA (CYANOPHYTA)1. Journal of Phycology 29, 91–95.</w:t>
      </w:r>
      <w:r>
        <w:t xml:space="preserve"> </w:t>
      </w:r>
      <w:hyperlink r:id="rId218">
        <w:r>
          <w:rPr>
            <w:rStyle w:val="Hyperlink"/>
          </w:rPr>
          <w:t xml:space="preserve">https://doi.org/10.1111/j.1529-8817.1993.tb00285.x</w:t>
        </w:r>
      </w:hyperlink>
    </w:p>
    <w:bookmarkEnd w:id="219"/>
    <w:bookmarkStart w:id="221" w:name="ref-pavel2018contact"/>
    <w:p>
      <w:pPr>
        <w:pStyle w:val="Bibliography"/>
      </w:pPr>
      <w:r>
        <w:t xml:space="preserve">[75]</w:t>
      </w:r>
      <w:r>
        <w:t xml:space="preserve"> </w:t>
      </w:r>
      <w:r>
        <w:t xml:space="preserve">	</w:t>
      </w: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220">
        <w:r>
          <w:rPr>
            <w:rStyle w:val="Hyperlink"/>
          </w:rPr>
          <w:t xml:space="preserve">https://doi.org/10.1038/s41467-018-05388-x</w:t>
        </w:r>
      </w:hyperlink>
    </w:p>
    <w:bookmarkEnd w:id="221"/>
    <w:bookmarkStart w:id="223" w:name="ref-li2022cooccurrence"/>
    <w:p>
      <w:pPr>
        <w:pStyle w:val="Bibliography"/>
      </w:pPr>
      <w:r>
        <w:t xml:space="preserve">[76]</w:t>
      </w:r>
      <w:r>
        <w:t xml:space="preserve"> </w:t>
      </w:r>
      <w:r>
        <w:t xml:space="preserve">	</w:t>
      </w: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222">
        <w:r>
          <w:rPr>
            <w:rStyle w:val="Hyperlink"/>
          </w:rPr>
          <w:t xml:space="preserve">https://doi.org/10.1016/j.envpol.2021.118594</w:t>
        </w:r>
      </w:hyperlink>
    </w:p>
    <w:bookmarkEnd w:id="223"/>
    <w:bookmarkStart w:id="225" w:name="ref-shi2023distribution"/>
    <w:p>
      <w:pPr>
        <w:pStyle w:val="Bibliography"/>
      </w:pPr>
      <w:r>
        <w:t xml:space="preserve">[77]</w:t>
      </w:r>
      <w:r>
        <w:t xml:space="preserve"> </w:t>
      </w:r>
      <w:r>
        <w:t xml:space="preserve">	</w:t>
      </w: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224">
        <w:r>
          <w:rPr>
            <w:rStyle w:val="Hyperlink"/>
          </w:rPr>
          <w:t xml:space="preserve">https://doi.org/10.1007/s11356-023-27506-z</w:t>
        </w:r>
      </w:hyperlink>
    </w:p>
    <w:bookmarkEnd w:id="225"/>
    <w:bookmarkStart w:id="227" w:name="ref-nan2021enclosure"/>
    <w:p>
      <w:pPr>
        <w:pStyle w:val="Bibliography"/>
      </w:pPr>
      <w:r>
        <w:t xml:space="preserve">[78]</w:t>
      </w:r>
      <w:r>
        <w:t xml:space="preserve"> </w:t>
      </w:r>
      <w:r>
        <w:t xml:space="preserve">	</w:t>
      </w:r>
      <w:r>
        <w:t xml:space="preserve">Nan J, Yang C, Yu H, Shi X, Huang Q, Huang J, Li J, 2021. Enclosure culture ban and its effects on water quality and phytoplankton community in a subtropical shallow lake. Aquaculture Research 53, 221–231.</w:t>
      </w:r>
      <w:r>
        <w:t xml:space="preserve"> </w:t>
      </w:r>
      <w:hyperlink r:id="rId226">
        <w:r>
          <w:rPr>
            <w:rStyle w:val="Hyperlink"/>
          </w:rPr>
          <w:t xml:space="preserve">https://doi.org/10.1111/are.15568</w:t>
        </w:r>
      </w:hyperlink>
    </w:p>
    <w:bookmarkEnd w:id="227"/>
    <w:bookmarkStart w:id="229" w:name="ref-wang2019causality"/>
    <w:p>
      <w:pPr>
        <w:pStyle w:val="Bibliography"/>
      </w:pPr>
      <w:r>
        <w:t xml:space="preserve">[79]</w:t>
      </w:r>
      <w:r>
        <w:t xml:space="preserve"> </w:t>
      </w:r>
      <w:r>
        <w:t xml:space="preserve">	</w:t>
      </w:r>
      <w:r>
        <w:t xml:space="preserve">Wang M, Yoshimura C, Allam A, Kimura F, Honma T, 2019. Causality analysis and prediction of 2-methylisoborneol production in a reservoir using empirical dynamic modeling. Water Research 163, 114864.</w:t>
      </w:r>
      <w:r>
        <w:t xml:space="preserve"> </w:t>
      </w:r>
      <w:hyperlink r:id="rId228">
        <w:r>
          <w:rPr>
            <w:rStyle w:val="Hyperlink"/>
          </w:rPr>
          <w:t xml:space="preserve">https://doi.org/10.1016/j.watres.2019.114864</w:t>
        </w:r>
      </w:hyperlink>
    </w:p>
    <w:bookmarkEnd w:id="229"/>
    <w:bookmarkStart w:id="231" w:name="ref-yu2019taste"/>
    <w:p>
      <w:pPr>
        <w:pStyle w:val="Bibliography"/>
      </w:pPr>
      <w:r>
        <w:t xml:space="preserve">[80]</w:t>
      </w:r>
      <w:r>
        <w:t xml:space="preserve"> </w:t>
      </w:r>
      <w:r>
        <w:t xml:space="preserve">	</w:t>
      </w: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30">
        <w:r>
          <w:rPr>
            <w:rStyle w:val="Hyperlink"/>
          </w:rPr>
          <w:t xml:space="preserve">https://doi.org/10.1007/s11356-019-06188-6</w:t>
        </w:r>
      </w:hyperlink>
    </w:p>
    <w:bookmarkEnd w:id="231"/>
    <w:bookmarkStart w:id="233" w:name="ref-su2022lightdominated"/>
    <w:p>
      <w:pPr>
        <w:pStyle w:val="Bibliography"/>
      </w:pPr>
      <w:r>
        <w:t xml:space="preserve">[81]</w:t>
      </w:r>
      <w:r>
        <w:t xml:space="preserve"> </w:t>
      </w:r>
      <w:r>
        <w:t xml:space="preserve">	</w:t>
      </w: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232">
        <w:r>
          <w:rPr>
            <w:rStyle w:val="Hyperlink"/>
          </w:rPr>
          <w:t xml:space="preserve">https://doi.org/10.1038/s41545-022-00181-2</w:t>
        </w:r>
      </w:hyperlink>
    </w:p>
    <w:bookmarkEnd w:id="233"/>
    <w:bookmarkStart w:id="235" w:name="ref-su2019succession"/>
    <w:p>
      <w:pPr>
        <w:pStyle w:val="Bibliography"/>
      </w:pPr>
      <w:r>
        <w:t xml:space="preserve">[82]</w:t>
      </w:r>
      <w:r>
        <w:t xml:space="preserve"> </w:t>
      </w:r>
      <w:r>
        <w:t xml:space="preserve">	</w:t>
      </w: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34">
        <w:r>
          <w:rPr>
            <w:rStyle w:val="Hyperlink"/>
          </w:rPr>
          <w:t xml:space="preserve">https://doi.org/J.scitotenv.2018.08.307</w:t>
        </w:r>
      </w:hyperlink>
    </w:p>
    <w:bookmarkEnd w:id="235"/>
    <w:bookmarkStart w:id="237" w:name="ref-qi2020characterization"/>
    <w:p>
      <w:pPr>
        <w:pStyle w:val="Bibliography"/>
      </w:pPr>
      <w:r>
        <w:t xml:space="preserve">[83]</w:t>
      </w:r>
      <w:r>
        <w:t xml:space="preserve"> </w:t>
      </w:r>
      <w:r>
        <w:t xml:space="preserve">	</w:t>
      </w: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236">
        <w:r>
          <w:rPr>
            <w:rStyle w:val="Hyperlink"/>
          </w:rPr>
          <w:t xml:space="preserve">https://doi.org/10.1007/s11356-020-07896-0</w:t>
        </w:r>
      </w:hyperlink>
    </w:p>
    <w:bookmarkEnd w:id="237"/>
    <w:bookmarkStart w:id="239" w:name="ref-rong2018source"/>
    <w:p>
      <w:pPr>
        <w:pStyle w:val="Bibliography"/>
      </w:pPr>
      <w:r>
        <w:t xml:space="preserve">[84]</w:t>
      </w:r>
      <w:r>
        <w:t xml:space="preserve"> </w:t>
      </w:r>
      <w:r>
        <w:t xml:space="preserve">	</w:t>
      </w: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238">
        <w:r>
          <w:rPr>
            <w:rStyle w:val="Hyperlink"/>
          </w:rPr>
          <w:t xml:space="preserve">https://doi.org/10.1186/s12302-018-0175-8</w:t>
        </w:r>
      </w:hyperlink>
    </w:p>
    <w:bookmarkEnd w:id="239"/>
    <w:bookmarkStart w:id="241" w:name="ref-deng2019the"/>
    <w:p>
      <w:pPr>
        <w:pStyle w:val="Bibliography"/>
      </w:pPr>
      <w:r>
        <w:t xml:space="preserve">[85]</w:t>
      </w:r>
      <w:r>
        <w:t xml:space="preserve"> </w:t>
      </w:r>
      <w:r>
        <w:t xml:space="preserve">	</w:t>
      </w:r>
      <w:r>
        <w:t xml:space="preserve">Deng X, Qi M, Ren R, Liu J, Sun X, Xie P, Chen J, 2019. The relationships between odors and environmental factors at bloom and non-bloom area in lake taihu, china. Chemosphere 218, 569–576.</w:t>
      </w:r>
      <w:r>
        <w:t xml:space="preserve"> </w:t>
      </w:r>
      <w:hyperlink r:id="rId240">
        <w:r>
          <w:rPr>
            <w:rStyle w:val="Hyperlink"/>
          </w:rPr>
          <w:t xml:space="preserve">https://doi.org/10.1016/j.chemosphere.2018.11.121</w:t>
        </w:r>
      </w:hyperlink>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2025-09-26T02:32:13Z</dcterms:created>
  <dcterms:modified xsi:type="dcterms:W3CDTF">2025-09-26T02:32:13Z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_extensions/drwater/dwinst/journal-of-hazardous-materials.csl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