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2.png" ContentType="image/png"/>
  <Override PartName="/word/media/rId46.png" ContentType="image/png"/>
  <Override PartName="/word/media/rId51.png" ContentType="image/png"/>
  <Override PartName="/word/media/rId55.png" ContentType="image/png"/>
  <Override PartName="/word/media/rId66.png" ContentType="image/png"/>
  <Override PartName="/word/media/rId61.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a,d,#</w:t>
      </w:r>
      <w:r>
        <w:t xml:space="preserve">, Yongnian Wu</w:t>
      </w:r>
      <w:r>
        <w:rPr>
          <w:vertAlign w:val="superscript"/>
        </w:rPr>
        <w:t xml:space="preserve">b,#</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,a,d,*</w:t>
      </w:r>
      <w:r>
        <w:t xml:space="preserve">, Yuying Gui</w:t>
      </w:r>
      <w:r>
        <w:rPr>
          <w:vertAlign w:val="superscript"/>
        </w:rPr>
        <w:t xml:space="preserve">a,c</w:t>
      </w:r>
      <w:r>
        <w:t xml:space="preserve">, Yifan Du</w:t>
      </w:r>
      <w:r>
        <w:rPr>
          <w:vertAlign w:val="superscript"/>
        </w:rPr>
        <w:t xml:space="preserve">a</w:t>
      </w:r>
      <w:r>
        <w:t xml:space="preserve">, Jiao Fang</w:t>
      </w:r>
      <w:r>
        <w:rPr>
          <w:vertAlign w:val="superscript"/>
        </w:rPr>
        <w:t xml:space="preserve">a</w:t>
      </w:r>
      <w:r>
        <w:t xml:space="preserve">, Tengxin Cao</w:t>
      </w:r>
      <w:r>
        <w:rPr>
          <w:vertAlign w:val="superscript"/>
        </w:rPr>
        <w:t xml:space="preserve">a,d</w:t>
      </w:r>
      <w:r>
        <w:t xml:space="preserve">, and Min Yang</w:t>
      </w:r>
      <w:r>
        <w:rPr>
          <w:vertAlign w:val="superscript"/>
        </w:rPr>
        <w:t xml:space="preserve"> </w:t>
      </w:r>
      <w:hyperlink r:id="rId21">
        <w:r>
          <w:rPr>
            <w:rStyle w:val="Hyperlink"/>
            <w:vertAlign w:val="superscript"/>
          </w:rPr>
          <w:t xml:space="preserve">ID</w:t>
        </w:r>
      </w:hyperlink>
      <w:r>
        <w:rPr>
          <w:vertAlign w:val="superscript"/>
        </w:rPr>
        <w:t xml:space="preserve">,a,d</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b</w:t>
      </w:r>
      <w:r>
        <w:t xml:space="preserve"> </w:t>
      </w:r>
      <w:r>
        <w:t xml:space="preserve">Bureau of Hydrology Information Center of Taihu Basin Authority, Shanghai 200434, China.</w:t>
      </w:r>
      <w:r>
        <w:br/>
      </w:r>
      <w:r>
        <w:rPr>
          <w:vertAlign w:val="superscript"/>
        </w:rPr>
        <w:t xml:space="preserve">c</w:t>
      </w:r>
      <w:r>
        <w:t xml:space="preserve"> </w:t>
      </w:r>
      <w:r>
        <w:t xml:space="preserve">College of Environmental Science and Engineering, Ocean University of China, Qingdao 266100, China.</w:t>
      </w:r>
      <w:r>
        <w:br/>
      </w:r>
      <w:r>
        <w:rPr>
          <w:vertAlign w:val="superscript"/>
        </w:rPr>
        <w:t xml:space="preserve">d</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2">
        <w:r>
          <w:rPr>
            <w:rStyle w:val="Hyperlink"/>
          </w:rPr>
          <w:t xml:space="preserve">Ming Su (mingsu@rcees.ac.cn)</w:t>
        </w:r>
      </w:hyperlink>
    </w:p>
    <w:p>
      <w:r>
        <w:br w:type="page"/>
      </w:r>
    </w:p>
    <w:bookmarkStart w:id="23"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w:t>
      </w:r>
      <w:r>
        <w:t xml:space="preserve"> </w:t>
      </w:r>
      <w:r>
        <w:t xml:space="preserve">Application of the model to Lake Taihu successfully reconstructed two odor events during 2022-2023</w:t>
      </w:r>
      <w:r>
        <w:t xml:space="preserve">,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3"/>
    <w:bookmarkStart w:id="24" w:name="keywords"/>
    <w:p>
      <w:pPr>
        <w:pStyle w:val="Heading1"/>
      </w:pPr>
      <w:r>
        <w:t xml:space="preserve">Keywords</w:t>
      </w:r>
    </w:p>
    <w:p>
      <w:pPr>
        <w:pStyle w:val="FirstParagraph"/>
      </w:pPr>
      <w:r>
        <w:t xml:space="preserve">2-methylisoborneol (MIB); Cell lysis-mediated release; Drinking water early warning; Growth-phase dependent release; Taste and odor.</w:t>
      </w:r>
    </w:p>
    <w:p>
      <w:r>
        <w:br w:type="page"/>
      </w:r>
    </w:p>
    <w:p>
      <w:r>
        <w:br w:type="page"/>
      </w:r>
    </w:p>
    <w:bookmarkEnd w:id="24"/>
    <w:bookmarkStart w:id="25"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problematic problems</w:t>
      </w:r>
      <w:r>
        <w:t xml:space="preserve"> </w:t>
      </w:r>
      <w:r>
        <w:t xml:space="preserve">[1–3]</w:t>
      </w:r>
      <w:r>
        <w:t xml:space="preserve">. MIB, an odorous terpenoid derivative, poses a persistent challenge in drinking water due to its extremely low odor threshold concentration (OTC) of 4 - 16 ng L</w:t>
      </w:r>
      <w:r>
        <w:rPr>
          <w:vertAlign w:val="superscript"/>
        </w:rPr>
        <w:t xml:space="preserve">-1</w:t>
      </w:r>
      <w:r>
        <w:t xml:space="preserve"> </w:t>
      </w:r>
      <w:r>
        <w:t xml:space="preserve">and its resistance to conventional water treatment processes</w:t>
      </w:r>
      <w:r>
        <w:t xml:space="preserve"> </w:t>
      </w:r>
      <w:r>
        <w:t xml:space="preserve">[4–12]</w:t>
      </w:r>
      <w:r>
        <w:t xml:space="preserve">.</w:t>
      </w:r>
      <w:r>
        <w:t xml:space="preserve"> </w:t>
      </w:r>
      <w:r>
        <w:t xml:space="preserve">This compound is produced by various microorganisms, including actinomycetes</w:t>
      </w:r>
      <w:r>
        <w:t xml:space="preserve"> </w:t>
      </w:r>
      <w:r>
        <w:t xml:space="preserve">[13, 14]</w:t>
      </w:r>
      <w:r>
        <w:t xml:space="preserve">, cyanobacteria</w:t>
      </w:r>
      <w:r>
        <w:t xml:space="preserve"> </w:t>
      </w:r>
      <w:r>
        <w:t xml:space="preserve">[15]</w:t>
      </w:r>
      <w:r>
        <w:t xml:space="preserve">, fungi</w:t>
      </w:r>
      <w:r>
        <w:t xml:space="preserve"> </w:t>
      </w:r>
      <w:r>
        <w:t xml:space="preserve">[16]</w:t>
      </w:r>
      <w:r>
        <w:t xml:space="preserve">, and myxobacteria</w:t>
      </w:r>
      <w:r>
        <w:t xml:space="preserve"> </w:t>
      </w:r>
      <w:r>
        <w:t xml:space="preserve">[17]</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t xml:space="preserve"> </w:t>
      </w:r>
      <w:r>
        <w:t xml:space="preserve">[18–23]</w:t>
      </w:r>
      <w:r>
        <w:t xml:space="preserve">.</w:t>
      </w:r>
      <w:r>
        <w:t xml:space="preserve"> </w:t>
      </w:r>
      <w:r>
        <w:t xml:space="preserve">Unlike typical bloom-forming algae, MIB-producing cyanobacteria can thrive under moderate nutrient levels, intermediate light intensity, and temperatures of 20–30 °C, allowing them to grow even when conventional bloom species remain limited</w:t>
      </w:r>
      <w:r>
        <w:t xml:space="preserve"> </w:t>
      </w:r>
      <w:r>
        <w:t xml:space="preserve">[24–28]</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t xml:space="preserve"> </w:t>
      </w:r>
      <w:r>
        <w:t xml:space="preserve">[29, 30]</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t xml:space="preserve"> </w:t>
      </w:r>
      <w:r>
        <w:t xml:space="preserve">[31, 32]</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w:t>
      </w:r>
      <w:r>
        <w:t xml:space="preserve"> </w:t>
      </w:r>
      <w:r>
        <w:t xml:space="preserve">Previous studies have largely overlooked the intracellular and extracellular distribution of MIB, with most models focusing on its degradation kinetics and removal processes</w:t>
      </w:r>
      <w:r>
        <w:t xml:space="preserve"> </w:t>
      </w:r>
      <w:r>
        <w:t xml:space="preserve">[33–36]</w:t>
      </w:r>
      <w:r>
        <w:t xml:space="preserve">. While some research has highlighted the surge in extracellular MIB during the senescent phase, attributing it to the rupture of algal filaments, the detailed relationship between extracellular MIB fluctuations and the growth cycle remains inadequately explored</w:t>
      </w:r>
      <w:r>
        <w:t xml:space="preserve"> </w:t>
      </w:r>
      <w:r>
        <w:t xml:space="preserve">[37]</w:t>
      </w:r>
      <w:r>
        <w:t xml:space="preserve">. To date, no study has comprehensively described the trends in intracellular and extracellular MIB distribution or provided a thorough explanation for these changes.</w:t>
      </w:r>
    </w:p>
    <w:p>
      <w:pPr>
        <w:pStyle w:val="BodyText"/>
      </w:pPr>
      <w:r>
        <w:t xml:space="preserve">Our observations from culture experiments suggest that the intracellular and extracellular distribution of MIB is not constant and may be influenced by its biosynthesis and release mechanisms</w:t>
      </w:r>
      <w:r>
        <w:t xml:space="preserve"> </w:t>
      </w:r>
      <w:r>
        <w:t xml:space="preserve">[32, 37–39]</w:t>
      </w:r>
      <w:r>
        <w:t xml:space="preserve">.</w:t>
      </w:r>
      <w:r>
        <w:t xml:space="preserve"> </w:t>
      </w:r>
      <w:r>
        <w:t xml:space="preserve">The biosynthetic pathway of MIB in cyanobacteria involves the methylation of geranyl diphosphate (GPP), followed by cyclization of methyl-GPP, catalyzed by 2-methylisoborneol synthase (2-MIBS) within the Sg Enc protein shell. Recent structural studies have revealed that the Sg Enc protein is a Family 2B encapsulin shell that self-assembles into an icosahedral nanocompartment, encapsulating 2-MIBS.</w:t>
      </w:r>
      <w:r>
        <w:t xml:space="preserve"> </w:t>
      </w:r>
      <w:r>
        <w:t xml:space="preserve">[40–43]</w:t>
      </w:r>
      <w:r>
        <w:t xml:space="preserve">.</w:t>
      </w:r>
      <w:r>
        <w:t xml:space="preserve"> </w:t>
      </w:r>
      <w:r>
        <w:t xml:space="preserve">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t xml:space="preserve"> </w:t>
      </w:r>
      <w:r>
        <w:t xml:space="preserve">[25, 37]</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t xml:space="preserve"> </w:t>
      </w:r>
      <w:r>
        <w:t xml:space="preserve">[32, 44, 45]</w:t>
      </w:r>
      <w:r>
        <w:t xml:space="preserve">. One hypothesis suggests that cyanobacteria may increase extracellular MIB release under stress to inhibit competing algal species, thereby maintaining ecological dominance</w:t>
      </w:r>
      <w:r>
        <w:t xml:space="preserve"> </w:t>
      </w:r>
      <w:r>
        <w:t xml:space="preserve">[45]</w:t>
      </w:r>
      <w:r>
        <w:t xml:space="preserve">. Alternatively, extracellular MIB may simply result from cell damage or death under adverse conditions</w:t>
      </w:r>
      <w:r>
        <w:t xml:space="preserve"> </w:t>
      </w:r>
      <w:r>
        <w:t xml:space="preserve">[32, 46]</w:t>
      </w:r>
      <w:r>
        <w:t xml:space="preserve">.</w:t>
      </w:r>
    </w:p>
    <w:p>
      <w:pPr>
        <w:pStyle w:val="BodyText"/>
      </w:pPr>
      <w:r>
        <w:t xml:space="preserve">In high-cell-density environments, crowding effects can restrict cell proliferation, migration, and metabolism, impacting growth and death dynamics</w:t>
      </w:r>
      <w:r>
        <w:t xml:space="preserve"> </w:t>
      </w:r>
      <w:r>
        <w:t xml:space="preserve">[47–50]</w:t>
      </w:r>
      <w:r>
        <w:t xml:space="preserve">. Crowding-induced growth limitation arises from resource competition, spatial constraints, and cell cycle arrest</w:t>
      </w:r>
      <w:r>
        <w:t xml:space="preserve"> </w:t>
      </w:r>
      <w:r>
        <w:t xml:space="preserve">[51, 52]</w:t>
      </w:r>
      <w:r>
        <w:t xml:space="preserve">, while cell death may result from programmed cell death, metabolic stress, mechanical damage, or cell-to-cell interactions</w:t>
      </w:r>
      <w:r>
        <w:t xml:space="preserve"> </w:t>
      </w:r>
      <w:r>
        <w:t xml:space="preserve">[53–55]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t xml:space="preserve"> </w:t>
      </w:r>
      <w:r>
        <w:t xml:space="preserve">[56–58]</w:t>
      </w:r>
      <w:r>
        <w:t xml:space="preserve">. This model is particularly useful for analyzing shifts in metabolic activity and the timing of metabolite release, making it well-suited for studying MIB dynamics</w:t>
      </w:r>
      <w:r>
        <w:t xml:space="preserve"> </w:t>
      </w:r>
      <w:r>
        <w:t xml:space="preserve">[59, 60]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mechanistic model describing the temporal variation of</w:t>
      </w:r>
      <w:r>
        <w:t xml:space="preserve"> </w:t>
      </w:r>
      <m:oMath>
        <m:r>
          <m:t>f</m:t>
        </m:r>
      </m:oMath>
      <w:r>
        <w:t xml:space="preserve"> </w:t>
      </w:r>
      <w:r>
        <w:t xml:space="preserve">using culture experiments with typical MIB-producing strains. The goals of this work are (i) to explain MIB release patterns during cell growth, (ii) to assess growth-stage distributions of odor-producing cyanobacteria in Taihu Lake and predict odor risk during MIB outbreaks, and (iii) to provide new insights into MIB release dynamics, enhance understanding of cyanobacterial odor production, and offer practical guidance for water treatment process selection and bloom management.</w:t>
      </w:r>
    </w:p>
    <w:bookmarkEnd w:id="25"/>
    <w:bookmarkStart w:id="36" w:name="materials-and-methods"/>
    <w:p>
      <w:pPr>
        <w:pStyle w:val="Heading1"/>
      </w:pPr>
      <w:r>
        <w:t xml:space="preserve">Materials and Methods</w:t>
      </w:r>
    </w:p>
    <w:bookmarkStart w:id="26"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 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 It is also extensively used for irrigation and aquaculture, making water quality a vital concern for local ecosystems and livelihoods.</w:t>
      </w:r>
      <w:r>
        <w:t xml:space="preserve"> </w:t>
      </w:r>
      <w:r>
        <w:t xml:space="preserve">Considering the more widespread occurrence of MIB-related odor issues, and the fact that Lake Taihu serves as a major drinking water source, both MIB and GSM have been routinely monitored. However, as GSM concentrations have consistently remained low while MIB has shown an increasing trend, MIB was selected as the primary focus of this study.</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r>
        <w:t xml:space="preserve"> </w:t>
      </w:r>
      <w:r>
        <w:t xml:space="preserve">The water samples were sealed in brown narrow-mouth sampling bottles and taken to the laboratory for pretreatment within four hours.</w:t>
      </w:r>
    </w:p>
    <w:bookmarkEnd w:id="26"/>
    <w:bookmarkStart w:id="27"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t xml:space="preserve"> </w:t>
      </w:r>
      <w:r>
        <w:t xml:space="preserve">[61]</w:t>
      </w:r>
      <w:r>
        <w:t xml:space="preserve">.</w:t>
      </w:r>
      <w:r>
        <w:t xml:space="preserve"> </w:t>
      </w:r>
      <w:r>
        <w:t xml:space="preserve">Total MIB production potential was determined by measuring its concentration within 72 hours using solid-phase microextraction (SPME) coupled with gas chromatography-mass spectrometry (GC-MS; Agilent 7890, USA) equipped with an Agilent VF-624ms column (USA), following established protocols</w:t>
      </w:r>
      <w:r>
        <w:t xml:space="preserve"> </w:t>
      </w:r>
      <w:r>
        <w:t xml:space="preserve">[19, 35, 62]</w:t>
      </w:r>
      <w:r>
        <w:t xml:space="preserve">.</w:t>
      </w:r>
    </w:p>
    <w:p>
      <w:pPr>
        <w:pStyle w:val="BodyText"/>
      </w:pPr>
      <w:r>
        <w:t xml:space="preserve">For phytoplankton enumeration, subsamples (1000 mL) were fixed with 5% Lugol’s iodine solution</w:t>
      </w:r>
      <w:r>
        <w:t xml:space="preserve"> </w:t>
      </w:r>
      <w:r>
        <w:t xml:space="preserve">[63]</w:t>
      </w:r>
      <w:r>
        <w:t xml:space="preserve">, settled for 48 hours, and pre-concentrated 20-fold before analysis.</w:t>
      </w:r>
      <w:r>
        <w:t xml:space="preserve"> </w:t>
      </w:r>
      <w:r>
        <w:t xml:space="preserve">Cyanobacterial species were identified based on morphological criteria</w:t>
      </w:r>
      <w:r>
        <w:t xml:space="preserve"> </w:t>
      </w:r>
      <w:r>
        <w:t xml:space="preserve">[64]</w:t>
      </w:r>
      <w:r>
        <w:t xml:space="preserve">, with taxonomic revisions following ref</w:t>
      </w:r>
      <w:r>
        <w:t xml:space="preserve"> </w:t>
      </w:r>
      <w:r>
        <w:t xml:space="preserve">[65]</w:t>
      </w:r>
      <w:r>
        <w:t xml:space="preserve">. Cell counts were performed using an upright microscope (Olympus BX53, Japan) following the Utermöhl method</w:t>
      </w:r>
      <w:r>
        <w:t xml:space="preserve"> </w:t>
      </w:r>
      <w:r>
        <w:t xml:space="preserve">[66]</w:t>
      </w:r>
      <w:r>
        <w:t xml:space="preserve">.</w:t>
      </w:r>
    </w:p>
    <w:bookmarkEnd w:id="27"/>
    <w:bookmarkStart w:id="32" w:name="model-development"/>
    <w:p>
      <w:pPr>
        <w:pStyle w:val="Heading2"/>
      </w:pPr>
      <w:r>
        <w:t xml:space="preserve">Model Development</w:t>
      </w:r>
    </w:p>
    <w:p>
      <w:pPr>
        <w:pStyle w:val="FirstParagraph"/>
      </w:pPr>
      <w:r>
        <w:t xml:space="preserve">The model was constructed on a Lenovo ThinkStation workstation (P350) running a Linux-based RStudio Server environment.</w:t>
      </w:r>
      <w:r>
        <w:t xml:space="preserve"> </w:t>
      </w: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8"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8"/>
    </w:p>
    <w:p>
      <w:pPr>
        <w:pStyle w:val="FirstParagraph"/>
      </w:pPr>
      <w:r>
        <w:br/>
      </w:r>
    </w:p>
    <w:p>
      <w:pPr>
        <w:pStyle w:val="BodyText"/>
      </w:pPr>
      <w:bookmarkStart w:id="29"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9"/>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t xml:space="preserve"> </w:t>
      </w:r>
      <w:r>
        <w:t xml:space="preserve">[58, 60]</w:t>
      </w:r>
      <w:r>
        <w:t xml:space="preserve">, and</w:t>
      </w:r>
      <w:r>
        <w:t xml:space="preserve"> </w:t>
      </w:r>
      <m:oMath>
        <m:r>
          <m:t>θ</m:t>
        </m:r>
      </m:oMath>
      <w:r>
        <w:t xml:space="preserve"> </w:t>
      </w:r>
      <w:r>
        <w:t xml:space="preserve">denotes the initial growth potential.</w:t>
      </w:r>
      <w:r>
        <w:t xml:space="preserve"> </w:t>
      </w:r>
      <w:r>
        <w:t xml:space="preserve">The Logistic model is based on the following key assumptions: (1) the algal population is considered a closed system, with no significant immigration or emigration; (2) external environmental conditions, such as nutrients, light, and temperature, remain relatively stable over the modeling period, or their effects are incorporated into the parameters; (3) biological processes, including predation, viral lysis, or other factors causing abrupt population declines, are assumed negligible; (4) the population is treated as homogeneous, with interspecies competition and internal physiological differences excluded.</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The odor-producing cyanobacterial strains</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t xml:space="preserve"> </w:t>
      </w:r>
      <w:r>
        <w:t xml:space="preserve">[25]</w:t>
      </w:r>
      <w:r>
        <w:t xml:space="preserve">) and maintained in BG-11 medium. Cultures were grown under controlled laboratory conditions (25 ± 1 °C, light intensity of 40 µmol photons m⁻² s⁻¹, 12:12 h light/dark cycle) and gently shaken daily to avoid cell sedimentation. The purity and identity of the strains were confirmed by routine microscopic examination, and no heterotrophic bacterial contamination was detected. Cell density was performed under a microscope (Olympus BX51, Japan) using a Sedgewick-Rafter counting chamber, and a cell counting tool (CCT v1.4, China, https://drwater.net) was used for recording and preliminary statistical analysis to determine growth phases (lag, exponential, stationary, and decline). These microbial tests ensured that the observed MIB release dynamics could be attributed specifically to cyanobacterial physiology rather than contamination from other microorganisms.</w:t>
      </w:r>
      <w:r>
        <w:t xml:space="preserve"> </w:t>
      </w: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and</w:t>
      </w:r>
      <w:r>
        <w:t xml:space="preserve"> </w:t>
      </w:r>
      <w:r>
        <w:rPr>
          <w:i/>
          <w:iCs/>
        </w:rPr>
        <w:t xml:space="preserve">Planktothricoides raciborskii</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0"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0"/>
    </w:p>
    <w:p>
      <w:pPr>
        <w:pStyle w:val="FirstParagraph"/>
      </w:pPr>
      <w:r>
        <w:br/>
      </w:r>
    </w:p>
    <w:p>
      <w:pPr>
        <w:pStyle w:val="BodyText"/>
      </w:pPr>
      <w:bookmarkStart w:id="31"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1"/>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serves as a correction factor representing the influence of physical and biological processes in the environment on MIB concentrations, such as degradation, volatilization, adsorption, and accumulation effects.</w:t>
      </w:r>
      <w:r>
        <w:t xml:space="preserve"> </w:t>
      </w:r>
      <w:r>
        <w:t xml:space="preserve">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2"/>
    <w:bookmarkStart w:id="34"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3"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3"/>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w:t>
      </w:r>
      <w:r>
        <w:t xml:space="preserve"> </w:t>
      </w:r>
      <w:r>
        <w:t xml:space="preserve">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performed a probabilistic analysis of</w:t>
      </w:r>
      <w:r>
        <w:t xml:space="preserve"> </w:t>
      </w:r>
      <m:oMath>
        <m:r>
          <m:t>S</m:t>
        </m:r>
        <m:r>
          <m:t>t</m:t>
        </m:r>
      </m:oMath>
      <w:r>
        <w:t xml:space="preserve"> </w:t>
      </w:r>
      <w:r>
        <w:t xml:space="preserve">and</w:t>
      </w:r>
      <w:r>
        <w:t xml:space="preserve"> </w:t>
      </w:r>
      <m:oMath>
        <m:sSub>
          <m:e>
            <m:r>
              <m:t>t</m:t>
            </m:r>
          </m:e>
          <m:sub>
            <m:r>
              <m:rPr>
                <m:nor/>
                <m:sty m:val="p"/>
              </m:rPr>
              <m:t>MIB</m:t>
            </m:r>
          </m:sub>
        </m:sSub>
      </m:oMath>
      <w:r>
        <w:t xml:space="preserve">, calculated the probability distribution of</w:t>
      </w:r>
      <w:r>
        <w:t xml:space="preserve"> </w:t>
      </w:r>
      <m:oMath>
        <m:sSub>
          <m:e>
            <m:r>
              <m:t>t</m:t>
            </m:r>
          </m:e>
          <m:sub>
            <m:r>
              <m:rPr>
                <m:nor/>
                <m:sty m:val="p"/>
              </m:rPr>
              <m:t>MIB</m:t>
            </m:r>
          </m:sub>
        </m:sSub>
      </m:oMath>
      <w:r>
        <w:t xml:space="preserve"> </w:t>
      </w:r>
      <w:r>
        <w:t xml:space="preserve">within each</w:t>
      </w:r>
      <w:r>
        <w:t xml:space="preserve"> </w:t>
      </w:r>
      <m:oMath>
        <m:r>
          <m:t>S</m:t>
        </m:r>
        <m:r>
          <m:t>t</m:t>
        </m:r>
      </m:oMath>
      <w:r>
        <w:t xml:space="preserve"> </w:t>
      </w:r>
      <w:r>
        <w:t xml:space="preserve">interval, and used the expected value as the representative concentration for that interval.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4"/>
    <w:bookmarkStart w:id="35" w:name="statistical-analysis-and-visualization"/>
    <w:p>
      <w:pPr>
        <w:pStyle w:val="Heading2"/>
      </w:pPr>
      <w:r>
        <w:t xml:space="preserve">Statistical Analysis and Visualization</w:t>
      </w:r>
    </w:p>
    <w:p>
      <w:pPr>
        <w:pStyle w:val="FirstParagraph"/>
      </w:pPr>
      <w:r>
        <w:t xml:space="preserve">All analyses were conducted in R 4.4.2</w:t>
      </w:r>
      <w:r>
        <w:t xml:space="preserve"> </w:t>
      </w:r>
      <w:r>
        <w:t xml:space="preserve">[67]</w:t>
      </w:r>
      <w:r>
        <w:t xml:space="preserve">. Data preprocessing and summarization used</w:t>
      </w:r>
      <w:r>
        <w:t xml:space="preserve"> </w:t>
      </w:r>
      <w:r>
        <w:rPr>
          <w:rStyle w:val="VerbatimChar"/>
        </w:rPr>
        <w:t xml:space="preserve">dplyr</w:t>
      </w:r>
      <w:r>
        <w:t xml:space="preserve"> </w:t>
      </w:r>
      <w:r>
        <w:t xml:space="preserve">[68]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 </w:t>
      </w:r>
      <w:r>
        <w:t xml:space="preserve">[69]</w:t>
      </w:r>
      <w:r>
        <w:t xml:space="preserve">) and quantile regression (</w:t>
      </w:r>
      <w:r>
        <w:rPr>
          <w:rStyle w:val="VerbatimChar"/>
        </w:rPr>
        <w:t xml:space="preserve">quantreg</w:t>
      </w:r>
      <w:r>
        <w:t xml:space="preserve"> </w:t>
      </w:r>
      <w:r>
        <w:t xml:space="preserve">[70]</w:t>
      </w:r>
      <w:r>
        <w:t xml:space="preserve">) were applied where appropriate. Figures were generated using</w:t>
      </w:r>
      <w:r>
        <w:t xml:space="preserve"> </w:t>
      </w:r>
      <w:r>
        <w:rPr>
          <w:rStyle w:val="VerbatimChar"/>
        </w:rPr>
        <w:t xml:space="preserve">ggplot2</w:t>
      </w:r>
      <w:r>
        <w:t xml:space="preserve"> </w:t>
      </w:r>
      <w:r>
        <w:t xml:space="preserve">[71]</w:t>
      </w:r>
      <w:r>
        <w:t xml:space="preserve">, with contour plots produced via the</w:t>
      </w:r>
      <w:r>
        <w:t xml:space="preserve"> </w:t>
      </w:r>
      <w:r>
        <w:rPr>
          <w:rStyle w:val="VerbatimChar"/>
        </w:rPr>
        <w:t xml:space="preserve">graphics</w:t>
      </w:r>
      <w:r>
        <w:t xml:space="preserve"> </w:t>
      </w:r>
      <w:r>
        <w:t xml:space="preserve">package.</w:t>
      </w:r>
    </w:p>
    <w:bookmarkEnd w:id="35"/>
    <w:bookmarkEnd w:id="36"/>
    <w:bookmarkStart w:id="60" w:name="results"/>
    <w:p>
      <w:pPr>
        <w:pStyle w:val="Heading1"/>
      </w:pPr>
      <w:r>
        <w:t xml:space="preserve">Results</w:t>
      </w:r>
    </w:p>
    <w:bookmarkStart w:id="41"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w:t>
      </w:r>
      <w:r>
        <w:t xml:space="preserve"> </w:t>
      </w:r>
      <w:r>
        <w:t xml:space="preserve">Euclidean distance was used as the distance metric, and complete linkage was applied as the agglomeration method in the cluster analysis of MIB concentrations from all 31 sampling sites. This analysis revealed four distinct spatial clusters corresponding to different lake regions (West, Center, Southeast, and North)(Fig. S1).</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w:t>
      </w:r>
      <w:r>
        <w:t xml:space="preserve"> </w:t>
      </w:r>
      <w:r>
        <w:t xml:space="preserve">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w:t>
      </w:r>
      <w:r>
        <w:t xml:space="preserve"> </w:t>
      </w:r>
      <w:r>
        <w:t xml:space="preserve">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0" w:name="fig-taihumibalgae"/>
          <w:p>
            <w:pPr>
              <w:pStyle w:val="Compact"/>
              <w:jc w:val="center"/>
            </w:pPr>
            <w:r>
              <w:drawing>
                <wp:inline>
                  <wp:extent cx="5177790" cy="5188166"/>
                  <wp:effectExtent b="0" l="0" r="0" t="0"/>
                  <wp:docPr descr="" title="" id="38" name="Picture"/>
                  <a:graphic>
                    <a:graphicData uri="http://schemas.openxmlformats.org/drawingml/2006/picture">
                      <pic:pic>
                        <pic:nvPicPr>
                          <pic:cNvPr descr="../figures/taihumibalgae_revised.png" id="39" name="Picture"/>
                          <pic:cNvPicPr>
                            <a:picLocks noChangeArrowheads="1" noChangeAspect="1"/>
                          </pic:cNvPicPr>
                        </pic:nvPicPr>
                        <pic:blipFill>
                          <a:blip r:embed="rId37"/>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0"/>
        </w:tc>
      </w:tr>
    </w:tbl>
    <w:bookmarkEnd w:id="41"/>
    <w:bookmarkStart w:id="50"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5" w:name="fig-modelconcept"/>
          <w:p>
            <w:pPr>
              <w:pStyle w:val="Compact"/>
              <w:jc w:val="center"/>
            </w:pPr>
            <w:r>
              <w:drawing>
                <wp:inline>
                  <wp:extent cx="4602480" cy="4475475"/>
                  <wp:effectExtent b="0" l="0" r="0" t="0"/>
                  <wp:docPr descr="" title="" id="43" name="Picture"/>
                  <a:graphic>
                    <a:graphicData uri="http://schemas.openxmlformats.org/drawingml/2006/picture">
                      <pic:pic>
                        <pic:nvPicPr>
                          <pic:cNvPr descr="../figures/culturedata.png" id="44" name="Picture"/>
                          <pic:cNvPicPr>
                            <a:picLocks noChangeArrowheads="1" noChangeAspect="1"/>
                          </pic:cNvPicPr>
                        </pic:nvPicPr>
                        <pic:blipFill>
                          <a:blip r:embed="rId42"/>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t xml:space="preserve"> </w:t>
            </w:r>
            <w:r>
              <w:t xml:space="preserve">[27]</w:t>
            </w:r>
            <w:r>
              <w:t xml:space="preserve"> </w:t>
            </w:r>
            <w:r>
              <w:t xml:space="preserve">and</w:t>
            </w:r>
            <w:r>
              <w:t xml:space="preserve"> </w:t>
            </w:r>
            <w:r>
              <w:t xml:space="preserve">[25]</w:t>
            </w:r>
            <w:r>
              <w:t xml:space="preserve"> </w:t>
            </w:r>
            <w:r>
              <w:t xml:space="preserve">respectively.</w:t>
            </w:r>
          </w:p>
          <w:bookmarkEnd w:id="45"/>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w:t>
      </w:r>
      <w:r>
        <w:t xml:space="preserve"> </w:t>
      </w:r>
      <w:r>
        <w:t xml:space="preserve">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49" w:name="fig-modelout"/>
          <w:p>
            <w:pPr>
              <w:pStyle w:val="Compact"/>
              <w:jc w:val="center"/>
            </w:pPr>
            <w:r>
              <w:drawing>
                <wp:inline>
                  <wp:extent cx="4027170" cy="4523779"/>
                  <wp:effectExtent b="0" l="0" r="0" t="0"/>
                  <wp:docPr descr="" title="" id="47" name="Picture"/>
                  <a:graphic>
                    <a:graphicData uri="http://schemas.openxmlformats.org/drawingml/2006/picture">
                      <pic:pic>
                        <pic:nvPicPr>
                          <pic:cNvPr descr="../figures/model.png" id="48" name="Picture"/>
                          <pic:cNvPicPr>
                            <a:picLocks noChangeArrowheads="1" noChangeAspect="1"/>
                          </pic:cNvPicPr>
                        </pic:nvPicPr>
                        <pic:blipFill>
                          <a:blip r:embed="rId46"/>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9"/>
        </w:tc>
      </w:tr>
    </w:tbl>
    <w:bookmarkEnd w:id="50"/>
    <w:bookmarkStart w:id="59"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Field monitoring of algae has shown that Pseudoanabaena is the main odor-producing cyanobacterium. Therefore, when applying the model to Lake Taihu, MIB is assumed to be solely produced by Pseudoanabaena.</w:t>
      </w:r>
      <w:r>
        <w:t xml:space="preserve"> </w:t>
      </w: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w:t>
      </w:r>
    </w:p>
    <w:tbl>
      <w:tblPr>
        <w:tblStyle w:val="Table"/>
        <w:tblW w:type="pct" w:w="5000"/>
        <w:tblLayout w:type="fixed"/>
        <w:tblLook w:firstRow="0" w:lastRow="0" w:firstColumn="0" w:lastColumn="0" w:noHBand="0" w:noVBand="0" w:val="0000"/>
      </w:tblPr>
      <w:tblGrid>
        <w:gridCol w:w="7920"/>
      </w:tblGrid>
      <w:tr>
        <w:tc>
          <w:tcPr/>
          <w:bookmarkStart w:id="54" w:name="fig-period"/>
          <w:p>
            <w:pPr>
              <w:pStyle w:val="Compact"/>
              <w:jc w:val="center"/>
            </w:pPr>
            <w:r>
              <w:drawing>
                <wp:inline>
                  <wp:extent cx="4602480" cy="4820503"/>
                  <wp:effectExtent b="0" l="0" r="0" t="0"/>
                  <wp:docPr descr="" title="" id="52" name="Picture"/>
                  <a:graphic>
                    <a:graphicData uri="http://schemas.openxmlformats.org/drawingml/2006/picture">
                      <pic:pic>
                        <pic:nvPicPr>
                          <pic:cNvPr descr="../figures/period_revised.png" id="53" name="Picture"/>
                          <pic:cNvPicPr>
                            <a:picLocks noChangeArrowheads="1" noChangeAspect="1"/>
                          </pic:cNvPicPr>
                        </pic:nvPicPr>
                        <pic:blipFill>
                          <a:blip r:embed="rId51"/>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4"/>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w:t>
      </w:r>
    </w:p>
    <w:tbl>
      <w:tblPr>
        <w:tblStyle w:val="Table"/>
        <w:tblW w:type="pct" w:w="5000"/>
        <w:tblLayout w:type="fixed"/>
        <w:tblLook w:firstRow="0" w:lastRow="0" w:firstColumn="0" w:lastColumn="0" w:noHBand="0" w:noVBand="0" w:val="0000"/>
      </w:tblPr>
      <w:tblGrid>
        <w:gridCol w:w="7920"/>
      </w:tblGrid>
      <w:tr>
        <w:tc>
          <w:tcPr/>
          <w:bookmarkStart w:id="58" w:name="fig-periodandrisk"/>
          <w:p>
            <w:pPr>
              <w:pStyle w:val="Compact"/>
              <w:jc w:val="center"/>
            </w:pPr>
            <w:r>
              <w:drawing>
                <wp:inline>
                  <wp:extent cx="5753100" cy="5227075"/>
                  <wp:effectExtent b="0" l="0" r="0" t="0"/>
                  <wp:docPr descr="" title="" id="56" name="Picture"/>
                  <a:graphic>
                    <a:graphicData uri="http://schemas.openxmlformats.org/drawingml/2006/picture">
                      <pic:pic>
                        <pic:nvPicPr>
                          <pic:cNvPr descr="../figures/periodandrisk.png" id="57" name="Picture"/>
                          <pic:cNvPicPr>
                            <a:picLocks noChangeArrowheads="1" noChangeAspect="1"/>
                          </pic:cNvPicPr>
                        </pic:nvPicPr>
                        <pic:blipFill>
                          <a:blip r:embed="rId55"/>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8"/>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9"/>
    <w:bookmarkEnd w:id="60"/>
    <w:bookmarkStart w:id="72" w:name="discussion"/>
    <w:p>
      <w:pPr>
        <w:pStyle w:val="Heading1"/>
      </w:pPr>
      <w:r>
        <w:t xml:space="preserve">Discussion</w:t>
      </w:r>
    </w:p>
    <w:bookmarkStart w:id="65"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4" w:name="fig-lighttemp"/>
          <w:p>
            <w:pPr>
              <w:pStyle w:val="Compact"/>
              <w:jc w:val="center"/>
            </w:pPr>
            <w:r>
              <w:drawing>
                <wp:inline>
                  <wp:extent cx="4602480" cy="3076117"/>
                  <wp:effectExtent b="0" l="0" r="0" t="0"/>
                  <wp:docPr descr="" title="" id="62" name="Picture"/>
                  <a:graphic>
                    <a:graphicData uri="http://schemas.openxmlformats.org/drawingml/2006/picture">
                      <pic:pic>
                        <pic:nvPicPr>
                          <pic:cNvPr descr="../figures/taihualgaerisk_revised.png" id="63" name="Picture"/>
                          <pic:cNvPicPr>
                            <a:picLocks noChangeArrowheads="1" noChangeAspect="1"/>
                          </pic:cNvPicPr>
                        </pic:nvPicPr>
                        <pic:blipFill>
                          <a:blip r:embed="rId61"/>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4"/>
        </w:tc>
      </w:tr>
    </w:tbl>
    <w:bookmarkEnd w:id="65"/>
    <w:bookmarkStart w:id="70"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t xml:space="preserve"> </w:t>
      </w:r>
      <w:r>
        <w:t xml:space="preserve">[72, 73]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w:t>
      </w:r>
      <w:r>
        <w:t xml:space="preserve"> </w:t>
      </w:r>
      <w:r>
        <w:t xml:space="preserve">a key indicator</w:t>
      </w:r>
      <w:r>
        <w:t xml:space="preserve"> </w:t>
      </w:r>
      <w:r>
        <w:t xml:space="preserve">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t xml:space="preserve"> </w:t>
      </w:r>
      <w:r>
        <w:t xml:space="preserve">[74]</w:t>
      </w:r>
      <w:r>
        <w:t xml:space="preserve">. The major mechanism of MIB release is cell lysis, occurring either through programmed cell death or mechanical rupture of the cell wall</w:t>
      </w:r>
      <w:r>
        <w:t xml:space="preserve"> </w:t>
      </w:r>
      <w:r>
        <w:t xml:space="preserve">[32, 37, 39, 46]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w:t>
      </w:r>
      <w:r>
        <w:t xml:space="preserve"> </w:t>
      </w:r>
      <w:r>
        <w:t xml:space="preserve">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r>
        <w:t xml:space="preserve"> </w:t>
      </w:r>
      <w:r>
        <w:t xml:space="preserve">As cell growth progresses toward the stationary phase, environmental cell density increases, leading to intensified crowding effects. These conditions exacerbate cell damage and apoptosis, causing a larger proportion of MIB to be released into the surrounding water</w:t>
      </w:r>
      <w:r>
        <w:t xml:space="preserve"> </w:t>
      </w:r>
      <w:r>
        <w:t xml:space="preserve">[75]</w:t>
      </w:r>
      <w:r>
        <w:t xml:space="preserve">.</w:t>
      </w:r>
      <w:r>
        <w:t xml:space="preserve"> </w:t>
      </w:r>
      <w:r>
        <w:t xml:space="preserve">When applying the model to real aquatic systems, monocultures of odor-producing cyanobacteria are more suitable. In mixed cultures, it is difficult to determine the contribution of each species to the odor compounds, which limits the model’s applicability. Additionally, compared to laboratory conditions, variations in meteorological factors and community interactions in natural environments may affect the model’s performance, highlighting areas for future improvement.</w:t>
      </w:r>
    </w:p>
    <w:tbl>
      <w:tblPr>
        <w:tblStyle w:val="Table"/>
        <w:tblW w:type="pct" w:w="5000"/>
        <w:tblLayout w:type="fixed"/>
        <w:tblLook w:firstRow="0" w:lastRow="0" w:firstColumn="0" w:lastColumn="0" w:noHBand="0" w:noVBand="0" w:val="0000"/>
      </w:tblPr>
      <w:tblGrid>
        <w:gridCol w:w="7920"/>
      </w:tblGrid>
      <w:tr>
        <w:tc>
          <w:tcPr/>
          <w:bookmarkStart w:id="69" w:name="fig-sketch"/>
          <w:p>
            <w:pPr>
              <w:pStyle w:val="Compact"/>
              <w:jc w:val="center"/>
            </w:pPr>
            <w:r>
              <w:drawing>
                <wp:inline>
                  <wp:extent cx="4602480" cy="2314028"/>
                  <wp:effectExtent b="0" l="0" r="0" t="0"/>
                  <wp:docPr descr="" title="" id="67" name="Picture"/>
                  <a:graphic>
                    <a:graphicData uri="http://schemas.openxmlformats.org/drawingml/2006/picture">
                      <pic:pic>
                        <pic:nvPicPr>
                          <pic:cNvPr descr="../figures/sketch.png" id="68" name="Picture"/>
                          <pic:cNvPicPr>
                            <a:picLocks noChangeArrowheads="1" noChangeAspect="1"/>
                          </pic:cNvPicPr>
                        </pic:nvPicPr>
                        <pic:blipFill>
                          <a:blip r:embed="rId66"/>
                          <a:stretch>
                            <a:fillRect/>
                          </a:stretch>
                        </pic:blipFill>
                        <pic:spPr bwMode="auto">
                          <a:xfrm>
                            <a:off x="0" y="0"/>
                            <a:ext cx="4602480" cy="2314028"/>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9"/>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t xml:space="preserve"> </w:t>
      </w:r>
      <w:r>
        <w:t xml:space="preserve">[32, 37]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r>
        <w:t xml:space="preserve"> </w:t>
      </w:r>
      <w:r>
        <w:t xml:space="preserve">However, in real aquatic environments, the ideal conditions assumed by the model are often not fully met. For example, water exchange may introduce new cells or dilution effects, and nutrient pulses or light fluctuations can lead to time-varying growth rates and environmental carrying capacities. In the future, to enhance the model’s applicability, further adjustments and optimizations may be necessary, such as introducing time-varying carrying capacity K(t), adding migration terms, or considering predation loss functions.</w:t>
      </w:r>
    </w:p>
    <w:bookmarkEnd w:id="70"/>
    <w:bookmarkStart w:id="71"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t xml:space="preserve"> </w:t>
      </w:r>
      <w:r>
        <w:t xml:space="preserve">[76, 77]</w:t>
      </w:r>
      <w:r>
        <w:t xml:space="preserve">. Temperature and light availability emerge as the principal environmental regulators of this pattern.</w:t>
      </w:r>
      <w:r>
        <w:t xml:space="preserve"> </w:t>
      </w:r>
      <w:r>
        <w:t xml:space="preserve">When surface water temperatures exceed 15°C in April-May, MIB-producing cyanobacteria achieve substantial growth rates</w:t>
      </w:r>
      <w:r>
        <w:t xml:space="preserve"> </w:t>
      </w:r>
      <w:r>
        <w:t xml:space="preserve">[78–80]</w:t>
      </w:r>
      <w:r>
        <w:t xml:space="preserve">, benefiting from minimal competition and resulting in spring MIB peaks. In the Shanghai QCS Reservoir, located at the same latitude, an MIB outbreak caused by Pseudoanabaena was observed at the end of April</w:t>
      </w:r>
      <w:r>
        <w:t xml:space="preserve"> </w:t>
      </w:r>
      <w:r>
        <w:t xml:space="preserve">[27]</w:t>
      </w:r>
      <w:r>
        <w:t xml:space="preserve">.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t xml:space="preserve"> </w:t>
      </w:r>
      <w:r>
        <w:t xml:space="preserve">[81, 82]</w:t>
      </w:r>
      <w:r>
        <w:t xml:space="preserve">. Summer conditions typically optimize growth for</w:t>
      </w:r>
      <w:r>
        <w:t xml:space="preserve"> </w:t>
      </w:r>
      <w:r>
        <w:rPr>
          <w:i/>
          <w:iCs/>
        </w:rPr>
        <w:t xml:space="preserve">Pseudanabaena</w:t>
      </w:r>
      <w:r>
        <w:t xml:space="preserve">, when the temperature rises to 30°C, odor-producing cyanobacteria gain a competitive advantage over traditional bloom-forming algae, resulting in an increased odor risk</w:t>
      </w:r>
      <w:r>
        <w:t xml:space="preserve"> </w:t>
      </w:r>
      <w:r>
        <w:t xml:space="preserve">[77, 81, 83, 84]</w:t>
      </w:r>
      <w:r>
        <w:t xml:space="preserve">. This ecological succession aligns with observed microcystin concentration trends</w:t>
      </w:r>
      <w:r>
        <w:t xml:space="preserve"> </w:t>
      </w:r>
      <w:r>
        <w:t xml:space="preserve">[76]</w:t>
      </w:r>
      <w:r>
        <w:t xml:space="preserve"> </w:t>
      </w:r>
      <w:r>
        <w:t xml:space="preserve">and documented phytoplankton community shifts</w:t>
      </w:r>
      <w:r>
        <w:t xml:space="preserve"> </w:t>
      </w:r>
      <w:r>
        <w:t xml:space="preserve">[85]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w:t>
      </w:r>
      <w:r>
        <w:t xml:space="preserve"> </w:t>
      </w:r>
      <w:r>
        <w:t xml:space="preserve">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Where</w:t>
      </w:r>
      <w:r>
        <w:t xml:space="preserve"> </w:t>
      </w:r>
      <m:oMath>
        <m:sSub>
          <m:e>
            <m:r>
              <m:t>α</m:t>
            </m:r>
          </m:e>
          <m:sub>
            <m:r>
              <m:t>1</m:t>
            </m:r>
          </m:sub>
        </m:sSub>
      </m:oMath>
      <w:r>
        <w:t xml:space="preserve"> </w:t>
      </w:r>
      <w:r>
        <w:t xml:space="preserve">represents the coefficient between the rate of change in</w:t>
      </w:r>
      <w:r>
        <w:t xml:space="preserve"> </w:t>
      </w:r>
      <m:oMath>
        <m:r>
          <m:t>f</m:t>
        </m:r>
      </m:oMath>
      <w:r>
        <w:t xml:space="preserve"> </w:t>
      </w:r>
      <w:r>
        <w:t xml:space="preserve">with respect to cell density, indicating the magnitude of the crowding effect on the intracellular-extracellular distribution of MIB as the cell growth stage progresses, and is influenced by the cell growth rate.</w:t>
      </w:r>
      <w:r>
        <w:t xml:space="preserve"> </w:t>
      </w:r>
      <m:oMath>
        <m:r>
          <m:t>β</m:t>
        </m:r>
      </m:oMath>
      <w:r>
        <w:t xml:space="preserve"> </w:t>
      </w:r>
      <w:r>
        <w:t xml:space="preserve">represents the correction factor for MIB degradation or accumulation effects, and is related to the odor production efficiency of individual cells.</w:t>
      </w:r>
      <w:r>
        <w:t xml:space="preserve"> </w:t>
      </w:r>
      <w:r>
        <w:t xml:space="preserve">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t xml:space="preserve"> </w:t>
      </w:r>
      <w:r>
        <w:t xml:space="preserve">[27]</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t xml:space="preserve"> </w:t>
      </w:r>
      <w:r>
        <w:t xml:space="preserve">[25]</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3"/>
    <w:bookmarkStart w:id="74" w:name="environmental-implication"/>
    <w:p>
      <w:pPr>
        <w:pStyle w:val="Heading1"/>
      </w:pPr>
      <w:r>
        <w:t xml:space="preserve">Environmental Implication</w:t>
      </w:r>
    </w:p>
    <w:p>
      <w:pPr>
        <w:pStyle w:val="FirstParagraph"/>
      </w:pPr>
      <w:r>
        <w:t xml:space="preserve">This study presents a mechanistic model linking cyanobacterial growth stages with the release and partitioning of 2-methylisoborneol (MIB) into intracellular and extracellular fractions. Applied to Lake Taihu, the model enables spatial prediction of odor risk and informs targeted water treatment strategies. By distinguishing dominant MIB forms, it supports the selection of appropriate control measures—coagulation-based cell removal or advanced oxidation for dissolved MIB. This framework enhances early warning capability and provides actionable guidance for managing taste and odor issues in freshwater systems affected by cyanobacterial blooms.</w:t>
      </w:r>
    </w:p>
    <w:p>
      <w:r>
        <w:br w:type="page"/>
      </w:r>
    </w:p>
    <w:bookmarkEnd w:id="74"/>
    <w:bookmarkStart w:id="75"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5"/>
    <w:bookmarkStart w:id="76" w:name="declaration-of-competing-interest"/>
    <w:p>
      <w:pPr>
        <w:pStyle w:val="Heading1"/>
      </w:pPr>
      <w:r>
        <w:t xml:space="preserve">Declaration of competing interest</w:t>
      </w:r>
    </w:p>
    <w:p>
      <w:pPr>
        <w:pStyle w:val="FirstParagraph"/>
      </w:pPr>
      <w:r>
        <w:t xml:space="preserve">The authors declare no competing financial interest.</w:t>
      </w:r>
    </w:p>
    <w:bookmarkEnd w:id="76"/>
    <w:bookmarkStart w:id="77"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7"/>
    <w:bookmarkStart w:id="78"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8"/>
    <w:bookmarkStart w:id="80"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w:t>
      </w:r>
      <w:r>
        <w:t xml:space="preserve"> </w:t>
      </w:r>
      <w:hyperlink r:id="rId79">
        <w:r>
          <w:rPr>
            <w:rStyle w:val="Hyperlink"/>
          </w:rPr>
          <w:t xml:space="preserve">https://git.drwater.net/codes/ai2025cyanobacterial.git</w:t>
        </w:r>
      </w:hyperlink>
    </w:p>
    <w:p>
      <w:r>
        <w:br w:type="page"/>
      </w:r>
    </w:p>
    <w:bookmarkEnd w:id="80"/>
    <w:bookmarkStart w:id="243" w:name="references"/>
    <w:p>
      <w:pPr>
        <w:pStyle w:val="Heading1"/>
      </w:pPr>
      <w:r>
        <w:t xml:space="preserve">References</w:t>
      </w:r>
    </w:p>
    <w:bookmarkStart w:id="242" w:name="refs"/>
    <w:bookmarkStart w:id="81" w:name="ref-who2011guidelines"/>
    <w:p>
      <w:pPr>
        <w:pStyle w:val="Bibliography"/>
      </w:pPr>
      <w:r>
        <w:t xml:space="preserve">[1]</w:t>
      </w:r>
      <w:r>
        <w:t xml:space="preserve"> </w:t>
      </w:r>
      <w:r>
        <w:t xml:space="preserve">	</w:t>
      </w: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81"/>
    <w:bookmarkStart w:id="83" w:name="ref-devi2021quantitative"/>
    <w:p>
      <w:pPr>
        <w:pStyle w:val="Bibliography"/>
      </w:pPr>
      <w:r>
        <w:t xml:space="preserve">[2]</w:t>
      </w:r>
      <w:r>
        <w:t xml:space="preserve"> </w:t>
      </w:r>
      <w:r>
        <w:t xml:space="preserve">	</w:t>
      </w: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82">
        <w:r>
          <w:rPr>
            <w:rStyle w:val="Hyperlink"/>
          </w:rPr>
          <w:t xml:space="preserve">https://doi.org/10.1016/j.watres.2020.116478</w:t>
        </w:r>
      </w:hyperlink>
    </w:p>
    <w:bookmarkEnd w:id="83"/>
    <w:bookmarkStart w:id="85" w:name="ref-suurnakki2015identification"/>
    <w:p>
      <w:pPr>
        <w:pStyle w:val="Bibliography"/>
      </w:pPr>
      <w:r>
        <w:t xml:space="preserve">[3]</w:t>
      </w:r>
      <w:r>
        <w:t xml:space="preserve"> </w:t>
      </w:r>
      <w:r>
        <w:t xml:space="preserve">	</w:t>
      </w: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84">
        <w:r>
          <w:rPr>
            <w:rStyle w:val="Hyperlink"/>
          </w:rPr>
          <w:t xml:space="preserve">https://doi.org/10.1016/j.watres.2014.09.037</w:t>
        </w:r>
      </w:hyperlink>
    </w:p>
    <w:bookmarkEnd w:id="85"/>
    <w:bookmarkStart w:id="87" w:name="ref-izaguirre2004a"/>
    <w:p>
      <w:pPr>
        <w:pStyle w:val="Bibliography"/>
      </w:pPr>
      <w:r>
        <w:t xml:space="preserve">[4]</w:t>
      </w:r>
      <w:r>
        <w:t xml:space="preserve"> </w:t>
      </w:r>
      <w:r>
        <w:t xml:space="preserve">	</w:t>
      </w:r>
      <w:r>
        <w:t xml:space="preserve">Izaguirre G, Taylor WD, 2004. A guide to geosmin- and MIB-producing cyanobacteria in the united states. Water Science and Technology 49, 19–24.</w:t>
      </w:r>
      <w:r>
        <w:t xml:space="preserve"> </w:t>
      </w:r>
      <w:hyperlink r:id="rId86">
        <w:r>
          <w:rPr>
            <w:rStyle w:val="Hyperlink"/>
          </w:rPr>
          <w:t xml:space="preserve">https://doi.org/10.2166/wst.2004.0524</w:t>
        </w:r>
      </w:hyperlink>
    </w:p>
    <w:bookmarkEnd w:id="87"/>
    <w:bookmarkStart w:id="89" w:name="ref-wang2023risk"/>
    <w:p>
      <w:pPr>
        <w:pStyle w:val="Bibliography"/>
      </w:pPr>
      <w:r>
        <w:t xml:space="preserve">[5]</w:t>
      </w:r>
      <w:r>
        <w:t xml:space="preserve"> </w:t>
      </w:r>
      <w:r>
        <w:t xml:space="preserve">	</w:t>
      </w:r>
      <w:r>
        <w:t xml:space="preserve">Wang C, An W, Zhao Y, Dietrich AM, Gallagher DL, Zhang Y, Qian Y, Yu J, Yang M, 2023. Risk assessment for 2-MIB odor complaint in drinking water based on zero-inflated log-normal model. ACS ES&amp;T Water 4, 146–154.</w:t>
      </w:r>
      <w:r>
        <w:t xml:space="preserve"> </w:t>
      </w:r>
      <w:hyperlink r:id="rId88">
        <w:r>
          <w:rPr>
            <w:rStyle w:val="Hyperlink"/>
          </w:rPr>
          <w:t xml:space="preserve">https://doi.org/10.1021/acsestwater.3c00477</w:t>
        </w:r>
      </w:hyperlink>
    </w:p>
    <w:bookmarkEnd w:id="89"/>
    <w:bookmarkStart w:id="91" w:name="ref-suffet1999drinking"/>
    <w:p>
      <w:pPr>
        <w:pStyle w:val="Bibliography"/>
      </w:pPr>
      <w:r>
        <w:t xml:space="preserve">[6]</w:t>
      </w:r>
      <w:r>
        <w:t xml:space="preserve"> </w:t>
      </w:r>
      <w:r>
        <w:t xml:space="preserve">	</w:t>
      </w:r>
      <w:r>
        <w:t xml:space="preserve">Suffet Ih (mel), Khiari D, Bruchet A, 1999. The drinking water taste and odor wheel for the millennium: Beyond geosmin and 2-methylisoborneol. Water Science and Technology 40, 1–13.</w:t>
      </w:r>
      <w:r>
        <w:t xml:space="preserve"> </w:t>
      </w:r>
      <w:hyperlink r:id="rId90">
        <w:r>
          <w:rPr>
            <w:rStyle w:val="Hyperlink"/>
          </w:rPr>
          <w:t xml:space="preserve">https://doi.org/10.1016/s0273-1223(99)00531-4</w:t>
        </w:r>
      </w:hyperlink>
    </w:p>
    <w:bookmarkEnd w:id="91"/>
    <w:bookmarkStart w:id="93" w:name="ref-gillogly1999a"/>
    <w:p>
      <w:pPr>
        <w:pStyle w:val="Bibliography"/>
      </w:pPr>
      <w:r>
        <w:t xml:space="preserve">[7]</w:t>
      </w:r>
      <w:r>
        <w:t xml:space="preserve"> </w:t>
      </w:r>
      <w:r>
        <w:t xml:space="preserve">	</w:t>
      </w:r>
      <w:r>
        <w:t xml:space="preserve">Gillogly TET, Snoeyink VL, Newcombe G, Elarde JR, 1999. A simplified method to determine the powdered activated carbon dose required to remove methylisoborneol. Water Science and Technology 40, 59–64.</w:t>
      </w:r>
      <w:r>
        <w:t xml:space="preserve"> </w:t>
      </w:r>
      <w:hyperlink r:id="rId92">
        <w:r>
          <w:rPr>
            <w:rStyle w:val="Hyperlink"/>
          </w:rPr>
          <w:t xml:space="preserve">https://doi.org/10.1016/S0273-1223(99)00538-7</w:t>
        </w:r>
      </w:hyperlink>
    </w:p>
    <w:bookmarkEnd w:id="93"/>
    <w:bookmarkStart w:id="95" w:name="ref-dionigi1991effects"/>
    <w:p>
      <w:pPr>
        <w:pStyle w:val="Bibliography"/>
      </w:pPr>
      <w:r>
        <w:t xml:space="preserve">[8]</w:t>
      </w:r>
      <w:r>
        <w:t xml:space="preserve"> </w:t>
      </w:r>
      <w:r>
        <w:t xml:space="preserve">	</w:t>
      </w:r>
      <w:r>
        <w:t xml:space="preserve">Dionigi CP, Millie DF, Johnsen PB, 1991.</w:t>
      </w:r>
      <w:r>
        <w:t xml:space="preserve"> </w:t>
      </w:r>
      <w:hyperlink r:id="rId94">
        <w:r>
          <w:rPr>
            <w:rStyle w:val="Hyperlink"/>
          </w:rPr>
          <w:t xml:space="preserve">Effects of farnesol and the off-flavor derivative geosmin on</w:t>
        </w:r>
        <w:r>
          <w:rPr>
            <w:rStyle w:val="Hyperlink"/>
          </w:rPr>
          <w:t xml:space="preserve"> </w:t>
        </w:r>
        <w:r>
          <w:rPr>
            <w:rStyle w:val="Hyperlink"/>
            <w:i/>
            <w:iCs/>
          </w:rPr>
          <w:t xml:space="preserve">Streptomyces Tendae</w:t>
        </w:r>
      </w:hyperlink>
      <w:r>
        <w:t xml:space="preserve">. Applied and Environmental Microbiology 57, 3429–3432</w:t>
      </w:r>
    </w:p>
    <w:bookmarkEnd w:id="95"/>
    <w:bookmarkStart w:id="97" w:name="ref-lin2002correlation"/>
    <w:p>
      <w:pPr>
        <w:pStyle w:val="Bibliography"/>
      </w:pPr>
      <w:r>
        <w:t xml:space="preserve">[9]</w:t>
      </w:r>
      <w:r>
        <w:t xml:space="preserve"> </w:t>
      </w:r>
      <w:r>
        <w:t xml:space="preserve">	</w:t>
      </w:r>
      <w:r>
        <w:t xml:space="preserve">Lin T-F, Wong J-Y, Kao H-P, 2002. Correlation of musty odor and 2-</w:t>
      </w:r>
      <w:r>
        <w:t xml:space="preserve">MIB</w:t>
      </w:r>
      <w:r>
        <w:t xml:space="preserve"> </w:t>
      </w:r>
      <w:r>
        <w:t xml:space="preserve">in two drinking water treatment plants in south taiwan. Science of the Total Environment 289, 225–235.</w:t>
      </w:r>
      <w:r>
        <w:t xml:space="preserve"> </w:t>
      </w:r>
      <w:hyperlink r:id="rId96">
        <w:r>
          <w:rPr>
            <w:rStyle w:val="Hyperlink"/>
          </w:rPr>
          <w:t xml:space="preserve">https://doi.org/10.1016/S0048-9697(01)01049-X</w:t>
        </w:r>
      </w:hyperlink>
    </w:p>
    <w:bookmarkEnd w:id="97"/>
    <w:bookmarkStart w:id="99" w:name="ref-li2019variation"/>
    <w:p>
      <w:pPr>
        <w:pStyle w:val="Bibliography"/>
      </w:pPr>
      <w:r>
        <w:t xml:space="preserve">[10]</w:t>
      </w:r>
      <w:r>
        <w:t xml:space="preserve"> </w:t>
      </w:r>
      <w:r>
        <w:t xml:space="preserve">	</w:t>
      </w: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98">
        <w:r>
          <w:rPr>
            <w:rStyle w:val="Hyperlink"/>
          </w:rPr>
          <w:t xml:space="preserve">https://doi.org/10.1016/j.watres.2019.06.066</w:t>
        </w:r>
      </w:hyperlink>
    </w:p>
    <w:bookmarkEnd w:id="99"/>
    <w:bookmarkStart w:id="100" w:name="ref-american2010algae"/>
    <w:p>
      <w:pPr>
        <w:pStyle w:val="Bibliography"/>
      </w:pPr>
      <w:r>
        <w:t xml:space="preserve">[11]</w:t>
      </w:r>
      <w:r>
        <w:t xml:space="preserve"> </w:t>
      </w:r>
      <w:r>
        <w:t xml:space="preserve">	</w:t>
      </w:r>
      <w:r>
        <w:t xml:space="preserve">AWWA AWWA, 2010. Algae: Source to treatment. American Water Works Association</w:t>
      </w:r>
    </w:p>
    <w:bookmarkEnd w:id="100"/>
    <w:bookmarkStart w:id="102" w:name="ref-ceronvivas2022geosmin"/>
    <w:p>
      <w:pPr>
        <w:pStyle w:val="Bibliography"/>
      </w:pPr>
      <w:r>
        <w:t xml:space="preserve">[12]</w:t>
      </w:r>
      <w:r>
        <w:t xml:space="preserve"> </w:t>
      </w:r>
      <w:r>
        <w:t xml:space="preserve">	</w:t>
      </w:r>
      <w:r>
        <w:t xml:space="preserve">Cerón-Vivas A, Villamizar León MP, Cajigas ÁA, 2022. Geosmin and 2-methylisoborneol removal in drinking water treatment. Water Practice and Technology 18, 159–167.</w:t>
      </w:r>
      <w:r>
        <w:t xml:space="preserve"> </w:t>
      </w:r>
      <w:hyperlink r:id="rId101">
        <w:r>
          <w:rPr>
            <w:rStyle w:val="Hyperlink"/>
          </w:rPr>
          <w:t xml:space="preserve">https://doi.org/10.2166/wpt.2022.167</w:t>
        </w:r>
      </w:hyperlink>
    </w:p>
    <w:bookmarkEnd w:id="102"/>
    <w:bookmarkStart w:id="103" w:name="ref-gerber1969a"/>
    <w:p>
      <w:pPr>
        <w:pStyle w:val="Bibliography"/>
      </w:pPr>
      <w:r>
        <w:t xml:space="preserve">[13]</w:t>
      </w:r>
      <w:r>
        <w:t xml:space="preserve"> </w:t>
      </w:r>
      <w:r>
        <w:t xml:space="preserve">	</w:t>
      </w:r>
      <w:r>
        <w:t xml:space="preserve">Gerber NN, 1969. A volatile metabolite of actinomycetes, 2-methylisoborneol. Antibiotics 22, 508–509</w:t>
      </w:r>
    </w:p>
    <w:bookmarkEnd w:id="103"/>
    <w:bookmarkStart w:id="105" w:name="ref-franklin2023potential"/>
    <w:p>
      <w:pPr>
        <w:pStyle w:val="Bibliography"/>
      </w:pPr>
      <w:r>
        <w:t xml:space="preserve">[14]</w:t>
      </w:r>
      <w:r>
        <w:t xml:space="preserve"> </w:t>
      </w:r>
      <w:r>
        <w:t xml:space="preserve">	</w:t>
      </w:r>
      <w:r>
        <w:t xml:space="preserve">Franklin HM, Podduturi R, Jørgensen NOG, Roberts DT, Schlüter L, Burford MA, 2023. Potential sources and producers of 2-methylisoborneol and geosmin in a river supplying a drinking water treatment plant. Chemical Engineering Journal Advances 14, 100455.</w:t>
      </w:r>
      <w:r>
        <w:t xml:space="preserve"> </w:t>
      </w:r>
      <w:hyperlink r:id="rId104">
        <w:r>
          <w:rPr>
            <w:rStyle w:val="Hyperlink"/>
          </w:rPr>
          <w:t xml:space="preserve">https://doi.org/10.1016/j.ceja.2023.100455</w:t>
        </w:r>
      </w:hyperlink>
    </w:p>
    <w:bookmarkEnd w:id="105"/>
    <w:bookmarkStart w:id="107" w:name="ref-tabachek1976isolation"/>
    <w:p>
      <w:pPr>
        <w:pStyle w:val="Bibliography"/>
      </w:pPr>
      <w:r>
        <w:t xml:space="preserve">[15]</w:t>
      </w:r>
      <w:r>
        <w:t xml:space="preserve"> </w:t>
      </w:r>
      <w:r>
        <w:t xml:space="preserve">	</w:t>
      </w: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06">
        <w:r>
          <w:rPr>
            <w:rStyle w:val="Hyperlink"/>
          </w:rPr>
          <w:t xml:space="preserve">https://doi.org/10.1139/f76-004</w:t>
        </w:r>
      </w:hyperlink>
    </w:p>
    <w:bookmarkEnd w:id="107"/>
    <w:bookmarkStart w:id="109" w:name="ref-yamada2014terpene"/>
    <w:p>
      <w:pPr>
        <w:pStyle w:val="Bibliography"/>
      </w:pPr>
      <w:r>
        <w:t xml:space="preserve">[16]</w:t>
      </w:r>
      <w:r>
        <w:t xml:space="preserve"> </w:t>
      </w:r>
      <w:r>
        <w:t xml:space="preserve">	</w:t>
      </w:r>
      <w:r>
        <w:t xml:space="preserve">Yamada Y, Kuzuyama T, Komatsu M, Shin-ya K, Omura S, Cane DE, Ikeda H, 2014. Terpene synthases are widely distributed in bacteria. Proceedings of the National Academy of Sciences 112, 857–862.</w:t>
      </w:r>
      <w:r>
        <w:t xml:space="preserve"> </w:t>
      </w:r>
      <w:hyperlink r:id="rId108">
        <w:r>
          <w:rPr>
            <w:rStyle w:val="Hyperlink"/>
          </w:rPr>
          <w:t xml:space="preserve">https://doi.org/10.1073/pnas.1422108112</w:t>
        </w:r>
      </w:hyperlink>
    </w:p>
    <w:bookmarkEnd w:id="109"/>
    <w:bookmarkStart w:id="111" w:name="ref-dickschat2007biosynthesis"/>
    <w:p>
      <w:pPr>
        <w:pStyle w:val="Bibliography"/>
      </w:pPr>
      <w:r>
        <w:t xml:space="preserve">[17]</w:t>
      </w:r>
      <w:r>
        <w:t xml:space="preserve"> </w:t>
      </w:r>
      <w:r>
        <w:t xml:space="preserve">	</w:t>
      </w: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110">
        <w:r>
          <w:rPr>
            <w:rStyle w:val="Hyperlink"/>
          </w:rPr>
          <w:t xml:space="preserve">https://doi.org/10.1002/anie.200702496</w:t>
        </w:r>
      </w:hyperlink>
    </w:p>
    <w:bookmarkEnd w:id="111"/>
    <w:bookmarkStart w:id="113" w:name="ref-su2021ecological"/>
    <w:p>
      <w:pPr>
        <w:pStyle w:val="Bibliography"/>
      </w:pPr>
      <w:r>
        <w:t xml:space="preserve">[18]</w:t>
      </w:r>
      <w:r>
        <w:t xml:space="preserve"> </w:t>
      </w:r>
      <w:r>
        <w:t xml:space="preserve">	</w:t>
      </w: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12">
        <w:r>
          <w:rPr>
            <w:rStyle w:val="Hyperlink"/>
          </w:rPr>
          <w:t xml:space="preserve">https://doi.org/10.1016/j.jes.2021.03.026</w:t>
        </w:r>
      </w:hyperlink>
    </w:p>
    <w:bookmarkEnd w:id="113"/>
    <w:bookmarkStart w:id="115" w:name="ref-su2015mib"/>
    <w:p>
      <w:pPr>
        <w:pStyle w:val="Bibliography"/>
      </w:pPr>
      <w:r>
        <w:t xml:space="preserve">[19]</w:t>
      </w:r>
      <w:r>
        <w:t xml:space="preserve"> </w:t>
      </w:r>
      <w:r>
        <w:t xml:space="preserve">	</w:t>
      </w: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14">
        <w:r>
          <w:rPr>
            <w:rStyle w:val="Hyperlink"/>
          </w:rPr>
          <w:t xml:space="preserve">https://doi.org/10.1016/j.watres.2014.09.038</w:t>
        </w:r>
      </w:hyperlink>
    </w:p>
    <w:bookmarkEnd w:id="115"/>
    <w:bookmarkStart w:id="117" w:name="ref-lu2023mibderived"/>
    <w:p>
      <w:pPr>
        <w:pStyle w:val="Bibliography"/>
      </w:pPr>
      <w:r>
        <w:t xml:space="preserve">[20]</w:t>
      </w:r>
      <w:r>
        <w:t xml:space="preserve"> </w:t>
      </w:r>
      <w:r>
        <w:t xml:space="preserve">	</w:t>
      </w: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16">
        <w:r>
          <w:rPr>
            <w:rStyle w:val="Hyperlink"/>
          </w:rPr>
          <w:t xml:space="preserve">https://doi.org/10.1016/j.watres.2023.120485</w:t>
        </w:r>
      </w:hyperlink>
    </w:p>
    <w:bookmarkEnd w:id="117"/>
    <w:bookmarkStart w:id="119" w:name="ref-izaguirre2007benthic"/>
    <w:p>
      <w:pPr>
        <w:pStyle w:val="Bibliography"/>
      </w:pPr>
      <w:r>
        <w:t xml:space="preserve">[21]</w:t>
      </w:r>
      <w:r>
        <w:t xml:space="preserve"> </w:t>
      </w:r>
      <w:r>
        <w:t xml:space="preserve">	</w:t>
      </w: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118">
        <w:r>
          <w:rPr>
            <w:rStyle w:val="Hyperlink"/>
          </w:rPr>
          <w:t xml:space="preserve">https://doi.org/10.1016/j.watres.2006.10.012</w:t>
        </w:r>
      </w:hyperlink>
    </w:p>
    <w:bookmarkEnd w:id="119"/>
    <w:bookmarkStart w:id="121" w:name="ref-vanderploeg1995biology"/>
    <w:p>
      <w:pPr>
        <w:pStyle w:val="Bibliography"/>
      </w:pPr>
      <w:r>
        <w:t xml:space="preserve">[22]</w:t>
      </w:r>
      <w:r>
        <w:t xml:space="preserve"> </w:t>
      </w:r>
      <w:r>
        <w:t xml:space="preserve">	</w:t>
      </w: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20">
        <w:r>
          <w:rPr>
            <w:rStyle w:val="Hyperlink"/>
          </w:rPr>
          <w:t xml:space="preserve">https://doi.org/10.1016/0273-1223(95)00473-Z</w:t>
        </w:r>
      </w:hyperlink>
    </w:p>
    <w:bookmarkEnd w:id="121"/>
    <w:bookmarkStart w:id="123" w:name="ref-juttner2007biochemical"/>
    <w:p>
      <w:pPr>
        <w:pStyle w:val="Bibliography"/>
      </w:pPr>
      <w:r>
        <w:t xml:space="preserve">[23]</w:t>
      </w:r>
      <w:r>
        <w:t xml:space="preserve"> </w:t>
      </w:r>
      <w:r>
        <w:t xml:space="preserve">	</w:t>
      </w:r>
      <w:r>
        <w:t xml:space="preserve">Jüttner F, Watson SB, 2007. Biochemical and ecological control of geosmin and 2-methylisoborneol in source waters. Applied and Environmental Microbiology 73, 4395–4406.</w:t>
      </w:r>
      <w:r>
        <w:t xml:space="preserve"> </w:t>
      </w:r>
      <w:hyperlink r:id="rId122">
        <w:r>
          <w:rPr>
            <w:rStyle w:val="Hyperlink"/>
          </w:rPr>
          <w:t xml:space="preserve">https://doi.org/10.1128/aem.02250-06</w:t>
        </w:r>
      </w:hyperlink>
    </w:p>
    <w:bookmarkEnd w:id="123"/>
    <w:bookmarkStart w:id="125" w:name="ref-su2014spatial"/>
    <w:p>
      <w:pPr>
        <w:pStyle w:val="Bibliography"/>
      </w:pPr>
      <w:r>
        <w:t xml:space="preserve">[24]</w:t>
      </w:r>
      <w:r>
        <w:t xml:space="preserve"> </w:t>
      </w:r>
      <w:r>
        <w:t xml:space="preserve">	</w:t>
      </w:r>
      <w:r>
        <w:t xml:space="preserve">Su M, Yu J, Pan S, An W, Yang M, 2014. Spatial and temporal variations of two cyanobacteria in the mesotrophic</w:t>
      </w:r>
      <w:r>
        <w:t xml:space="preserve"> </w:t>
      </w:r>
      <w:r>
        <w:t xml:space="preserve">Miyun Reservoir</w:t>
      </w:r>
      <w:r>
        <w:t xml:space="preserve">,</w:t>
      </w:r>
      <w:r>
        <w:t xml:space="preserve"> </w:t>
      </w:r>
      <w:r>
        <w:t xml:space="preserve">China</w:t>
      </w:r>
      <w:r>
        <w:t xml:space="preserve">. Journal of Environmental Sciences 26, 289–298.</w:t>
      </w:r>
      <w:r>
        <w:t xml:space="preserve"> </w:t>
      </w:r>
      <w:hyperlink r:id="rId124">
        <w:r>
          <w:rPr>
            <w:rStyle w:val="Hyperlink"/>
          </w:rPr>
          <w:t xml:space="preserve">https://doi.org/10.1016/s1001-0742(13)60433-7</w:t>
        </w:r>
      </w:hyperlink>
    </w:p>
    <w:bookmarkEnd w:id="125"/>
    <w:bookmarkStart w:id="127" w:name="ref-lu2022driving"/>
    <w:p>
      <w:pPr>
        <w:pStyle w:val="Bibliography"/>
      </w:pPr>
      <w:r>
        <w:t xml:space="preserve">[25]</w:t>
      </w:r>
      <w:r>
        <w:t xml:space="preserve"> </w:t>
      </w:r>
      <w:r>
        <w:t xml:space="preserve">	</w:t>
      </w: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26">
        <w:r>
          <w:rPr>
            <w:rStyle w:val="Hyperlink"/>
          </w:rPr>
          <w:t xml:space="preserve">https://doi.org/10.1016/j.watres.2022.118670</w:t>
        </w:r>
      </w:hyperlink>
    </w:p>
    <w:bookmarkEnd w:id="127"/>
    <w:bookmarkStart w:id="129" w:name="ref-zhang2009effects"/>
    <w:p>
      <w:pPr>
        <w:pStyle w:val="Bibliography"/>
      </w:pPr>
      <w:r>
        <w:t xml:space="preserve">[26]</w:t>
      </w:r>
      <w:r>
        <w:t xml:space="preserve"> </w:t>
      </w:r>
      <w:r>
        <w:t xml:space="preserve">	</w:t>
      </w: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128">
        <w:r>
          <w:rPr>
            <w:rStyle w:val="Hyperlink"/>
          </w:rPr>
          <w:t xml:space="preserve">https://doi.org/10.1007/s10811-008-9363-z</w:t>
        </w:r>
      </w:hyperlink>
    </w:p>
    <w:bookmarkEnd w:id="129"/>
    <w:bookmarkStart w:id="131" w:name="ref-cao2023early"/>
    <w:p>
      <w:pPr>
        <w:pStyle w:val="Bibliography"/>
      </w:pPr>
      <w:r>
        <w:t xml:space="preserve">[27]</w:t>
      </w:r>
      <w:r>
        <w:t xml:space="preserve"> </w:t>
      </w:r>
      <w:r>
        <w:t xml:space="preserve">	</w:t>
      </w:r>
      <w:r>
        <w:t xml:space="preserve">Cao T, Fang J, Jia Z, Zhu Y, Su M, Zhang Q, Song Y, Yu J, Yang M, 2023. Early warning of MIB episode based on gene abundance and expression in drinking water reservoirs. Water Research 231, 119667. https://doi.org/</w:t>
      </w:r>
      <w:hyperlink r:id="rId130">
        <w:r>
          <w:rPr>
            <w:rStyle w:val="Hyperlink"/>
          </w:rPr>
          <w:t xml:space="preserve">https://doi.org/10.1016/j.watres.2023.119667</w:t>
        </w:r>
      </w:hyperlink>
    </w:p>
    <w:bookmarkEnd w:id="131"/>
    <w:bookmarkStart w:id="133" w:name="ref-clercin2019influence"/>
    <w:p>
      <w:pPr>
        <w:pStyle w:val="Bibliography"/>
      </w:pPr>
      <w:r>
        <w:t xml:space="preserve">[28]</w:t>
      </w:r>
      <w:r>
        <w:t xml:space="preserve"> </w:t>
      </w:r>
      <w:r>
        <w:t xml:space="preserve">	</w:t>
      </w:r>
      <w:r>
        <w:t xml:space="preserve">Clercin NA, Druschel GK, 2019. Influence of environmental factors on the production of MIB and geosmin metabolites by bacteria in a eutrophic reservoir. Water Resources Research 55, 5413–5430.</w:t>
      </w:r>
      <w:r>
        <w:t xml:space="preserve"> </w:t>
      </w:r>
      <w:hyperlink r:id="rId132">
        <w:r>
          <w:rPr>
            <w:rStyle w:val="Hyperlink"/>
          </w:rPr>
          <w:t xml:space="preserve">https://doi.org/10.1029/2018wr023651</w:t>
        </w:r>
      </w:hyperlink>
    </w:p>
    <w:bookmarkEnd w:id="133"/>
    <w:bookmarkStart w:id="134" w:name="ref-bentley1981geosmin"/>
    <w:p>
      <w:pPr>
        <w:pStyle w:val="Bibliography"/>
      </w:pPr>
      <w:r>
        <w:t xml:space="preserve">[29]</w:t>
      </w:r>
      <w:r>
        <w:t xml:space="preserve"> </w:t>
      </w:r>
      <w:r>
        <w:t xml:space="preserve">	</w:t>
      </w:r>
      <w:r>
        <w:t xml:space="preserve">Bentley R, Meganathan R, 1981. Geosmin and methylisoborneol biosynthesis in streptomycetes. Evidence for an isoprenoid pathway and its absence in non-differentiating isolates. FEBS Letters 125, 220</w:t>
      </w:r>
    </w:p>
    <w:bookmarkEnd w:id="134"/>
    <w:bookmarkStart w:id="136" w:name="ref-wu1988differential"/>
    <w:p>
      <w:pPr>
        <w:pStyle w:val="Bibliography"/>
      </w:pPr>
      <w:r>
        <w:t xml:space="preserve">[30]</w:t>
      </w:r>
      <w:r>
        <w:t xml:space="preserve"> </w:t>
      </w:r>
      <w:r>
        <w:t xml:space="preserve">	</w:t>
      </w: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35">
        <w:r>
          <w:rPr>
            <w:rStyle w:val="Hyperlink"/>
          </w:rPr>
          <w:t xml:space="preserve">https://doi.org/10.1007/bf00408253</w:t>
        </w:r>
      </w:hyperlink>
    </w:p>
    <w:bookmarkEnd w:id="136"/>
    <w:bookmarkStart w:id="138" w:name="ref-rashash1995influence"/>
    <w:p>
      <w:pPr>
        <w:pStyle w:val="Bibliography"/>
      </w:pPr>
      <w:r>
        <w:t xml:space="preserve">[31]</w:t>
      </w:r>
      <w:r>
        <w:t xml:space="preserve"> </w:t>
      </w:r>
      <w:r>
        <w:t xml:space="preserve">	</w:t>
      </w:r>
      <w:r>
        <w:t xml:space="preserve">Rashash DmC, Dietrich Am, Hoehn Rc, Parker Bc, 1995. The influence of growth conditions on odor-compound production by two chrysophytes and two cyanobacteria. Water Science and Technology 31, 165–172.</w:t>
      </w:r>
      <w:r>
        <w:t xml:space="preserve"> </w:t>
      </w:r>
      <w:hyperlink r:id="rId137">
        <w:r>
          <w:rPr>
            <w:rStyle w:val="Hyperlink"/>
          </w:rPr>
          <w:t xml:space="preserve">https://doi.org/10.1016/0273-1223(95)00472-y</w:t>
        </w:r>
      </w:hyperlink>
    </w:p>
    <w:bookmarkEnd w:id="138"/>
    <w:bookmarkStart w:id="140" w:name="ref-zhang2016methylisoborneol"/>
    <w:p>
      <w:pPr>
        <w:pStyle w:val="Bibliography"/>
      </w:pPr>
      <w:r>
        <w:t xml:space="preserve">[32]</w:t>
      </w:r>
      <w:r>
        <w:t xml:space="preserve"> </w:t>
      </w:r>
      <w:r>
        <w:t xml:space="preserve">	</w:t>
      </w: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139">
        <w:r>
          <w:rPr>
            <w:rStyle w:val="Hyperlink"/>
          </w:rPr>
          <w:t xml:space="preserve">https://doi.org/10.1007/s10811-016-0864-x</w:t>
        </w:r>
      </w:hyperlink>
    </w:p>
    <w:bookmarkEnd w:id="140"/>
    <w:bookmarkStart w:id="142" w:name="ref-cook2001the"/>
    <w:p>
      <w:pPr>
        <w:pStyle w:val="Bibliography"/>
      </w:pPr>
      <w:r>
        <w:t xml:space="preserve">[33]</w:t>
      </w:r>
      <w:r>
        <w:t xml:space="preserve"> </w:t>
      </w:r>
      <w:r>
        <w:t xml:space="preserve">	</w:t>
      </w:r>
      <w:r>
        <w:t xml:space="preserve">Cook D, Newcombe G, Sztajnbok P, 2001.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 Water Research 35, 1325–1333.</w:t>
      </w:r>
      <w:r>
        <w:t xml:space="preserve"> </w:t>
      </w:r>
      <w:hyperlink r:id="rId141">
        <w:r>
          <w:rPr>
            <w:rStyle w:val="Hyperlink"/>
          </w:rPr>
          <w:t xml:space="preserve">https://doi.org/10.1016/S0043-1354(00)00363-8</w:t>
        </w:r>
      </w:hyperlink>
    </w:p>
    <w:bookmarkEnd w:id="142"/>
    <w:bookmarkStart w:id="144" w:name="ref-li2018kinetics"/>
    <w:p>
      <w:pPr>
        <w:pStyle w:val="Bibliography"/>
      </w:pPr>
      <w:r>
        <w:t xml:space="preserve">[34]</w:t>
      </w:r>
      <w:r>
        <w:t xml:space="preserve"> </w:t>
      </w:r>
      <w:r>
        <w:t xml:space="preserve">	</w:t>
      </w:r>
      <w:r>
        <w:t xml:space="preserve">Li L, Zhu C, Xie C, Shao C, Yu S, Zhao L, Gao N, 2018. Kinetics and mechanism of</w:t>
      </w:r>
      <w:r>
        <w:t xml:space="preserve"> </w:t>
      </w:r>
      <w:r>
        <w:rPr>
          <w:i/>
          <w:iCs/>
        </w:rPr>
        <w:t xml:space="preserve">Pseudoanabaena</w:t>
      </w:r>
      <w:r>
        <w:t xml:space="preserve"> </w:t>
      </w:r>
      <w:r>
        <w:t xml:space="preserve">cell inactivation, 2-</w:t>
      </w:r>
      <w:r>
        <w:t xml:space="preserve">MIB</w:t>
      </w:r>
      <w:r>
        <w:t xml:space="preserve"> </w:t>
      </w:r>
      <w:r>
        <w:t xml:space="preserve">release and degradation under exposure of ozone, chlorine and permanganate. Water Research 147, 422–428.</w:t>
      </w:r>
      <w:r>
        <w:t xml:space="preserve"> </w:t>
      </w:r>
      <w:hyperlink r:id="rId143">
        <w:r>
          <w:rPr>
            <w:rStyle w:val="Hyperlink"/>
          </w:rPr>
          <w:t xml:space="preserve">https://doi.org/10.1016/j.watres.2018.10.023</w:t>
        </w:r>
      </w:hyperlink>
    </w:p>
    <w:bookmarkEnd w:id="144"/>
    <w:bookmarkStart w:id="146" w:name="ref-pan2022desorption"/>
    <w:p>
      <w:pPr>
        <w:pStyle w:val="Bibliography"/>
      </w:pPr>
      <w:r>
        <w:t xml:space="preserve">[35]</w:t>
      </w:r>
      <w:r>
        <w:t xml:space="preserve"> </w:t>
      </w:r>
      <w:r>
        <w:t xml:space="preserve">	</w:t>
      </w:r>
      <w:r>
        <w:t xml:space="preserve">Pan L, Nakayama A, Matsui Y, Matsushita T, Shirasaki N, 2022. Desorption of micropollutant from superfine and normal powdered activated carbon in submerged-membrane system due to influent concentration change in the presence of natural organic matter: Experiments and two-component branched-pore kinetic model. Water Research 208, 117872.</w:t>
      </w:r>
      <w:r>
        <w:t xml:space="preserve"> </w:t>
      </w:r>
      <w:hyperlink r:id="rId145">
        <w:r>
          <w:rPr>
            <w:rStyle w:val="Hyperlink"/>
          </w:rPr>
          <w:t xml:space="preserve">https://doi.org/10.1016/j.watres.2021.117872</w:t>
        </w:r>
      </w:hyperlink>
    </w:p>
    <w:bookmarkEnd w:id="146"/>
    <w:bookmarkStart w:id="148" w:name="ref-mustapha2021a"/>
    <w:p>
      <w:pPr>
        <w:pStyle w:val="Bibliography"/>
      </w:pPr>
      <w:r>
        <w:t xml:space="preserve">[36]</w:t>
      </w:r>
      <w:r>
        <w:t xml:space="preserve"> </w:t>
      </w:r>
      <w:r>
        <w:t xml:space="preserve">	</w:t>
      </w:r>
      <w:r>
        <w:t xml:space="preserve">Mustapha S, Tijani JO, Ndamitso M, Abdulkareem AS, Shuaib DT, Mohammed AK, 2021. A critical review on geosmin and 2-methylisoborneol in water: Sources , effects, detection, and removal techniques. Environmental Monitoring and Assessment 193.</w:t>
      </w:r>
      <w:r>
        <w:t xml:space="preserve"> </w:t>
      </w:r>
      <w:hyperlink r:id="rId147">
        <w:r>
          <w:rPr>
            <w:rStyle w:val="Hyperlink"/>
          </w:rPr>
          <w:t xml:space="preserve">https://doi.org/10.1007/s10661-021-08980-9</w:t>
        </w:r>
      </w:hyperlink>
    </w:p>
    <w:bookmarkEnd w:id="148"/>
    <w:bookmarkStart w:id="150" w:name="ref-wang2024production"/>
    <w:p>
      <w:pPr>
        <w:pStyle w:val="Bibliography"/>
      </w:pPr>
      <w:r>
        <w:t xml:space="preserve">[37]</w:t>
      </w:r>
      <w:r>
        <w:t xml:space="preserve"> </w:t>
      </w:r>
      <w:r>
        <w:t xml:space="preserve">	</w:t>
      </w: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49">
        <w:r>
          <w:rPr>
            <w:rStyle w:val="Hyperlink"/>
          </w:rPr>
          <w:t xml:space="preserve">https://doi.org/10.1016/j.ecoenv.2024.116198</w:t>
        </w:r>
      </w:hyperlink>
    </w:p>
    <w:bookmarkEnd w:id="150"/>
    <w:bookmarkStart w:id="152" w:name="ref-oh2017effects"/>
    <w:p>
      <w:pPr>
        <w:pStyle w:val="Bibliography"/>
      </w:pPr>
      <w:r>
        <w:t xml:space="preserve">[38]</w:t>
      </w:r>
      <w:r>
        <w:t xml:space="preserve"> </w:t>
      </w:r>
      <w:r>
        <w:t xml:space="preserve">	</w:t>
      </w: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51">
        <w:r>
          <w:rPr>
            <w:rStyle w:val="Hyperlink"/>
          </w:rPr>
          <w:t xml:space="preserve">https://doi.org/10.4014/jmb.1702.02069</w:t>
        </w:r>
      </w:hyperlink>
    </w:p>
    <w:bookmarkEnd w:id="152"/>
    <w:bookmarkStart w:id="154" w:name="ref-alghanmi2018effect"/>
    <w:p>
      <w:pPr>
        <w:pStyle w:val="Bibliography"/>
      </w:pPr>
      <w:r>
        <w:t xml:space="preserve">[39]</w:t>
      </w:r>
      <w:r>
        <w:t xml:space="preserve"> </w:t>
      </w:r>
      <w:r>
        <w:t xml:space="preserve">	</w:t>
      </w:r>
      <w:r>
        <w:t xml:space="preserve">Alghanmi HA, Alkam FM, AL-Taee MM, 2018. Effect of light and temperature on new cyanobacteria producers for geosmin and 2-methylisoborneol. Journal of Applied Phycology 30, 319–328.</w:t>
      </w:r>
      <w:r>
        <w:t xml:space="preserve"> </w:t>
      </w:r>
      <w:hyperlink r:id="rId153">
        <w:r>
          <w:rPr>
            <w:rStyle w:val="Hyperlink"/>
          </w:rPr>
          <w:t xml:space="preserve">https://doi.org/10.1007/s10811-017-1233-0</w:t>
        </w:r>
      </w:hyperlink>
    </w:p>
    <w:bookmarkEnd w:id="154"/>
    <w:bookmarkStart w:id="156" w:name="ref-giglio2011biosynthesis"/>
    <w:p>
      <w:pPr>
        <w:pStyle w:val="Bibliography"/>
      </w:pPr>
      <w:r>
        <w:t xml:space="preserve">[40]</w:t>
      </w:r>
      <w:r>
        <w:t xml:space="preserve"> </w:t>
      </w:r>
      <w:r>
        <w:t xml:space="preserve">	</w:t>
      </w:r>
      <w:r>
        <w:t xml:space="preserve">Giglio S, Chou WKW, Ikeda H, Cane DE, Monis PT, 2011. Biosynthesis of 2-methylisoborneol in cyanobacteria. Environmental Science &amp; Technology 45, 992–998.</w:t>
      </w:r>
      <w:r>
        <w:t xml:space="preserve"> </w:t>
      </w:r>
      <w:hyperlink r:id="rId155">
        <w:r>
          <w:rPr>
            <w:rStyle w:val="Hyperlink"/>
          </w:rPr>
          <w:t xml:space="preserve">https://doi.org/10.1021/es102992p</w:t>
        </w:r>
      </w:hyperlink>
    </w:p>
    <w:bookmarkEnd w:id="156"/>
    <w:bookmarkStart w:id="158" w:name="ref-wang2011genes"/>
    <w:p>
      <w:pPr>
        <w:pStyle w:val="Bibliography"/>
      </w:pPr>
      <w:r>
        <w:t xml:space="preserve">[41]</w:t>
      </w:r>
      <w:r>
        <w:t xml:space="preserve"> </w:t>
      </w:r>
      <w:r>
        <w:t xml:space="preserve">	</w:t>
      </w:r>
      <w:r>
        <w:t xml:space="preserve">Wang Z, Xu Y, Shao J, Wang J, Li R, 2011. Genes associated with 2-methylisoborneol biosynthesis in cyanobacteria: Isolation, characterization, and expression in response to light. Plos One 6, E18665.</w:t>
      </w:r>
      <w:r>
        <w:t xml:space="preserve"> </w:t>
      </w:r>
      <w:hyperlink r:id="rId157">
        <w:r>
          <w:rPr>
            <w:rStyle w:val="Hyperlink"/>
          </w:rPr>
          <w:t xml:space="preserve">https://doi.org/10.1371/journal.pone.0018665</w:t>
        </w:r>
      </w:hyperlink>
    </w:p>
    <w:bookmarkEnd w:id="158"/>
    <w:bookmarkStart w:id="160" w:name="ref-komatsu2008identification"/>
    <w:p>
      <w:pPr>
        <w:pStyle w:val="Bibliography"/>
      </w:pPr>
      <w:r>
        <w:t xml:space="preserve">[42]</w:t>
      </w:r>
      <w:r>
        <w:t xml:space="preserve"> </w:t>
      </w:r>
      <w:r>
        <w:t xml:space="preserve">	</w:t>
      </w:r>
      <w:r>
        <w:t xml:space="preserve">Komatsu M, Tsuda M, omura S, Oikawa H, Ikeda H, 2008. Identification and functional analysis of genes controlling biosynthesis of 2-methylisoborneol. Proceedings of the National Academy of Sciences 105, 7422–7427.</w:t>
      </w:r>
      <w:r>
        <w:t xml:space="preserve"> </w:t>
      </w:r>
      <w:hyperlink r:id="rId159">
        <w:r>
          <w:rPr>
            <w:rStyle w:val="Hyperlink"/>
          </w:rPr>
          <w:t xml:space="preserve">https://doi.org/10.1073/pnas.0802312105</w:t>
        </w:r>
      </w:hyperlink>
    </w:p>
    <w:bookmarkEnd w:id="160"/>
    <w:bookmarkStart w:id="162" w:name="ref-andreas2024the"/>
    <w:p>
      <w:pPr>
        <w:pStyle w:val="Bibliography"/>
      </w:pPr>
      <w:r>
        <w:t xml:space="preserve">[43]</w:t>
      </w:r>
      <w:r>
        <w:t xml:space="preserve"> </w:t>
      </w:r>
      <w:r>
        <w:t xml:space="preserve">	</w:t>
      </w:r>
      <w:r>
        <w:t xml:space="preserve">Andreas MP, Giessen TW, 2024. The biosynthesis of the odorant 2-methylisoborneol is compartmentalized inside a protein shell. Nature Communications 15.</w:t>
      </w:r>
      <w:r>
        <w:t xml:space="preserve"> </w:t>
      </w:r>
      <w:hyperlink r:id="rId161">
        <w:r>
          <w:rPr>
            <w:rStyle w:val="Hyperlink"/>
          </w:rPr>
          <w:t xml:space="preserve">https://doi.org/10.1038/s41467-024-54175-4</w:t>
        </w:r>
      </w:hyperlink>
    </w:p>
    <w:bookmarkEnd w:id="162"/>
    <w:bookmarkStart w:id="164" w:name="ref-jia2019light"/>
    <w:p>
      <w:pPr>
        <w:pStyle w:val="Bibliography"/>
      </w:pPr>
      <w:r>
        <w:t xml:space="preserve">[44]</w:t>
      </w:r>
      <w:r>
        <w:t xml:space="preserve"> </w:t>
      </w:r>
      <w:r>
        <w:t xml:space="preserve">	</w:t>
      </w: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63">
        <w:r>
          <w:rPr>
            <w:rStyle w:val="Hyperlink"/>
          </w:rPr>
          <w:t xml:space="preserve">https://doi.org/10.1016/j.hal.2019.101658</w:t>
        </w:r>
      </w:hyperlink>
    </w:p>
    <w:bookmarkEnd w:id="164"/>
    <w:bookmarkStart w:id="166" w:name="ref-wang2015effects"/>
    <w:p>
      <w:pPr>
        <w:pStyle w:val="Bibliography"/>
      </w:pPr>
      <w:r>
        <w:t xml:space="preserve">[45]</w:t>
      </w:r>
      <w:r>
        <w:t xml:space="preserve"> </w:t>
      </w:r>
      <w:r>
        <w:t xml:space="preserve">	</w:t>
      </w: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65">
        <w:r>
          <w:rPr>
            <w:rStyle w:val="Hyperlink"/>
          </w:rPr>
          <w:t xml:space="preserve">https://doi.org/10.1016/j.bse.2014.12.013</w:t>
        </w:r>
      </w:hyperlink>
    </w:p>
    <w:bookmarkEnd w:id="166"/>
    <w:bookmarkStart w:id="168" w:name="ref-zimba1999evaluating"/>
    <w:p>
      <w:pPr>
        <w:pStyle w:val="Bibliography"/>
      </w:pPr>
      <w:r>
        <w:t xml:space="preserve">[46]</w:t>
      </w:r>
      <w:r>
        <w:t xml:space="preserve"> </w:t>
      </w:r>
      <w:r>
        <w:t xml:space="preserve">	</w:t>
      </w:r>
      <w:r>
        <w:t xml:space="preserve">Zimba PV, Dionigi CP, Millie DF, 1999. Evaluating the relationship between photopigment synthesis and 2-methylisoborneol accumulation in cyanobacteria. Journal of Phycology 35, 1422–1429.</w:t>
      </w:r>
      <w:r>
        <w:t xml:space="preserve"> </w:t>
      </w:r>
      <w:hyperlink r:id="rId167">
        <w:r>
          <w:rPr>
            <w:rStyle w:val="Hyperlink"/>
          </w:rPr>
          <w:t xml:space="preserve">https://doi.org/10.1046/j.1529-8817.1999.3561422.x</w:t>
        </w:r>
      </w:hyperlink>
    </w:p>
    <w:bookmarkEnd w:id="168"/>
    <w:bookmarkStart w:id="170" w:name="ref-eisenhoffer2013bringing"/>
    <w:p>
      <w:pPr>
        <w:pStyle w:val="Bibliography"/>
      </w:pPr>
      <w:r>
        <w:t xml:space="preserve">[47]</w:t>
      </w:r>
      <w:r>
        <w:t xml:space="preserve"> </w:t>
      </w:r>
      <w:r>
        <w:t xml:space="preserve">	</w:t>
      </w:r>
      <w:r>
        <w:t xml:space="preserve">Eisenhoffer GT, Rosenblatt J, 2013. Bringing balance by force: Live cell extrusion controls epithelial cell numbers. Trends in Cell Biology 23, 185–192.</w:t>
      </w:r>
      <w:r>
        <w:t xml:space="preserve"> </w:t>
      </w:r>
      <w:hyperlink r:id="rId169">
        <w:r>
          <w:rPr>
            <w:rStyle w:val="Hyperlink"/>
          </w:rPr>
          <w:t xml:space="preserve">https://doi.org/10.1016/j.tcb.2012.11.006</w:t>
        </w:r>
      </w:hyperlink>
    </w:p>
    <w:bookmarkEnd w:id="170"/>
    <w:bookmarkStart w:id="172" w:name="ref-bermudez2024cell"/>
    <w:p>
      <w:pPr>
        <w:pStyle w:val="Bibliography"/>
      </w:pPr>
      <w:r>
        <w:t xml:space="preserve">[48]</w:t>
      </w:r>
      <w:r>
        <w:t xml:space="preserve"> </w:t>
      </w:r>
      <w:r>
        <w:t xml:space="preserve">	</w:t>
      </w:r>
      <w:r>
        <w:t xml:space="preserve">Bermudez AG, Latham Z, Hu J, Lin N, 2024. Cell crowding-induced geometric constraint regulates chromatin organizations. Biophysical Journal 123, 407a.</w:t>
      </w:r>
      <w:r>
        <w:t xml:space="preserve"> </w:t>
      </w:r>
      <w:hyperlink r:id="rId171">
        <w:r>
          <w:rPr>
            <w:rStyle w:val="Hyperlink"/>
          </w:rPr>
          <w:t xml:space="preserve">https://doi.org/10.1016/j.bpj.2023.11.2493</w:t>
        </w:r>
      </w:hyperlink>
    </w:p>
    <w:bookmarkEnd w:id="172"/>
    <w:bookmarkStart w:id="174" w:name="ref-yang2024etv4"/>
    <w:p>
      <w:pPr>
        <w:pStyle w:val="Bibliography"/>
      </w:pPr>
      <w:r>
        <w:t xml:space="preserve">[49]</w:t>
      </w:r>
      <w:r>
        <w:t xml:space="preserve"> </w:t>
      </w:r>
      <w:r>
        <w:t xml:space="preserve">	</w:t>
      </w:r>
      <w:r>
        <w:t xml:space="preserve">Yang S, Golkaram M, Oh S, Oh Y, Cho Y, Yoe J, Ju S, Lalli MA, Park S-Y, Lee Y, Jang J, 2024. ETV4 is a mechanical transducer linking cell crowding dynamics to lineage specification. Nature Cell Biology 26, 903–916.</w:t>
      </w:r>
      <w:r>
        <w:t xml:space="preserve"> </w:t>
      </w:r>
      <w:hyperlink r:id="rId173">
        <w:r>
          <w:rPr>
            <w:rStyle w:val="Hyperlink"/>
          </w:rPr>
          <w:t xml:space="preserve">https://doi.org/10.1038/s41556-024-01415-w</w:t>
        </w:r>
      </w:hyperlink>
    </w:p>
    <w:bookmarkEnd w:id="174"/>
    <w:bookmarkStart w:id="176" w:name="ref-lawsonkeister2021jamming"/>
    <w:p>
      <w:pPr>
        <w:pStyle w:val="Bibliography"/>
      </w:pPr>
      <w:r>
        <w:t xml:space="preserve">[50]</w:t>
      </w:r>
      <w:r>
        <w:t xml:space="preserve"> </w:t>
      </w:r>
      <w:r>
        <w:t xml:space="preserve">	</w:t>
      </w:r>
      <w:r>
        <w:t xml:space="preserve">Lawson-Keister E, Manning ML, 2021. Jamming and arrest of cell motion in biological tissues. Current Opinion in Cell Biology 72, 146–155.</w:t>
      </w:r>
      <w:r>
        <w:t xml:space="preserve"> </w:t>
      </w:r>
      <w:hyperlink r:id="rId175">
        <w:r>
          <w:rPr>
            <w:rStyle w:val="Hyperlink"/>
          </w:rPr>
          <w:t xml:space="preserve">https://doi.org/10.1016/j.ceb.2021.07.011</w:t>
        </w:r>
      </w:hyperlink>
    </w:p>
    <w:bookmarkEnd w:id="176"/>
    <w:bookmarkStart w:id="178" w:name="ref-drewinko1984cultured"/>
    <w:p>
      <w:pPr>
        <w:pStyle w:val="Bibliography"/>
      </w:pPr>
      <w:r>
        <w:t xml:space="preserve">[51]</w:t>
      </w:r>
      <w:r>
        <w:t xml:space="preserve"> </w:t>
      </w:r>
      <w:r>
        <w:t xml:space="preserve">	</w:t>
      </w: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177">
        <w:r>
          <w:rPr>
            <w:rStyle w:val="Hyperlink"/>
          </w:rPr>
          <w:t xml:space="preserve">https://doi.org/10.1111/j.1365-2184.1984.tb00604.x</w:t>
        </w:r>
      </w:hyperlink>
    </w:p>
    <w:bookmarkEnd w:id="178"/>
    <w:bookmarkStart w:id="180" w:name="ref-eisenhoffer2012crowding"/>
    <w:p>
      <w:pPr>
        <w:pStyle w:val="Bibliography"/>
      </w:pPr>
      <w:r>
        <w:t xml:space="preserve">[52]</w:t>
      </w:r>
      <w:r>
        <w:t xml:space="preserve"> </w:t>
      </w:r>
      <w:r>
        <w:t xml:space="preserve">	</w:t>
      </w:r>
      <w:r>
        <w:t xml:space="preserve">Eisenhoffer GT, Loftus PD, Yoshigi M, Otsuna H, Chien C-B, Morcos PA, Rosenblatt J, 2012. Crowding induces live cell extrusion to maintain homeostatic cell numbers in epithelia. Nature 484, 546–549.</w:t>
      </w:r>
      <w:r>
        <w:t xml:space="preserve"> </w:t>
      </w:r>
      <w:hyperlink r:id="rId179">
        <w:r>
          <w:rPr>
            <w:rStyle w:val="Hyperlink"/>
          </w:rPr>
          <w:t xml:space="preserve">https://doi.org/10.1038/nature10999</w:t>
        </w:r>
      </w:hyperlink>
    </w:p>
    <w:bookmarkEnd w:id="180"/>
    <w:bookmarkStart w:id="182" w:name="ref-bar2004attenuation"/>
    <w:p>
      <w:pPr>
        <w:pStyle w:val="Bibliography"/>
      </w:pPr>
      <w:r>
        <w:t xml:space="preserve">[53]</w:t>
      </w:r>
      <w:r>
        <w:t xml:space="preserve"> </w:t>
      </w:r>
      <w:r>
        <w:t xml:space="preserve">	</w:t>
      </w:r>
      <w:r>
        <w:t xml:space="preserve">Bar J, Cohen-Noyman E, Geiger B, Oren M, 2004. Attenuation of the p53 response to DNA damage by high cell density. Oncogene 23, 2128–2137.</w:t>
      </w:r>
      <w:r>
        <w:t xml:space="preserve"> </w:t>
      </w:r>
      <w:hyperlink r:id="rId181">
        <w:r>
          <w:rPr>
            <w:rStyle w:val="Hyperlink"/>
          </w:rPr>
          <w:t xml:space="preserve">https://doi.org/10.1038/sj.onc.1207325</w:t>
        </w:r>
      </w:hyperlink>
    </w:p>
    <w:bookmarkEnd w:id="182"/>
    <w:bookmarkStart w:id="184" w:name="ref-nishio2017hippo"/>
    <w:p>
      <w:pPr>
        <w:pStyle w:val="Bibliography"/>
      </w:pPr>
      <w:r>
        <w:t xml:space="preserve">[54]</w:t>
      </w:r>
      <w:r>
        <w:t xml:space="preserve"> </w:t>
      </w:r>
      <w:r>
        <w:t xml:space="preserve">	</w:t>
      </w:r>
      <w:r>
        <w:t xml:space="preserve">Nishio M, Maehama T, Goto H, Nakatani K, Kato W, Omori H, Miyachi Y, Togashi H, Shimono Y, Suzuki A, 2017. Hippo vs. Crab: Tissue‐specific functions of the mammalian hippo pathway. Genes to Cells 22, 6–31.</w:t>
      </w:r>
      <w:r>
        <w:t xml:space="preserve"> </w:t>
      </w:r>
      <w:hyperlink r:id="rId183">
        <w:r>
          <w:rPr>
            <w:rStyle w:val="Hyperlink"/>
          </w:rPr>
          <w:t xml:space="preserve">https://doi.org/10.1111/gtc.12461</w:t>
        </w:r>
      </w:hyperlink>
    </w:p>
    <w:bookmarkEnd w:id="184"/>
    <w:bookmarkStart w:id="186" w:name="ref-sheridan1981studies"/>
    <w:p>
      <w:pPr>
        <w:pStyle w:val="Bibliography"/>
      </w:pPr>
      <w:r>
        <w:t xml:space="preserve">[55]</w:t>
      </w:r>
      <w:r>
        <w:t xml:space="preserve"> </w:t>
      </w:r>
      <w:r>
        <w:t xml:space="preserve">	</w:t>
      </w: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85">
        <w:r>
          <w:rPr>
            <w:rStyle w:val="Hyperlink"/>
          </w:rPr>
          <w:t xml:space="preserve">https://doi.org/10.1002/jcp.1041070111</w:t>
        </w:r>
      </w:hyperlink>
    </w:p>
    <w:bookmarkEnd w:id="186"/>
    <w:bookmarkStart w:id="188" w:name="ref-tjørve2017the"/>
    <w:p>
      <w:pPr>
        <w:pStyle w:val="Bibliography"/>
      </w:pPr>
      <w:r>
        <w:t xml:space="preserve">[56]</w:t>
      </w:r>
      <w:r>
        <w:t xml:space="preserve"> </w:t>
      </w:r>
      <w:r>
        <w:t xml:space="preserve">	</w:t>
      </w:r>
      <w:r>
        <w:t xml:space="preserve">Tjørve KMC, Tjørve E, 2017. The use of gompertz models in growth analyses, and new gompertz-model approach: An addition to the unified-richards family. PLOS ONE 12, e0178691.</w:t>
      </w:r>
      <w:r>
        <w:t xml:space="preserve"> </w:t>
      </w:r>
      <w:hyperlink r:id="rId187">
        <w:r>
          <w:rPr>
            <w:rStyle w:val="Hyperlink"/>
          </w:rPr>
          <w:t xml:space="preserve">https://doi.org/10.1371/journal.pone.0178691</w:t>
        </w:r>
      </w:hyperlink>
    </w:p>
    <w:bookmarkEnd w:id="188"/>
    <w:bookmarkStart w:id="190" w:name="ref-lv2015stability"/>
    <w:p>
      <w:pPr>
        <w:pStyle w:val="Bibliography"/>
      </w:pPr>
      <w:r>
        <w:t xml:space="preserve">[57]</w:t>
      </w:r>
      <w:r>
        <w:t xml:space="preserve"> </w:t>
      </w:r>
      <w:r>
        <w:t xml:space="preserve">	</w:t>
      </w:r>
      <w:r>
        <w:t xml:space="preserve">Lv J, Wang K, Jiao J, 2015. Stability of stochastic richards growth model. Applied Mathematical Modelling 39, 4821–4827.</w:t>
      </w:r>
      <w:r>
        <w:t xml:space="preserve"> </w:t>
      </w:r>
      <w:hyperlink r:id="rId189">
        <w:r>
          <w:rPr>
            <w:rStyle w:val="Hyperlink"/>
          </w:rPr>
          <w:t xml:space="preserve">https://doi.org/10.1016/j.apm.2015.04.016</w:t>
        </w:r>
      </w:hyperlink>
    </w:p>
    <w:bookmarkEnd w:id="190"/>
    <w:bookmarkStart w:id="192" w:name="ref-peleg1998reinterpretation"/>
    <w:p>
      <w:pPr>
        <w:pStyle w:val="Bibliography"/>
      </w:pPr>
      <w:r>
        <w:t xml:space="preserve">[58]</w:t>
      </w:r>
      <w:r>
        <w:t xml:space="preserve"> </w:t>
      </w:r>
      <w:r>
        <w:t xml:space="preserve">	</w:t>
      </w:r>
      <w:r>
        <w:t xml:space="preserve">Peleg M, Cole MB, 1998. Reinterpretation of microbial survival curves. Critical Reviews in Food Science and Nutrition 38, 353–380.</w:t>
      </w:r>
      <w:r>
        <w:t xml:space="preserve"> </w:t>
      </w:r>
      <w:hyperlink r:id="rId191">
        <w:r>
          <w:rPr>
            <w:rStyle w:val="Hyperlink"/>
          </w:rPr>
          <w:t xml:space="preserve">https://doi.org/10.1080/10408699891274246</w:t>
        </w:r>
      </w:hyperlink>
    </w:p>
    <w:bookmarkEnd w:id="192"/>
    <w:bookmarkStart w:id="194" w:name="ref-wang2023cell"/>
    <w:p>
      <w:pPr>
        <w:pStyle w:val="Bibliography"/>
      </w:pPr>
      <w:r>
        <w:t xml:space="preserve">[59]</w:t>
      </w:r>
      <w:r>
        <w:t xml:space="preserve"> </w:t>
      </w:r>
      <w:r>
        <w:t xml:space="preserve">	</w:t>
      </w: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93">
        <w:r>
          <w:rPr>
            <w:rStyle w:val="Hyperlink"/>
          </w:rPr>
          <w:t xml:space="preserve">https://doi.org/10.1016/j.jtbi.2023.111645</w:t>
        </w:r>
      </w:hyperlink>
    </w:p>
    <w:bookmarkEnd w:id="194"/>
    <w:bookmarkStart w:id="196" w:name="ref-karim2023random"/>
    <w:p>
      <w:pPr>
        <w:pStyle w:val="Bibliography"/>
      </w:pPr>
      <w:r>
        <w:t xml:space="preserve">[60]</w:t>
      </w:r>
      <w:r>
        <w:t xml:space="preserve"> </w:t>
      </w:r>
      <w:r>
        <w:t xml:space="preserve">	</w:t>
      </w:r>
      <w:r>
        <w:t xml:space="preserve">Karim MAU, Aithal V, Bhowmick AR, 2023. Random variation in model parameters: A comprehensive review of stochastic logistic growth equation. Ecological Modelling 484, 110475.</w:t>
      </w:r>
      <w:r>
        <w:t xml:space="preserve"> </w:t>
      </w:r>
      <w:hyperlink r:id="rId195">
        <w:r>
          <w:rPr>
            <w:rStyle w:val="Hyperlink"/>
          </w:rPr>
          <w:t xml:space="preserve">https://doi.org/10.1016/j.ecolmodel.2023.110475</w:t>
        </w:r>
      </w:hyperlink>
    </w:p>
    <w:bookmarkEnd w:id="196"/>
    <w:bookmarkStart w:id="198" w:name="ref-li2010cyanobacterial"/>
    <w:p>
      <w:pPr>
        <w:pStyle w:val="Bibliography"/>
      </w:pPr>
      <w:r>
        <w:t xml:space="preserve">[61]</w:t>
      </w:r>
      <w:r>
        <w:t xml:space="preserve"> </w:t>
      </w:r>
      <w:r>
        <w:t xml:space="preserve">	</w:t>
      </w: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97">
        <w:r>
          <w:rPr>
            <w:rStyle w:val="Hyperlink"/>
          </w:rPr>
          <w:t xml:space="preserve">https://doi.org/10.1016/j.hal.2010.03.003</w:t>
        </w:r>
      </w:hyperlink>
    </w:p>
    <w:bookmarkEnd w:id="198"/>
    <w:bookmarkStart w:id="200" w:name="ref-liang2005removal"/>
    <w:p>
      <w:pPr>
        <w:pStyle w:val="Bibliography"/>
      </w:pPr>
      <w:r>
        <w:t xml:space="preserve">[62]</w:t>
      </w:r>
      <w:r>
        <w:t xml:space="preserve"> </w:t>
      </w:r>
      <w:r>
        <w:t xml:space="preserve">	</w:t>
      </w:r>
      <w:r>
        <w:t xml:space="preserve">Liang C, Wang D, Yang M, Sun W, Zhang S, 2005. Removal of eathy-must odorants in drinking water by powdered activated carbon. Journal of Environmental Science and Health 40, 767–778.</w:t>
      </w:r>
      <w:r>
        <w:t xml:space="preserve"> </w:t>
      </w:r>
      <w:hyperlink r:id="rId199">
        <w:r>
          <w:rPr>
            <w:rStyle w:val="Hyperlink"/>
          </w:rPr>
          <w:t xml:space="preserve">https://doi.org/10.1081/ese-200048262</w:t>
        </w:r>
      </w:hyperlink>
    </w:p>
    <w:bookmarkEnd w:id="200"/>
    <w:bookmarkStart w:id="201" w:name="ref-sherr1993preservation"/>
    <w:p>
      <w:pPr>
        <w:pStyle w:val="Bibliography"/>
      </w:pPr>
      <w:r>
        <w:t xml:space="preserve">[63]</w:t>
      </w:r>
      <w:r>
        <w:t xml:space="preserve"> </w:t>
      </w:r>
      <w:r>
        <w:t xml:space="preserve">	</w:t>
      </w:r>
      <w:r>
        <w:t xml:space="preserve">Sherr EB, Sherr BF, 1993. Preservation and storage of samples for enumeration of heterotrophic protists. Handbook of Methods in Aquatic Microbial Ecology Lewis Publishers, Boca Raton 207–212</w:t>
      </w:r>
    </w:p>
    <w:bookmarkEnd w:id="201"/>
    <w:bookmarkStart w:id="202" w:name="ref-komarek1998cyanoprokaryota"/>
    <w:p>
      <w:pPr>
        <w:pStyle w:val="Bibliography"/>
      </w:pPr>
      <w:r>
        <w:t xml:space="preserve">[64]</w:t>
      </w:r>
      <w:r>
        <w:t xml:space="preserve"> </w:t>
      </w:r>
      <w:r>
        <w:t xml:space="preserve">	</w:t>
      </w:r>
      <w:r>
        <w:t xml:space="preserve">Komárek J, Anagnostidis K, 1998. Cyanoprokaryota 1. Deu</w:t>
      </w:r>
    </w:p>
    <w:bookmarkEnd w:id="202"/>
    <w:bookmarkStart w:id="203" w:name="ref-komarek2014taxonomic"/>
    <w:p>
      <w:pPr>
        <w:pStyle w:val="Bibliography"/>
      </w:pPr>
      <w:r>
        <w:t xml:space="preserve">[65]</w:t>
      </w:r>
      <w:r>
        <w:t xml:space="preserve"> </w:t>
      </w:r>
      <w:r>
        <w:t xml:space="preserve">	</w:t>
      </w:r>
      <w:r>
        <w:t xml:space="preserve">Komarek J, Kastovsky J, Mares J, Johansen JR, 2014. Taxonomic classification of cyanoprokaryotes (cyanobacterial genera) 2014, using a polyphasic approach. Preslia 86, 295–335</w:t>
      </w:r>
    </w:p>
    <w:bookmarkEnd w:id="203"/>
    <w:bookmarkStart w:id="204" w:name="ref-utermohl1958vervollkommnung"/>
    <w:p>
      <w:pPr>
        <w:pStyle w:val="Bibliography"/>
      </w:pPr>
      <w:r>
        <w:t xml:space="preserve">[66]</w:t>
      </w:r>
      <w:r>
        <w:t xml:space="preserve"> </w:t>
      </w:r>
      <w:r>
        <w:t xml:space="preserve">	</w:t>
      </w:r>
      <w:r>
        <w:t xml:space="preserve">Utermöhl H, 1958. Zur vervollkommnung der quantitativen phytoplankton-methodik. Mitteilungen Internationale Vereinigung Für Theoretische Und Angewandte Limnologie 9, 1–38</w:t>
      </w:r>
    </w:p>
    <w:bookmarkEnd w:id="204"/>
    <w:bookmarkStart w:id="206" w:name="ref-r2021r"/>
    <w:p>
      <w:pPr>
        <w:pStyle w:val="Bibliography"/>
      </w:pPr>
      <w:r>
        <w:t xml:space="preserve">[67]</w:t>
      </w:r>
      <w:r>
        <w:t xml:space="preserve"> </w:t>
      </w:r>
      <w:r>
        <w:t xml:space="preserve">	</w:t>
      </w:r>
      <w:r>
        <w:t xml:space="preserve">R Core Team, 2021.</w:t>
      </w:r>
      <w:r>
        <w:t xml:space="preserve"> </w:t>
      </w:r>
      <w:hyperlink r:id="rId205">
        <w:r>
          <w:rPr>
            <w:rStyle w:val="Hyperlink"/>
          </w:rPr>
          <w:t xml:space="preserve">R</w:t>
        </w:r>
        <w:r>
          <w:rPr>
            <w:rStyle w:val="Hyperlink"/>
          </w:rPr>
          <w:t xml:space="preserve">: A language and environment for statistical computing</w:t>
        </w:r>
      </w:hyperlink>
      <w:r>
        <w:t xml:space="preserve">. R Foundation for Statistical Computing, Vienna, Austria</w:t>
      </w:r>
    </w:p>
    <w:bookmarkEnd w:id="206"/>
    <w:bookmarkStart w:id="208" w:name="ref-timbers2022r"/>
    <w:p>
      <w:pPr>
        <w:pStyle w:val="Bibliography"/>
      </w:pPr>
      <w:r>
        <w:t xml:space="preserve">[68]</w:t>
      </w:r>
      <w:r>
        <w:t xml:space="preserve"> </w:t>
      </w:r>
      <w:r>
        <w:t xml:space="preserve">	</w:t>
      </w:r>
      <w:r>
        <w:t xml:space="preserve">Timbers T, Campbell T, Lee M, 2022.</w:t>
      </w:r>
      <w:r>
        <w:t xml:space="preserve"> </w:t>
      </w:r>
      <w:hyperlink r:id="rId207">
        <w:r>
          <w:rPr>
            <w:rStyle w:val="Hyperlink"/>
          </w:rPr>
          <w:t xml:space="preserve">R and the tidyverse</w:t>
        </w:r>
      </w:hyperlink>
      <w:r>
        <w:t xml:space="preserve">. In: Data science. Chapman; Hall/CRC, pp 1–26</w:t>
      </w:r>
    </w:p>
    <w:bookmarkEnd w:id="208"/>
    <w:bookmarkStart w:id="209" w:name="ref-wood2017generalized"/>
    <w:p>
      <w:pPr>
        <w:pStyle w:val="Bibliography"/>
      </w:pPr>
      <w:r>
        <w:t xml:space="preserve">[69]</w:t>
      </w:r>
      <w:r>
        <w:t xml:space="preserve"> </w:t>
      </w:r>
      <w:r>
        <w:t xml:space="preserve">	</w:t>
      </w:r>
      <w:r>
        <w:t xml:space="preserve">Wood SN, 2017. Generalized</w:t>
      </w:r>
      <w:r>
        <w:t xml:space="preserve"> </w:t>
      </w:r>
      <w:r>
        <w:t xml:space="preserve">A</w:t>
      </w:r>
      <w:r>
        <w:t xml:space="preserve">dditive</w:t>
      </w:r>
      <w:r>
        <w:t xml:space="preserve"> </w:t>
      </w:r>
      <w:r>
        <w:t xml:space="preserve">M</w:t>
      </w:r>
      <w:r>
        <w:t xml:space="preserve">odels: An introduction with</w:t>
      </w:r>
      <w:r>
        <w:t xml:space="preserve"> </w:t>
      </w:r>
      <w:r>
        <w:t xml:space="preserve">R</w:t>
      </w:r>
      <w:r>
        <w:t xml:space="preserve">, 2nd ed. Chapman; Hall/CRC</w:t>
      </w:r>
    </w:p>
    <w:bookmarkEnd w:id="209"/>
    <w:bookmarkStart w:id="211" w:name="ref-koenker2017handbook"/>
    <w:p>
      <w:pPr>
        <w:pStyle w:val="Bibliography"/>
      </w:pPr>
      <w:r>
        <w:t xml:space="preserve">[70]</w:t>
      </w:r>
      <w:r>
        <w:t xml:space="preserve"> </w:t>
      </w:r>
      <w:r>
        <w:t xml:space="preserve">	</w:t>
      </w:r>
      <w:r>
        <w:t xml:space="preserve">Koenker R, Chernozhukov V, He X, Peng L, 2017.</w:t>
      </w:r>
      <w:r>
        <w:t xml:space="preserve"> </w:t>
      </w:r>
      <w:hyperlink r:id="rId210">
        <w:r>
          <w:rPr>
            <w:rStyle w:val="Hyperlink"/>
          </w:rPr>
          <w:t xml:space="preserve">Handbook of quantile regression</w:t>
        </w:r>
      </w:hyperlink>
      <w:r>
        <w:t xml:space="preserve">, 1st ed. Chapman; Hall/CRC</w:t>
      </w:r>
    </w:p>
    <w:bookmarkEnd w:id="211"/>
    <w:bookmarkStart w:id="213" w:name="ref-wickham2009ggplot"/>
    <w:p>
      <w:pPr>
        <w:pStyle w:val="Bibliography"/>
      </w:pPr>
      <w:r>
        <w:t xml:space="preserve">[71]</w:t>
      </w:r>
      <w:r>
        <w:t xml:space="preserve"> </w:t>
      </w:r>
      <w:r>
        <w:t xml:space="preserve">	</w:t>
      </w:r>
      <w:r>
        <w:t xml:space="preserve">Wickham H, 2009.</w:t>
      </w:r>
      <w:r>
        <w:t xml:space="preserve"> </w:t>
      </w:r>
      <w:hyperlink r:id="rId212">
        <w:r>
          <w:rPr>
            <w:rStyle w:val="Hyperlink"/>
          </w:rPr>
          <w:t xml:space="preserve">Introduction</w:t>
        </w:r>
      </w:hyperlink>
      <w:r>
        <w:t xml:space="preserve">. In:</w:t>
      </w:r>
      <w:r>
        <w:t xml:space="preserve"> </w:t>
      </w:r>
      <w:r>
        <w:t xml:space="preserve">ggplot2</w:t>
      </w:r>
      <w:r>
        <w:t xml:space="preserve">. Springer New York, pp 1–7</w:t>
      </w:r>
    </w:p>
    <w:bookmarkEnd w:id="213"/>
    <w:bookmarkStart w:id="215" w:name="ref-liu2019production"/>
    <w:p>
      <w:pPr>
        <w:pStyle w:val="Bibliography"/>
      </w:pPr>
      <w:r>
        <w:t xml:space="preserve">[72]</w:t>
      </w:r>
      <w:r>
        <w:t xml:space="preserve"> </w:t>
      </w:r>
      <w:r>
        <w:t xml:space="preserve">	</w:t>
      </w: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214">
        <w:r>
          <w:rPr>
            <w:rStyle w:val="Hyperlink"/>
          </w:rPr>
          <w:t xml:space="preserve">https://doi.org/10.1016/j.watres.2019.04.004</w:t>
        </w:r>
      </w:hyperlink>
    </w:p>
    <w:bookmarkEnd w:id="215"/>
    <w:bookmarkStart w:id="217" w:name="ref-perkins2019managing"/>
    <w:p>
      <w:pPr>
        <w:pStyle w:val="Bibliography"/>
      </w:pPr>
      <w:r>
        <w:t xml:space="preserve">[73]</w:t>
      </w:r>
      <w:r>
        <w:t xml:space="preserve"> </w:t>
      </w:r>
      <w:r>
        <w:t xml:space="preserve">	</w:t>
      </w: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216">
        <w:r>
          <w:rPr>
            <w:rStyle w:val="Hyperlink"/>
          </w:rPr>
          <w:t xml:space="preserve">https://doi.org/10.1016/j.jenvman.2019.04.123</w:t>
        </w:r>
      </w:hyperlink>
    </w:p>
    <w:bookmarkEnd w:id="217"/>
    <w:bookmarkStart w:id="219" w:name="ref-bafford1993intracellular"/>
    <w:p>
      <w:pPr>
        <w:pStyle w:val="Bibliography"/>
      </w:pPr>
      <w:r>
        <w:t xml:space="preserve">[74]</w:t>
      </w:r>
      <w:r>
        <w:t xml:space="preserve"> </w:t>
      </w:r>
      <w:r>
        <w:t xml:space="preserve">	</w:t>
      </w:r>
      <w:r>
        <w:t xml:space="preserve">Bafford RA, Seagull RW, Chung S, Millie DF, 1993. INTRACELLULAR LOCALIZATION OF THE TASTE/ODOR METABOLITE 2‐METHYLISOBORNEOL IN OSCILLATORIA LIMOSA (CYANOPHYTA)1. Journal of Phycology 29, 91–95.</w:t>
      </w:r>
      <w:r>
        <w:t xml:space="preserve"> </w:t>
      </w:r>
      <w:hyperlink r:id="rId218">
        <w:r>
          <w:rPr>
            <w:rStyle w:val="Hyperlink"/>
          </w:rPr>
          <w:t xml:space="preserve">https://doi.org/10.1111/j.1529-8817.1993.tb00285.x</w:t>
        </w:r>
      </w:hyperlink>
    </w:p>
    <w:bookmarkEnd w:id="219"/>
    <w:bookmarkStart w:id="221" w:name="ref-pavel2018contact"/>
    <w:p>
      <w:pPr>
        <w:pStyle w:val="Bibliography"/>
      </w:pPr>
      <w:r>
        <w:t xml:space="preserve">[75]</w:t>
      </w:r>
      <w:r>
        <w:t xml:space="preserve"> </w:t>
      </w:r>
      <w:r>
        <w:t xml:space="preserve">	</w:t>
      </w: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220">
        <w:r>
          <w:rPr>
            <w:rStyle w:val="Hyperlink"/>
          </w:rPr>
          <w:t xml:space="preserve">https://doi.org/10.1038/s41467-018-05388-x</w:t>
        </w:r>
      </w:hyperlink>
    </w:p>
    <w:bookmarkEnd w:id="221"/>
    <w:bookmarkStart w:id="223" w:name="ref-li2022cooccurrence"/>
    <w:p>
      <w:pPr>
        <w:pStyle w:val="Bibliography"/>
      </w:pPr>
      <w:r>
        <w:t xml:space="preserve">[76]</w:t>
      </w:r>
      <w:r>
        <w:t xml:space="preserve"> </w:t>
      </w:r>
      <w:r>
        <w:t xml:space="preserve">	</w:t>
      </w:r>
      <w:r>
        <w:t xml:space="preserve">Li H,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222">
        <w:r>
          <w:rPr>
            <w:rStyle w:val="Hyperlink"/>
          </w:rPr>
          <w:t xml:space="preserve">https://doi.org/10.1016/j.envpol.2021.118594</w:t>
        </w:r>
      </w:hyperlink>
    </w:p>
    <w:bookmarkEnd w:id="223"/>
    <w:bookmarkStart w:id="225" w:name="ref-shi2023distribution"/>
    <w:p>
      <w:pPr>
        <w:pStyle w:val="Bibliography"/>
      </w:pPr>
      <w:r>
        <w:t xml:space="preserve">[77]</w:t>
      </w:r>
      <w:r>
        <w:t xml:space="preserve"> </w:t>
      </w:r>
      <w:r>
        <w:t xml:space="preserve">	</w:t>
      </w: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224">
        <w:r>
          <w:rPr>
            <w:rStyle w:val="Hyperlink"/>
          </w:rPr>
          <w:t xml:space="preserve">https://doi.org/10.1007/s11356-023-27506-z</w:t>
        </w:r>
      </w:hyperlink>
    </w:p>
    <w:bookmarkEnd w:id="225"/>
    <w:bookmarkStart w:id="227" w:name="ref-nan2021enclosure"/>
    <w:p>
      <w:pPr>
        <w:pStyle w:val="Bibliography"/>
      </w:pPr>
      <w:r>
        <w:t xml:space="preserve">[78]</w:t>
      </w:r>
      <w:r>
        <w:t xml:space="preserve"> </w:t>
      </w:r>
      <w:r>
        <w:t xml:space="preserve">	</w:t>
      </w:r>
      <w:r>
        <w:t xml:space="preserve">Nan J, Yang C, Yu H, Shi X, Huang Q, Huang J, Li J, 2021. Enclosure culture ban and its effects on water quality and phytoplankton community in a subtropical shallow lake. Aquaculture Research 53, 221–231.</w:t>
      </w:r>
      <w:r>
        <w:t xml:space="preserve"> </w:t>
      </w:r>
      <w:hyperlink r:id="rId226">
        <w:r>
          <w:rPr>
            <w:rStyle w:val="Hyperlink"/>
          </w:rPr>
          <w:t xml:space="preserve">https://doi.org/10.1111/are.15568</w:t>
        </w:r>
      </w:hyperlink>
    </w:p>
    <w:bookmarkEnd w:id="227"/>
    <w:bookmarkStart w:id="229" w:name="ref-wang2019causality"/>
    <w:p>
      <w:pPr>
        <w:pStyle w:val="Bibliography"/>
      </w:pPr>
      <w:r>
        <w:t xml:space="preserve">[79]</w:t>
      </w:r>
      <w:r>
        <w:t xml:space="preserve"> </w:t>
      </w:r>
      <w:r>
        <w:t xml:space="preserve">	</w:t>
      </w:r>
      <w:r>
        <w:t xml:space="preserve">Wang M, Yoshimura C, Allam A, Kimura F, Honma T, 2019. Causality analysis and prediction of 2-methylisoborneol production in a reservoir using empirical dynamic modeling. Water Research 163, 114864.</w:t>
      </w:r>
      <w:r>
        <w:t xml:space="preserve"> </w:t>
      </w:r>
      <w:hyperlink r:id="rId228">
        <w:r>
          <w:rPr>
            <w:rStyle w:val="Hyperlink"/>
          </w:rPr>
          <w:t xml:space="preserve">https://doi.org/10.1016/j.watres.2019.114864</w:t>
        </w:r>
      </w:hyperlink>
    </w:p>
    <w:bookmarkEnd w:id="229"/>
    <w:bookmarkStart w:id="231" w:name="ref-yu2019taste"/>
    <w:p>
      <w:pPr>
        <w:pStyle w:val="Bibliography"/>
      </w:pPr>
      <w:r>
        <w:t xml:space="preserve">[80]</w:t>
      </w:r>
      <w:r>
        <w:t xml:space="preserve"> </w:t>
      </w:r>
      <w:r>
        <w:t xml:space="preserve">	</w:t>
      </w: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230">
        <w:r>
          <w:rPr>
            <w:rStyle w:val="Hyperlink"/>
          </w:rPr>
          <w:t xml:space="preserve">https://doi.org/10.1007/s11356-019-06188-6</w:t>
        </w:r>
      </w:hyperlink>
    </w:p>
    <w:bookmarkEnd w:id="231"/>
    <w:bookmarkStart w:id="233" w:name="ref-su2022lightdominated"/>
    <w:p>
      <w:pPr>
        <w:pStyle w:val="Bibliography"/>
      </w:pPr>
      <w:r>
        <w:t xml:space="preserve">[81]</w:t>
      </w:r>
      <w:r>
        <w:t xml:space="preserve"> </w:t>
      </w:r>
      <w:r>
        <w:t xml:space="preserve">	</w:t>
      </w: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232">
        <w:r>
          <w:rPr>
            <w:rStyle w:val="Hyperlink"/>
          </w:rPr>
          <w:t xml:space="preserve">https://doi.org/10.1038/s41545-022-00181-2</w:t>
        </w:r>
      </w:hyperlink>
    </w:p>
    <w:bookmarkEnd w:id="233"/>
    <w:bookmarkStart w:id="235" w:name="ref-su2019succession"/>
    <w:p>
      <w:pPr>
        <w:pStyle w:val="Bibliography"/>
      </w:pPr>
      <w:r>
        <w:t xml:space="preserve">[82]</w:t>
      </w:r>
      <w:r>
        <w:t xml:space="preserve"> </w:t>
      </w:r>
      <w:r>
        <w:t xml:space="preserve">	</w:t>
      </w: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234">
        <w:r>
          <w:rPr>
            <w:rStyle w:val="Hyperlink"/>
          </w:rPr>
          <w:t xml:space="preserve">https://doi.org/J.scitotenv.2018.08.307</w:t>
        </w:r>
      </w:hyperlink>
    </w:p>
    <w:bookmarkEnd w:id="235"/>
    <w:bookmarkStart w:id="237" w:name="ref-qi2020characterization"/>
    <w:p>
      <w:pPr>
        <w:pStyle w:val="Bibliography"/>
      </w:pPr>
      <w:r>
        <w:t xml:space="preserve">[83]</w:t>
      </w:r>
      <w:r>
        <w:t xml:space="preserve"> </w:t>
      </w:r>
      <w:r>
        <w:t xml:space="preserve">	</w:t>
      </w: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236">
        <w:r>
          <w:rPr>
            <w:rStyle w:val="Hyperlink"/>
          </w:rPr>
          <w:t xml:space="preserve">https://doi.org/10.1007/s11356-020-07896-0</w:t>
        </w:r>
      </w:hyperlink>
    </w:p>
    <w:bookmarkEnd w:id="237"/>
    <w:bookmarkStart w:id="239" w:name="ref-rong2018source"/>
    <w:p>
      <w:pPr>
        <w:pStyle w:val="Bibliography"/>
      </w:pPr>
      <w:r>
        <w:t xml:space="preserve">[84]</w:t>
      </w:r>
      <w:r>
        <w:t xml:space="preserve"> </w:t>
      </w:r>
      <w:r>
        <w:t xml:space="preserve">	</w:t>
      </w: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238">
        <w:r>
          <w:rPr>
            <w:rStyle w:val="Hyperlink"/>
          </w:rPr>
          <w:t xml:space="preserve">https://doi.org/10.1186/s12302-018-0175-8</w:t>
        </w:r>
      </w:hyperlink>
    </w:p>
    <w:bookmarkEnd w:id="239"/>
    <w:bookmarkStart w:id="241" w:name="ref-deng2019the"/>
    <w:p>
      <w:pPr>
        <w:pStyle w:val="Bibliography"/>
      </w:pPr>
      <w:r>
        <w:t xml:space="preserve">[85]</w:t>
      </w:r>
      <w:r>
        <w:t xml:space="preserve"> </w:t>
      </w:r>
      <w:r>
        <w:t xml:space="preserve">	</w:t>
      </w:r>
      <w:r>
        <w:t xml:space="preserve">Deng X, Qi M, Ren R, Liu J, Sun X, Xie P, Chen J, 2019. The relationships between odors and environmental factors at bloom and non-bloom area in lake taihu, china. Chemosphere 218, 569–576.</w:t>
      </w:r>
      <w:r>
        <w:t xml:space="preserve"> </w:t>
      </w:r>
      <w:hyperlink r:id="rId240">
        <w:r>
          <w:rPr>
            <w:rStyle w:val="Hyperlink"/>
          </w:rPr>
          <w:t xml:space="preserve">https://doi.org/10.1016/j.chemosphere.2018.11.121</w:t>
        </w:r>
      </w:hyperlink>
    </w:p>
    <w:bookmarkEnd w:id="241"/>
    <w:bookmarkEnd w:id="242"/>
    <w:bookmarkEnd w:id="243"/>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2" Target="media/rId42.png" /><Relationship Type="http://schemas.openxmlformats.org/officeDocument/2006/relationships/image" Id="rId46" Target="media/rId46.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66" Target="media/rId66.png" /><Relationship Type="http://schemas.openxmlformats.org/officeDocument/2006/relationships/image" Id="rId61" Target="media/rId61.png" /><Relationship Type="http://schemas.openxmlformats.org/officeDocument/2006/relationships/image" Id="rId37" Target="media/rId37.png" /><Relationship Type="http://schemas.openxmlformats.org/officeDocument/2006/relationships/hyperlink" Id="rId94" Target="http://aem.asm.org/content/57/12/3429.abstract" TargetMode="External" /><Relationship Type="http://schemas.openxmlformats.org/officeDocument/2006/relationships/hyperlink" Id="rId110" Target="https://doi.org/10.1002/anie.200702496" TargetMode="External" /><Relationship Type="http://schemas.openxmlformats.org/officeDocument/2006/relationships/hyperlink" Id="rId185" Target="https://doi.org/10.1002/jcp.1041070111" TargetMode="External" /><Relationship Type="http://schemas.openxmlformats.org/officeDocument/2006/relationships/hyperlink" Id="rId212" Target="https://doi.org/10.1007/978-0-387-98141-3_1" TargetMode="External" /><Relationship Type="http://schemas.openxmlformats.org/officeDocument/2006/relationships/hyperlink" Id="rId135" Target="https://doi.org/10.1007/bf00408253" TargetMode="External" /><Relationship Type="http://schemas.openxmlformats.org/officeDocument/2006/relationships/hyperlink" Id="rId147" Target="https://doi.org/10.1007/s10661-021-08980-9" TargetMode="External" /><Relationship Type="http://schemas.openxmlformats.org/officeDocument/2006/relationships/hyperlink" Id="rId128" Target="https://doi.org/10.1007/s10811-008-9363-z" TargetMode="External" /><Relationship Type="http://schemas.openxmlformats.org/officeDocument/2006/relationships/hyperlink" Id="rId139" Target="https://doi.org/10.1007/s10811-016-0864-x" TargetMode="External" /><Relationship Type="http://schemas.openxmlformats.org/officeDocument/2006/relationships/hyperlink" Id="rId153" Target="https://doi.org/10.1007/s10811-017-1233-0" TargetMode="External" /><Relationship Type="http://schemas.openxmlformats.org/officeDocument/2006/relationships/hyperlink" Id="rId230" Target="https://doi.org/10.1007/s11356-019-06188-6" TargetMode="External" /><Relationship Type="http://schemas.openxmlformats.org/officeDocument/2006/relationships/hyperlink" Id="rId236" Target="https://doi.org/10.1007/s11356-020-07896-0" TargetMode="External" /><Relationship Type="http://schemas.openxmlformats.org/officeDocument/2006/relationships/hyperlink" Id="rId224" Target="https://doi.org/10.1007/s11356-023-27506-z" TargetMode="External" /><Relationship Type="http://schemas.openxmlformats.org/officeDocument/2006/relationships/hyperlink" Id="rId137" Target="https://doi.org/10.1016/0273-1223(95)00472-y" TargetMode="External" /><Relationship Type="http://schemas.openxmlformats.org/officeDocument/2006/relationships/hyperlink" Id="rId120" Target="https://doi.org/10.1016/0273-1223(95)00473-Z" TargetMode="External" /><Relationship Type="http://schemas.openxmlformats.org/officeDocument/2006/relationships/hyperlink" Id="rId141" Target="https://doi.org/10.1016/S0043-1354(00)00363-8" TargetMode="External" /><Relationship Type="http://schemas.openxmlformats.org/officeDocument/2006/relationships/hyperlink" Id="rId96" Target="https://doi.org/10.1016/S0048-9697(01)01049-X" TargetMode="External" /><Relationship Type="http://schemas.openxmlformats.org/officeDocument/2006/relationships/hyperlink" Id="rId92" Target="https://doi.org/10.1016/S0273-1223(99)00538-7" TargetMode="External" /><Relationship Type="http://schemas.openxmlformats.org/officeDocument/2006/relationships/hyperlink" Id="rId189" Target="https://doi.org/10.1016/j.apm.2015.04.016" TargetMode="External" /><Relationship Type="http://schemas.openxmlformats.org/officeDocument/2006/relationships/hyperlink" Id="rId171" Target="https://doi.org/10.1016/j.bpj.2023.11.2493" TargetMode="External" /><Relationship Type="http://schemas.openxmlformats.org/officeDocument/2006/relationships/hyperlink" Id="rId165" Target="https://doi.org/10.1016/j.bse.2014.12.013" TargetMode="External" /><Relationship Type="http://schemas.openxmlformats.org/officeDocument/2006/relationships/hyperlink" Id="rId175" Target="https://doi.org/10.1016/j.ceb.2021.07.011" TargetMode="External" /><Relationship Type="http://schemas.openxmlformats.org/officeDocument/2006/relationships/hyperlink" Id="rId104" Target="https://doi.org/10.1016/j.ceja.2023.100455" TargetMode="External" /><Relationship Type="http://schemas.openxmlformats.org/officeDocument/2006/relationships/hyperlink" Id="rId240" Target="https://doi.org/10.1016/j.chemosphere.2018.11.121" TargetMode="External" /><Relationship Type="http://schemas.openxmlformats.org/officeDocument/2006/relationships/hyperlink" Id="rId149" Target="https://doi.org/10.1016/j.ecoenv.2024.116198" TargetMode="External" /><Relationship Type="http://schemas.openxmlformats.org/officeDocument/2006/relationships/hyperlink" Id="rId195" Target="https://doi.org/10.1016/j.ecolmodel.2023.110475" TargetMode="External" /><Relationship Type="http://schemas.openxmlformats.org/officeDocument/2006/relationships/hyperlink" Id="rId222" Target="https://doi.org/10.1016/j.envpol.2021.118594" TargetMode="External" /><Relationship Type="http://schemas.openxmlformats.org/officeDocument/2006/relationships/hyperlink" Id="rId197" Target="https://doi.org/10.1016/j.hal.2010.03.003" TargetMode="External" /><Relationship Type="http://schemas.openxmlformats.org/officeDocument/2006/relationships/hyperlink" Id="rId163" Target="https://doi.org/10.1016/j.hal.2019.101658" TargetMode="External" /><Relationship Type="http://schemas.openxmlformats.org/officeDocument/2006/relationships/hyperlink" Id="rId216"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169" Target="https://doi.org/10.1016/j.tcb.2012.11.006" TargetMode="External" /><Relationship Type="http://schemas.openxmlformats.org/officeDocument/2006/relationships/hyperlink" Id="rId118"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143" Target="https://doi.org/10.1016/j.watres.2018.10.023" TargetMode="External" /><Relationship Type="http://schemas.openxmlformats.org/officeDocument/2006/relationships/hyperlink" Id="rId214" Target="https://doi.org/10.1016/j.watres.2019.04.004" TargetMode="External" /><Relationship Type="http://schemas.openxmlformats.org/officeDocument/2006/relationships/hyperlink" Id="rId98" Target="https://doi.org/10.1016/j.watres.2019.06.066" TargetMode="External" /><Relationship Type="http://schemas.openxmlformats.org/officeDocument/2006/relationships/hyperlink" Id="rId228" Target="https://doi.org/10.1016/j.watres.2019.114864" TargetMode="External" /><Relationship Type="http://schemas.openxmlformats.org/officeDocument/2006/relationships/hyperlink" Id="rId82" Target="https://doi.org/10.1016/j.watres.2020.116478" TargetMode="External" /><Relationship Type="http://schemas.openxmlformats.org/officeDocument/2006/relationships/hyperlink" Id="rId145" Target="https://doi.org/10.1016/j.watres.2021.117872" TargetMode="External" /><Relationship Type="http://schemas.openxmlformats.org/officeDocument/2006/relationships/hyperlink" Id="rId126" Target="https://doi.org/10.1016/j.watres.2022.118670" TargetMode="External" /><Relationship Type="http://schemas.openxmlformats.org/officeDocument/2006/relationships/hyperlink" Id="rId130"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124" Target="https://doi.org/10.1016/s1001-0742(13)60433-7" TargetMode="External" /><Relationship Type="http://schemas.openxmlformats.org/officeDocument/2006/relationships/hyperlink" Id="rId88" Target="https://doi.org/10.1021/acsestwater.3c00477" TargetMode="External" /><Relationship Type="http://schemas.openxmlformats.org/officeDocument/2006/relationships/hyperlink" Id="rId155" Target="https://doi.org/10.1021/es102992p" TargetMode="External" /><Relationship Type="http://schemas.openxmlformats.org/officeDocument/2006/relationships/hyperlink" Id="rId132" Target="https://doi.org/10.1029/2018wr023651" TargetMode="External" /><Relationship Type="http://schemas.openxmlformats.org/officeDocument/2006/relationships/hyperlink" Id="rId179" Target="https://doi.org/10.1038/nature10999" TargetMode="External" /><Relationship Type="http://schemas.openxmlformats.org/officeDocument/2006/relationships/hyperlink" Id="rId220" Target="https://doi.org/10.1038/s41467-018-05388-x" TargetMode="External" /><Relationship Type="http://schemas.openxmlformats.org/officeDocument/2006/relationships/hyperlink" Id="rId161" Target="https://doi.org/10.1038/s41467-024-54175-4" TargetMode="External" /><Relationship Type="http://schemas.openxmlformats.org/officeDocument/2006/relationships/hyperlink" Id="rId232" Target="https://doi.org/10.1038/s41545-022-00181-2" TargetMode="External" /><Relationship Type="http://schemas.openxmlformats.org/officeDocument/2006/relationships/hyperlink" Id="rId173" Target="https://doi.org/10.1038/s41556-024-01415-w" TargetMode="External" /><Relationship Type="http://schemas.openxmlformats.org/officeDocument/2006/relationships/hyperlink" Id="rId181" Target="https://doi.org/10.1038/sj.onc.1207325" TargetMode="External" /><Relationship Type="http://schemas.openxmlformats.org/officeDocument/2006/relationships/hyperlink" Id="rId167" Target="https://doi.org/10.1046/j.1529-8817.1999.3561422.x" TargetMode="External" /><Relationship Type="http://schemas.openxmlformats.org/officeDocument/2006/relationships/hyperlink" Id="rId159"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91" Target="https://doi.org/10.1080/10408699891274246" TargetMode="External" /><Relationship Type="http://schemas.openxmlformats.org/officeDocument/2006/relationships/hyperlink" Id="rId199" Target="https://doi.org/10.1081/ese-200048262" TargetMode="External" /><Relationship Type="http://schemas.openxmlformats.org/officeDocument/2006/relationships/hyperlink" Id="rId226" Target="https://doi.org/10.1111/are.15568" TargetMode="External" /><Relationship Type="http://schemas.openxmlformats.org/officeDocument/2006/relationships/hyperlink" Id="rId183" Target="https://doi.org/10.1111/gtc.12461" TargetMode="External" /><Relationship Type="http://schemas.openxmlformats.org/officeDocument/2006/relationships/hyperlink" Id="rId177" Target="https://doi.org/10.1111/j.1365-2184.1984.tb00604.x" TargetMode="External" /><Relationship Type="http://schemas.openxmlformats.org/officeDocument/2006/relationships/hyperlink" Id="rId218" Target="https://doi.org/10.1111/j.1529-8817.1993.tb00285.x" TargetMode="External" /><Relationship Type="http://schemas.openxmlformats.org/officeDocument/2006/relationships/hyperlink" Id="rId122" Target="https://doi.org/10.1128/aem.02250-06" TargetMode="External" /><Relationship Type="http://schemas.openxmlformats.org/officeDocument/2006/relationships/hyperlink" Id="rId106" Target="https://doi.org/10.1139/f76-004" TargetMode="External" /><Relationship Type="http://schemas.openxmlformats.org/officeDocument/2006/relationships/hyperlink" Id="rId238" Target="https://doi.org/10.1186/s12302-018-0175-8" TargetMode="External" /><Relationship Type="http://schemas.openxmlformats.org/officeDocument/2006/relationships/hyperlink" Id="rId207" Target="https://doi.org/10.1201/9781003080978-1" TargetMode="External" /><Relationship Type="http://schemas.openxmlformats.org/officeDocument/2006/relationships/hyperlink" Id="rId210" Target="https://doi.org/10.1201/9781315120256" TargetMode="External" /><Relationship Type="http://schemas.openxmlformats.org/officeDocument/2006/relationships/hyperlink" Id="rId157"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01" Target="https://doi.org/10.2166/wpt.2022.167" TargetMode="External" /><Relationship Type="http://schemas.openxmlformats.org/officeDocument/2006/relationships/hyperlink" Id="rId86"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234"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205" Target="https://www.r-project.org/" TargetMode="External" /><Relationship Type="http://schemas.openxmlformats.org/officeDocument/2006/relationships/hyperlink" Id="rId22"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94" Target="http://aem.asm.org/content/57/12/3429.abstract" TargetMode="External" /><Relationship Type="http://schemas.openxmlformats.org/officeDocument/2006/relationships/hyperlink" Id="rId110" Target="https://doi.org/10.1002/anie.200702496" TargetMode="External" /><Relationship Type="http://schemas.openxmlformats.org/officeDocument/2006/relationships/hyperlink" Id="rId185" Target="https://doi.org/10.1002/jcp.1041070111" TargetMode="External" /><Relationship Type="http://schemas.openxmlformats.org/officeDocument/2006/relationships/hyperlink" Id="rId212" Target="https://doi.org/10.1007/978-0-387-98141-3_1" TargetMode="External" /><Relationship Type="http://schemas.openxmlformats.org/officeDocument/2006/relationships/hyperlink" Id="rId135" Target="https://doi.org/10.1007/bf00408253" TargetMode="External" /><Relationship Type="http://schemas.openxmlformats.org/officeDocument/2006/relationships/hyperlink" Id="rId147" Target="https://doi.org/10.1007/s10661-021-08980-9" TargetMode="External" /><Relationship Type="http://schemas.openxmlformats.org/officeDocument/2006/relationships/hyperlink" Id="rId128" Target="https://doi.org/10.1007/s10811-008-9363-z" TargetMode="External" /><Relationship Type="http://schemas.openxmlformats.org/officeDocument/2006/relationships/hyperlink" Id="rId139" Target="https://doi.org/10.1007/s10811-016-0864-x" TargetMode="External" /><Relationship Type="http://schemas.openxmlformats.org/officeDocument/2006/relationships/hyperlink" Id="rId153" Target="https://doi.org/10.1007/s10811-017-1233-0" TargetMode="External" /><Relationship Type="http://schemas.openxmlformats.org/officeDocument/2006/relationships/hyperlink" Id="rId230" Target="https://doi.org/10.1007/s11356-019-06188-6" TargetMode="External" /><Relationship Type="http://schemas.openxmlformats.org/officeDocument/2006/relationships/hyperlink" Id="rId236" Target="https://doi.org/10.1007/s11356-020-07896-0" TargetMode="External" /><Relationship Type="http://schemas.openxmlformats.org/officeDocument/2006/relationships/hyperlink" Id="rId224" Target="https://doi.org/10.1007/s11356-023-27506-z" TargetMode="External" /><Relationship Type="http://schemas.openxmlformats.org/officeDocument/2006/relationships/hyperlink" Id="rId137" Target="https://doi.org/10.1016/0273-1223(95)00472-y" TargetMode="External" /><Relationship Type="http://schemas.openxmlformats.org/officeDocument/2006/relationships/hyperlink" Id="rId120" Target="https://doi.org/10.1016/0273-1223(95)00473-Z" TargetMode="External" /><Relationship Type="http://schemas.openxmlformats.org/officeDocument/2006/relationships/hyperlink" Id="rId141" Target="https://doi.org/10.1016/S0043-1354(00)00363-8" TargetMode="External" /><Relationship Type="http://schemas.openxmlformats.org/officeDocument/2006/relationships/hyperlink" Id="rId96" Target="https://doi.org/10.1016/S0048-9697(01)01049-X" TargetMode="External" /><Relationship Type="http://schemas.openxmlformats.org/officeDocument/2006/relationships/hyperlink" Id="rId92" Target="https://doi.org/10.1016/S0273-1223(99)00538-7" TargetMode="External" /><Relationship Type="http://schemas.openxmlformats.org/officeDocument/2006/relationships/hyperlink" Id="rId189" Target="https://doi.org/10.1016/j.apm.2015.04.016" TargetMode="External" /><Relationship Type="http://schemas.openxmlformats.org/officeDocument/2006/relationships/hyperlink" Id="rId171" Target="https://doi.org/10.1016/j.bpj.2023.11.2493" TargetMode="External" /><Relationship Type="http://schemas.openxmlformats.org/officeDocument/2006/relationships/hyperlink" Id="rId165" Target="https://doi.org/10.1016/j.bse.2014.12.013" TargetMode="External" /><Relationship Type="http://schemas.openxmlformats.org/officeDocument/2006/relationships/hyperlink" Id="rId175" Target="https://doi.org/10.1016/j.ceb.2021.07.011" TargetMode="External" /><Relationship Type="http://schemas.openxmlformats.org/officeDocument/2006/relationships/hyperlink" Id="rId104" Target="https://doi.org/10.1016/j.ceja.2023.100455" TargetMode="External" /><Relationship Type="http://schemas.openxmlformats.org/officeDocument/2006/relationships/hyperlink" Id="rId240" Target="https://doi.org/10.1016/j.chemosphere.2018.11.121" TargetMode="External" /><Relationship Type="http://schemas.openxmlformats.org/officeDocument/2006/relationships/hyperlink" Id="rId149" Target="https://doi.org/10.1016/j.ecoenv.2024.116198" TargetMode="External" /><Relationship Type="http://schemas.openxmlformats.org/officeDocument/2006/relationships/hyperlink" Id="rId195" Target="https://doi.org/10.1016/j.ecolmodel.2023.110475" TargetMode="External" /><Relationship Type="http://schemas.openxmlformats.org/officeDocument/2006/relationships/hyperlink" Id="rId222" Target="https://doi.org/10.1016/j.envpol.2021.118594" TargetMode="External" /><Relationship Type="http://schemas.openxmlformats.org/officeDocument/2006/relationships/hyperlink" Id="rId197" Target="https://doi.org/10.1016/j.hal.2010.03.003" TargetMode="External" /><Relationship Type="http://schemas.openxmlformats.org/officeDocument/2006/relationships/hyperlink" Id="rId163" Target="https://doi.org/10.1016/j.hal.2019.101658" TargetMode="External" /><Relationship Type="http://schemas.openxmlformats.org/officeDocument/2006/relationships/hyperlink" Id="rId216"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169" Target="https://doi.org/10.1016/j.tcb.2012.11.006" TargetMode="External" /><Relationship Type="http://schemas.openxmlformats.org/officeDocument/2006/relationships/hyperlink" Id="rId118"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143" Target="https://doi.org/10.1016/j.watres.2018.10.023" TargetMode="External" /><Relationship Type="http://schemas.openxmlformats.org/officeDocument/2006/relationships/hyperlink" Id="rId214" Target="https://doi.org/10.1016/j.watres.2019.04.004" TargetMode="External" /><Relationship Type="http://schemas.openxmlformats.org/officeDocument/2006/relationships/hyperlink" Id="rId98" Target="https://doi.org/10.1016/j.watres.2019.06.066" TargetMode="External" /><Relationship Type="http://schemas.openxmlformats.org/officeDocument/2006/relationships/hyperlink" Id="rId228" Target="https://doi.org/10.1016/j.watres.2019.114864" TargetMode="External" /><Relationship Type="http://schemas.openxmlformats.org/officeDocument/2006/relationships/hyperlink" Id="rId82" Target="https://doi.org/10.1016/j.watres.2020.116478" TargetMode="External" /><Relationship Type="http://schemas.openxmlformats.org/officeDocument/2006/relationships/hyperlink" Id="rId145" Target="https://doi.org/10.1016/j.watres.2021.117872" TargetMode="External" /><Relationship Type="http://schemas.openxmlformats.org/officeDocument/2006/relationships/hyperlink" Id="rId126" Target="https://doi.org/10.1016/j.watres.2022.118670" TargetMode="External" /><Relationship Type="http://schemas.openxmlformats.org/officeDocument/2006/relationships/hyperlink" Id="rId130"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124" Target="https://doi.org/10.1016/s1001-0742(13)60433-7" TargetMode="External" /><Relationship Type="http://schemas.openxmlformats.org/officeDocument/2006/relationships/hyperlink" Id="rId88" Target="https://doi.org/10.1021/acsestwater.3c00477" TargetMode="External" /><Relationship Type="http://schemas.openxmlformats.org/officeDocument/2006/relationships/hyperlink" Id="rId155" Target="https://doi.org/10.1021/es102992p" TargetMode="External" /><Relationship Type="http://schemas.openxmlformats.org/officeDocument/2006/relationships/hyperlink" Id="rId132" Target="https://doi.org/10.1029/2018wr023651" TargetMode="External" /><Relationship Type="http://schemas.openxmlformats.org/officeDocument/2006/relationships/hyperlink" Id="rId179" Target="https://doi.org/10.1038/nature10999" TargetMode="External" /><Relationship Type="http://schemas.openxmlformats.org/officeDocument/2006/relationships/hyperlink" Id="rId220" Target="https://doi.org/10.1038/s41467-018-05388-x" TargetMode="External" /><Relationship Type="http://schemas.openxmlformats.org/officeDocument/2006/relationships/hyperlink" Id="rId161" Target="https://doi.org/10.1038/s41467-024-54175-4" TargetMode="External" /><Relationship Type="http://schemas.openxmlformats.org/officeDocument/2006/relationships/hyperlink" Id="rId232" Target="https://doi.org/10.1038/s41545-022-00181-2" TargetMode="External" /><Relationship Type="http://schemas.openxmlformats.org/officeDocument/2006/relationships/hyperlink" Id="rId173" Target="https://doi.org/10.1038/s41556-024-01415-w" TargetMode="External" /><Relationship Type="http://schemas.openxmlformats.org/officeDocument/2006/relationships/hyperlink" Id="rId181" Target="https://doi.org/10.1038/sj.onc.1207325" TargetMode="External" /><Relationship Type="http://schemas.openxmlformats.org/officeDocument/2006/relationships/hyperlink" Id="rId167" Target="https://doi.org/10.1046/j.1529-8817.1999.3561422.x" TargetMode="External" /><Relationship Type="http://schemas.openxmlformats.org/officeDocument/2006/relationships/hyperlink" Id="rId159"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91" Target="https://doi.org/10.1080/10408699891274246" TargetMode="External" /><Relationship Type="http://schemas.openxmlformats.org/officeDocument/2006/relationships/hyperlink" Id="rId199" Target="https://doi.org/10.1081/ese-200048262" TargetMode="External" /><Relationship Type="http://schemas.openxmlformats.org/officeDocument/2006/relationships/hyperlink" Id="rId226" Target="https://doi.org/10.1111/are.15568" TargetMode="External" /><Relationship Type="http://schemas.openxmlformats.org/officeDocument/2006/relationships/hyperlink" Id="rId183" Target="https://doi.org/10.1111/gtc.12461" TargetMode="External" /><Relationship Type="http://schemas.openxmlformats.org/officeDocument/2006/relationships/hyperlink" Id="rId177" Target="https://doi.org/10.1111/j.1365-2184.1984.tb00604.x" TargetMode="External" /><Relationship Type="http://schemas.openxmlformats.org/officeDocument/2006/relationships/hyperlink" Id="rId218" Target="https://doi.org/10.1111/j.1529-8817.1993.tb00285.x" TargetMode="External" /><Relationship Type="http://schemas.openxmlformats.org/officeDocument/2006/relationships/hyperlink" Id="rId122" Target="https://doi.org/10.1128/aem.02250-06" TargetMode="External" /><Relationship Type="http://schemas.openxmlformats.org/officeDocument/2006/relationships/hyperlink" Id="rId106" Target="https://doi.org/10.1139/f76-004" TargetMode="External" /><Relationship Type="http://schemas.openxmlformats.org/officeDocument/2006/relationships/hyperlink" Id="rId238" Target="https://doi.org/10.1186/s12302-018-0175-8" TargetMode="External" /><Relationship Type="http://schemas.openxmlformats.org/officeDocument/2006/relationships/hyperlink" Id="rId207" Target="https://doi.org/10.1201/9781003080978-1" TargetMode="External" /><Relationship Type="http://schemas.openxmlformats.org/officeDocument/2006/relationships/hyperlink" Id="rId210" Target="https://doi.org/10.1201/9781315120256" TargetMode="External" /><Relationship Type="http://schemas.openxmlformats.org/officeDocument/2006/relationships/hyperlink" Id="rId157"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01" Target="https://doi.org/10.2166/wpt.2022.167" TargetMode="External" /><Relationship Type="http://schemas.openxmlformats.org/officeDocument/2006/relationships/hyperlink" Id="rId86"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234"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205" Target="https://www.r-project.org/" TargetMode="External" /><Relationship Type="http://schemas.openxmlformats.org/officeDocument/2006/relationships/hyperlink" Id="rId22"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Aia,d,#, Yongnian Wub,#, Ming Su ID,a,d,*, Yuying Guia,c, Yifan Dua, Jiao Fanga, Tengxin Caoa,d, and Min Yang ID,a,d</dc:creator>
  <dc:language>en</dc:language>
  <cp:keywords/>
  <dcterms:created xsi:type="dcterms:W3CDTF">2025-09-26T09:20:19Z</dcterms:created>
  <dcterms:modified xsi:type="dcterms:W3CDTF">2025-09-26T09:20:19Z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style">
    <vt:lpwstr>alphabeta</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_extensions/drwater/dwinst/journal-of-hazardous-materials.csl</vt:lpwstr>
  </property>
  <property fmtid="{D5CDD505-2E9C-101B-9397-08002B2CF9AE}" pid="13" name="doublespacing">
    <vt:lpwstr>True</vt:lpwstr>
  </property>
  <property fmtid="{D5CDD505-2E9C-101B-9397-08002B2CF9AE}" pid="14" name="endfloat">
    <vt:lpwstr>True</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isMS">
    <vt:lpwstr>True</vt:lpwstr>
  </property>
  <property fmtid="{D5CDD505-2E9C-101B-9397-08002B2CF9AE}" pid="19" name="knitr">
    <vt:lpwstr/>
  </property>
  <property fmtid="{D5CDD505-2E9C-101B-9397-08002B2CF9AE}" pid="20" name="labels">
    <vt:lpwstr/>
  </property>
  <property fmtid="{D5CDD505-2E9C-101B-9397-08002B2CF9AE}" pid="21" name="lightbox">
    <vt:lpwstr>auto</vt:lpwstr>
  </property>
  <property fmtid="{D5CDD505-2E9C-101B-9397-08002B2CF9AE}" pid="22" name="linenumber">
    <vt:lpwstr>True</vt:lpwstr>
  </property>
  <property fmtid="{D5CDD505-2E9C-101B-9397-08002B2CF9AE}" pid="23" name="msname">
    <vt:lpwstr>MS</vt:lpwstr>
  </property>
  <property fmtid="{D5CDD505-2E9C-101B-9397-08002B2CF9AE}" pid="24" name="revealjs-plugins">
    <vt:lpwstr/>
  </property>
  <property fmtid="{D5CDD505-2E9C-101B-9397-08002B2CF9AE}" pid="25" name="smname">
    <vt:lpwstr>SM</vt:lpwstr>
  </property>
  <property fmtid="{D5CDD505-2E9C-101B-9397-08002B2CF9AE}" pid="26" name="submitid">
    <vt:lpwstr/>
  </property>
  <property fmtid="{D5CDD505-2E9C-101B-9397-08002B2CF9AE}" pid="27" name="submitjournal">
    <vt:lpwstr>Journal of Hazardous Materials</vt:lpwstr>
  </property>
  <property fmtid="{D5CDD505-2E9C-101B-9397-08002B2CF9AE}" pid="28" name="toc-title">
    <vt:lpwstr>Table of contents</vt:lpwstr>
  </property>
</Properties>
</file>