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png" ContentType="image/png"/>
  <Override PartName="/word/media/rId20.png" ContentType="image/png"/>
  <Override PartName="/word/media/rId61.png" ContentType="image/png"/>
  <Override PartName="/word/media/rId41.png" ContentType="image/png"/>
  <Override PartName="/word/media/rId45.png" ContentType="image/png"/>
  <Override PartName="/word/media/rId32.png" ContentType="image/png"/>
  <Override PartName="/word/media/rId50.png" ContentType="image/png"/>
  <Override PartName="/word/media/rId37.png" ContentType="image/png"/>
  <Override PartName="/word/media/rId55.png" ContentType="image/png"/>
  <Override PartName="/word/media/rId6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中国科学院生态环境研究中心杨敏团队WR：光色对灰假鱼腥藻生长及产MIB的影响机制</w:t>
      </w:r>
    </w:p>
    <w:p>
      <w:pPr>
        <w:pStyle w:val="Author"/>
      </w:pPr>
      <w:r>
        <w:rPr>
          <w:rFonts w:hint="eastAsia"/>
        </w:rPr>
        <w:t xml:space="preserve">生态中心杨敏团队</w:t>
      </w:r>
    </w:p>
    <w:p>
      <w:pPr>
        <w:pStyle w:val="Date"/>
      </w:pPr>
      <w:r>
        <w:t xml:space="preserve">2026-08-12</w:t>
      </w:r>
    </w:p>
    <w:p>
      <w:pPr>
        <w:pStyle w:val="FirstParagraph"/>
      </w:pPr>
      <w:r>
        <w:drawing>
          <wp:inline>
            <wp:extent cx="4602480" cy="2589056"/>
            <wp:effectExtent b="0" l="0" r="0" t="0"/>
            <wp:docPr descr="" title="" id="21" name="Picture"/>
            <a:graphic>
              <a:graphicData uri="http://schemas.openxmlformats.org/drawingml/2006/picture">
                <pic:pic>
                  <pic:nvPicPr>
                    <pic:cNvPr descr="../figures/WRsnap.png" id="22" name="Picture"/>
                    <pic:cNvPicPr>
                      <a:picLocks noChangeArrowheads="1" noChangeAspect="1"/>
                    </pic:cNvPicPr>
                  </pic:nvPicPr>
                  <pic:blipFill>
                    <a:blip r:embed="rId20"/>
                    <a:stretch>
                      <a:fillRect/>
                    </a:stretch>
                  </pic:blipFill>
                  <pic:spPr bwMode="auto">
                    <a:xfrm>
                      <a:off x="0" y="0"/>
                      <a:ext cx="4602480" cy="2589056"/>
                    </a:xfrm>
                    <a:prstGeom prst="rect">
                      <a:avLst/>
                    </a:prstGeom>
                    <a:noFill/>
                    <a:ln w="9525">
                      <a:noFill/>
                      <a:headEnd/>
                      <a:tailEnd/>
                    </a:ln>
                  </pic:spPr>
                </pic:pic>
              </a:graphicData>
            </a:graphic>
          </wp:inline>
        </w:drawing>
      </w:r>
    </w:p>
    <w:p>
      <w:pPr>
        <w:pStyle w:val="Compact"/>
        <w:numPr>
          <w:ilvl w:val="0"/>
          <w:numId w:val="1001"/>
        </w:numPr>
      </w:pPr>
      <w:r>
        <w:rPr>
          <w:rFonts w:hint="eastAsia"/>
          <w:b/>
          <w:bCs/>
        </w:rPr>
        <w:t xml:space="preserve">第一作者</w:t>
      </w:r>
      <w:r>
        <w:rPr>
          <w:rFonts w:hint="eastAsia"/>
        </w:rPr>
        <w:t xml:space="preserve">：</w:t>
      </w:r>
      <w:hyperlink r:id="rId23">
        <w:r>
          <w:rPr>
            <w:rStyle w:val="Hyperlink"/>
            <w:rFonts w:hint="eastAsia"/>
          </w:rPr>
          <w:t xml:space="preserve">曹腾心</w:t>
        </w:r>
      </w:hyperlink>
    </w:p>
    <w:p>
      <w:pPr>
        <w:pStyle w:val="Compact"/>
        <w:numPr>
          <w:ilvl w:val="0"/>
          <w:numId w:val="1001"/>
        </w:numPr>
      </w:pPr>
      <w:r>
        <w:rPr>
          <w:rFonts w:hint="eastAsia"/>
          <w:b/>
          <w:bCs/>
        </w:rPr>
        <w:t xml:space="preserve">通讯作者</w:t>
      </w:r>
      <w:r>
        <w:rPr>
          <w:rFonts w:hint="eastAsia"/>
        </w:rPr>
        <w:t xml:space="preserve">：</w:t>
      </w:r>
      <w:hyperlink r:id="rId24">
        <w:r>
          <w:rPr>
            <w:rStyle w:val="Hyperlink"/>
            <w:rFonts w:hint="eastAsia"/>
          </w:rPr>
          <w:t xml:space="preserve">苏命</w:t>
        </w:r>
      </w:hyperlink>
      <w:r>
        <w:t xml:space="preserve">、</w:t>
      </w:r>
      <w:hyperlink r:id="rId25">
        <w:r>
          <w:rPr>
            <w:rStyle w:val="Hyperlink"/>
            <w:rFonts w:hint="eastAsia"/>
          </w:rPr>
          <w:t xml:space="preserve">杨敏</w:t>
        </w:r>
      </w:hyperlink>
    </w:p>
    <w:p>
      <w:pPr>
        <w:pStyle w:val="Compact"/>
        <w:numPr>
          <w:ilvl w:val="0"/>
          <w:numId w:val="1001"/>
        </w:numPr>
      </w:pPr>
      <w:r>
        <w:rPr>
          <w:rFonts w:hint="eastAsia"/>
          <w:b/>
          <w:bCs/>
        </w:rPr>
        <w:t xml:space="preserve">通讯单位</w:t>
      </w:r>
      <w:r>
        <w:rPr>
          <w:rFonts w:hint="eastAsia"/>
        </w:rPr>
        <w:t xml:space="preserve">：中国科学院生态环境研究中心</w:t>
      </w:r>
    </w:p>
    <w:p>
      <w:pPr>
        <w:pStyle w:val="Compact"/>
        <w:numPr>
          <w:ilvl w:val="0"/>
          <w:numId w:val="1001"/>
        </w:numPr>
      </w:pPr>
      <w:r>
        <w:rPr>
          <w:rFonts w:hint="eastAsia"/>
          <w:b/>
          <w:bCs/>
        </w:rPr>
        <w:t xml:space="preserve">论文DOI</w:t>
      </w:r>
      <w:r>
        <w:rPr>
          <w:rFonts w:hint="eastAsia"/>
        </w:rPr>
        <w:t xml:space="preserve">：</w:t>
      </w:r>
      <w:hyperlink r:id="rId26">
        <w:r>
          <w:rPr>
            <w:rStyle w:val="Hyperlink"/>
          </w:rPr>
          <w:t xml:space="preserve">10.1016/j.watres.2025.123336</w:t>
        </w:r>
      </w:hyperlink>
    </w:p>
    <w:bookmarkStart w:id="30" w:name="图文摘要"/>
    <w:p>
      <w:pPr>
        <w:pStyle w:val="Heading1"/>
      </w:pPr>
      <w:r>
        <w:rPr>
          <w:rFonts w:hint="eastAsia"/>
        </w:rPr>
        <w:t xml:space="preserve">图文摘要</w:t>
      </w:r>
    </w:p>
    <w:p>
      <w:pPr>
        <w:pStyle w:val="FirstParagraph"/>
      </w:pPr>
      <w:r>
        <w:drawing>
          <wp:inline>
            <wp:extent cx="5753100" cy="2327729"/>
            <wp:effectExtent b="0" l="0" r="0" t="0"/>
            <wp:docPr descr="" title="" id="28" name="Picture"/>
            <a:graphic>
              <a:graphicData uri="http://schemas.openxmlformats.org/drawingml/2006/picture">
                <pic:pic>
                  <pic:nvPicPr>
                    <pic:cNvPr descr="../figures/GA.png" id="29" name="Picture"/>
                    <pic:cNvPicPr>
                      <a:picLocks noChangeArrowheads="1" noChangeAspect="1"/>
                    </pic:cNvPicPr>
                  </pic:nvPicPr>
                  <pic:blipFill>
                    <a:blip r:embed="rId27"/>
                    <a:stretch>
                      <a:fillRect/>
                    </a:stretch>
                  </pic:blipFill>
                  <pic:spPr bwMode="auto">
                    <a:xfrm>
                      <a:off x="0" y="0"/>
                      <a:ext cx="5753100" cy="2327729"/>
                    </a:xfrm>
                    <a:prstGeom prst="rect">
                      <a:avLst/>
                    </a:prstGeom>
                    <a:noFill/>
                    <a:ln w="9525">
                      <a:noFill/>
                      <a:headEnd/>
                      <a:tailEnd/>
                    </a:ln>
                  </pic:spPr>
                </pic:pic>
              </a:graphicData>
            </a:graphic>
          </wp:inline>
        </w:drawing>
      </w:r>
    </w:p>
    <w:bookmarkEnd w:id="30"/>
    <w:bookmarkStart w:id="31" w:name="成果简介"/>
    <w:p>
      <w:pPr>
        <w:pStyle w:val="Heading1"/>
      </w:pPr>
      <w:r>
        <w:rPr>
          <w:rFonts w:hint="eastAsia"/>
        </w:rPr>
        <w:t xml:space="preserve">成果简介</w:t>
      </w:r>
    </w:p>
    <w:p>
      <w:pPr>
        <w:pStyle w:val="FirstParagraph"/>
      </w:pPr>
      <w:r>
        <w:rPr>
          <w:rFonts w:hint="eastAsia"/>
        </w:rPr>
        <w:t xml:space="preserve">近日，中国科学院生态环境研究中心杨敏研究员团队在Water</w:t>
      </w:r>
      <w:r>
        <w:t xml:space="preserve"> </w:t>
      </w:r>
      <w:r>
        <w:rPr>
          <w:rFonts w:hint="eastAsia"/>
        </w:rPr>
        <w:t xml:space="preserve">Research期刊发表题为“Green</w:t>
      </w:r>
      <w:r>
        <w:t xml:space="preserve"> Light Suppresses Cell Growth but Enhances Photosynthetic Rate and MIB Biosynthesis in PE-Containing </w:t>
      </w:r>
      <w:r>
        <w:rPr>
          <w:rFonts w:hint="eastAsia"/>
        </w:rPr>
        <w:t xml:space="preserve">Pseudanabaena”的研究论文。</w:t>
      </w:r>
    </w:p>
    <w:bookmarkEnd w:id="31"/>
    <w:bookmarkStart w:id="60" w:name="全文速览"/>
    <w:p>
      <w:pPr>
        <w:pStyle w:val="Heading1"/>
      </w:pPr>
      <w:r>
        <w:rPr>
          <w:rFonts w:hint="eastAsia"/>
        </w:rPr>
        <w:t xml:space="preserve">全文速览</w:t>
      </w:r>
    </w:p>
    <w:p>
      <w:pPr>
        <w:pStyle w:val="FirstParagraph"/>
      </w:pPr>
      <w:r>
        <w:rPr>
          <w:rFonts w:hint="eastAsia"/>
        </w:rPr>
        <w:t xml:space="preserve">2-甲基异茨醇（MIB）是典型的饮用水土霉味物质，由特定蓝藻在光合色素生物合成过程中产生，但不同色素在产嗅藻生长与MIB生成中的作用未知。本研究研究了一种含藻红蛋白（PE）的产MIB蓝藻——灰色假鱼腥藻（</w:t>
      </w:r>
      <w:r>
        <w:rPr>
          <w:i/>
          <w:iCs/>
        </w:rPr>
        <w:t xml:space="preserve">Pseudanabaena cinerea</w:t>
      </w:r>
      <w:r>
        <w:rPr>
          <w:rFonts w:hint="eastAsia"/>
        </w:rPr>
        <w:t xml:space="preserve">）在不同光色下的趋色适应性。结果表明：红光通过激活三羧酸（TCA）循环及相关代谢过程促进藻体生长，而绿光显著提升光合色素含量及电子传递效率；MIB产量与叶绿素a（Chl</w:t>
      </w:r>
      <w:r>
        <w:t xml:space="preserve"> </w:t>
      </w:r>
      <w:r>
        <w:rPr>
          <w:i/>
          <w:iCs/>
        </w:rPr>
        <w:t xml:space="preserve">a</w:t>
      </w:r>
      <w:r>
        <w:rPr>
          <w:rFonts w:hint="eastAsia"/>
        </w:rPr>
        <w:t xml:space="preserve">）含量呈对数-线性关系（R</w:t>
      </w:r>
      <w:r>
        <w:rPr>
          <w:vertAlign w:val="superscript"/>
        </w:rPr>
        <w:t xml:space="preserve">2</w:t>
      </w:r>
      <w:r>
        <w:t xml:space="preserve"> </w:t>
      </w:r>
      <w:r>
        <w:t xml:space="preserve">= </w:t>
      </w:r>
      <w:r>
        <w:rPr>
          <w:rFonts w:hint="eastAsia"/>
        </w:rPr>
        <w:t xml:space="preserve">0.74，</w:t>
      </w:r>
      <w:r>
        <w:rPr>
          <w:i/>
          <w:iCs/>
        </w:rPr>
        <w:t xml:space="preserve">p</w:t>
      </w:r>
      <w:r>
        <w:t xml:space="preserve"> </w:t>
      </w:r>
      <w:r>
        <w:t xml:space="preserve">&lt; </w:t>
      </w:r>
      <w:r>
        <w:rPr>
          <w:rFonts w:hint="eastAsia"/>
        </w:rPr>
        <w:t xml:space="preserve">0.01），且</w:t>
      </w:r>
      <w:r>
        <w:rPr>
          <w:i/>
          <w:iCs/>
        </w:rPr>
        <w:t xml:space="preserve">mic</w:t>
      </w:r>
      <w:r>
        <w:rPr>
          <w:rFonts w:hint="eastAsia"/>
        </w:rPr>
        <w:t xml:space="preserve">与</w:t>
      </w:r>
      <w:r>
        <w:rPr>
          <w:i/>
          <w:iCs/>
        </w:rPr>
        <w:t xml:space="preserve">chlG</w:t>
      </w:r>
      <w:r>
        <w:rPr>
          <w:rFonts w:hint="eastAsia"/>
        </w:rPr>
        <w:t xml:space="preserve">基因表达量也呈强相关性（R</w:t>
      </w:r>
      <w:r>
        <w:rPr>
          <w:vertAlign w:val="superscript"/>
        </w:rPr>
        <w:t xml:space="preserve">2</w:t>
      </w:r>
      <w:r>
        <w:t xml:space="preserve"> </w:t>
      </w:r>
      <w:r>
        <w:t xml:space="preserve">= </w:t>
      </w:r>
      <w:r>
        <w:rPr>
          <w:rFonts w:hint="eastAsia"/>
        </w:rPr>
        <w:t xml:space="preserve">0.85，</w:t>
      </w:r>
      <w:r>
        <w:rPr>
          <w:i/>
          <w:iCs/>
        </w:rPr>
        <w:t xml:space="preserve">p</w:t>
      </w:r>
      <w:r>
        <w:t xml:space="preserve"> </w:t>
      </w:r>
      <w:r>
        <w:t xml:space="preserve">&lt; </w:t>
      </w:r>
      <w:r>
        <w:rPr>
          <w:rFonts w:hint="eastAsia"/>
        </w:rPr>
        <w:t xml:space="preserve">0.01）。相较于Chl</w:t>
      </w:r>
      <w:r>
        <w:t xml:space="preserve"> </w:t>
      </w:r>
      <w:r>
        <w:rPr>
          <w:i/>
          <w:iCs/>
        </w:rPr>
        <w:t xml:space="preserve">a</w:t>
      </w:r>
      <w:r>
        <w:rPr>
          <w:rFonts w:hint="eastAsia"/>
        </w:rPr>
        <w:t xml:space="preserve">合成，MIB生物合成的碳通量分配不足2</w:t>
      </w:r>
      <w:r>
        <w:t xml:space="preserve"> </w:t>
      </w:r>
      <w:r>
        <w:rPr>
          <w:rFonts w:hint="eastAsia"/>
        </w:rPr>
        <w:t xml:space="preserve">%，表明MIB合成与光合色素生产具有协同性而非竞争性。野外观察发现水体浊度增加导致的光谱红移改变了光合色素组成，最终导致MIB产生量的下降。本研究揭示了产MIB蓝藻对光色的适应性机制，为水源MIB原位生成控制提供了理论依据。</w:t>
      </w:r>
    </w:p>
    <w:bookmarkStart w:id="36" w:name="光色对灰假鱼腥藻生长和产嗅的影响"/>
    <w:p>
      <w:pPr>
        <w:pStyle w:val="Heading2"/>
      </w:pPr>
      <w:r>
        <w:rPr>
          <w:rFonts w:hint="eastAsia"/>
        </w:rPr>
        <w:t xml:space="preserve">光色对灰假鱼腥藻生长和产嗅的影响</w:t>
      </w:r>
    </w:p>
    <w:p>
      <w:pPr>
        <w:pStyle w:val="FirstParagraph"/>
      </w:pPr>
      <w:r>
        <w:rPr>
          <w:rFonts w:hint="eastAsia"/>
        </w:rPr>
        <w:t xml:space="preserve">假鱼腥藻在不同光谱下具有不同的生长与产嗅特征。蓝光下假鱼腥藻无法生长，红光促进细胞生长，绿光下单细胞MIB合成量达到最高。为阐明MIB产生的机制，在整个培养过程中对</w:t>
      </w:r>
      <w:r>
        <w:rPr>
          <w:i/>
          <w:iCs/>
        </w:rPr>
        <w:t xml:space="preserve">mic</w:t>
      </w:r>
      <w:r>
        <w:rPr>
          <w:rFonts w:hint="eastAsia"/>
        </w:rPr>
        <w:t xml:space="preserve">基因的表达水平进行了量化。绿光下</w:t>
      </w:r>
      <w:r>
        <w:rPr>
          <w:i/>
          <w:iCs/>
        </w:rPr>
        <w:t xml:space="preserve">mic</w:t>
      </w:r>
      <w:r>
        <w:rPr>
          <w:rFonts w:hint="eastAsia"/>
        </w:rPr>
        <w:t xml:space="preserve">基因的表达水平（0.37</w:t>
      </w:r>
      <w:r>
        <w:t xml:space="preserve"> ± </w:t>
      </w:r>
      <w:r>
        <w:rPr>
          <w:rFonts w:hint="eastAsia"/>
        </w:rPr>
        <w:t xml:space="preserve">0.08）明显高于红光（0.028</w:t>
      </w:r>
      <w:r>
        <w:t xml:space="preserve"> ± </w:t>
      </w:r>
      <w:r>
        <w:rPr>
          <w:rFonts w:hint="eastAsia"/>
        </w:rPr>
        <w:t xml:space="preserve">0.018，</w:t>
      </w:r>
      <w:r>
        <w:rPr>
          <w:i/>
          <w:iCs/>
        </w:rPr>
        <w:t xml:space="preserve">p</w:t>
      </w:r>
      <w:r>
        <w:t xml:space="preserve"> </w:t>
      </w:r>
      <w:r>
        <w:t xml:space="preserve">&lt; </w:t>
      </w:r>
      <w:r>
        <w:rPr>
          <w:rFonts w:hint="eastAsia"/>
        </w:rPr>
        <w:t xml:space="preserve">0.01）和白光（0.049</w:t>
      </w:r>
      <w:r>
        <w:t xml:space="preserve"> ± </w:t>
      </w:r>
      <w:r>
        <w:rPr>
          <w:rFonts w:hint="eastAsia"/>
        </w:rPr>
        <w:t xml:space="preserve">0.026，</w:t>
      </w:r>
      <w:r>
        <w:rPr>
          <w:i/>
          <w:iCs/>
        </w:rPr>
        <w:t xml:space="preserve">p</w:t>
      </w:r>
      <w:r>
        <w:t xml:space="preserve"> </w:t>
      </w:r>
      <w:r>
        <w:t xml:space="preserve">&lt; </w:t>
      </w:r>
      <w:r>
        <w:rPr>
          <w:rFonts w:hint="eastAsia"/>
        </w:rPr>
        <w:t xml:space="preserve">0.01）。功能基因表达量的变化与不同光色下单细胞MIB产量的变化一致，</w:t>
      </w:r>
      <w:r>
        <w:rPr>
          <w:i/>
          <w:iCs/>
        </w:rPr>
        <w:t xml:space="preserve">mic</w:t>
      </w:r>
      <w:r>
        <w:rPr>
          <w:rFonts w:hint="eastAsia"/>
        </w:rPr>
        <w:t xml:space="preserve">基因表达水平与细胞MIB产量呈显著正相关（R</w:t>
      </w:r>
      <w:r>
        <w:rPr>
          <w:vertAlign w:val="superscript"/>
        </w:rPr>
        <w:t xml:space="preserve">2</w:t>
      </w:r>
      <w:r>
        <w:t xml:space="preserve"> </w:t>
      </w:r>
      <w:r>
        <w:t xml:space="preserve">= </w:t>
      </w:r>
      <w:r>
        <w:rPr>
          <w:rFonts w:hint="eastAsia"/>
        </w:rPr>
        <w:t xml:space="preserve">0.822，</w:t>
      </w:r>
      <w:r>
        <w:t xml:space="preserve"> </w:t>
      </w:r>
      <w:r>
        <w:rPr>
          <w:i/>
          <w:iCs/>
        </w:rPr>
        <w:t xml:space="preserve">p</w:t>
      </w:r>
      <w:r>
        <w:t xml:space="preserve"> </w:t>
      </w:r>
      <w:r>
        <w:t xml:space="preserve">&lt; </w:t>
      </w:r>
      <w:r>
        <w:rPr>
          <w:rFonts w:hint="eastAsia"/>
        </w:rPr>
        <w:t xml:space="preserve">0.01）。该结果表明产嗅藻MIB的合成主要受</w:t>
      </w:r>
      <w:r>
        <w:rPr>
          <w:i/>
          <w:iCs/>
        </w:rPr>
        <w:t xml:space="preserve">mic</w:t>
      </w:r>
      <w:r>
        <w:rPr>
          <w:rFonts w:hint="eastAsia"/>
        </w:rPr>
        <w:t xml:space="preserve">基因表达过程的影响，在绿光下假鱼腥藻通过上调功能基因表达强度提高单细胞MIB产量。</w:t>
      </w:r>
    </w:p>
    <w:tbl>
      <w:tblPr>
        <w:tblStyle w:val="Table"/>
        <w:tblW w:type="pct" w:w="5000"/>
        <w:tblLayout w:type="fixed"/>
        <w:tblLook w:firstRow="0" w:lastRow="0" w:firstColumn="0" w:lastColumn="0" w:noHBand="0" w:noVBand="0" w:val="0000"/>
      </w:tblPr>
      <w:tblGrid>
        <w:gridCol w:w="7920"/>
      </w:tblGrid>
      <w:tr>
        <w:tc>
          <w:tcPr/>
          <w:bookmarkStart w:id="35" w:name="fig-micexpression"/>
          <w:p>
            <w:pPr>
              <w:pStyle w:val="Compact"/>
              <w:jc w:val="center"/>
            </w:pPr>
            <w:r>
              <w:drawing>
                <wp:inline>
                  <wp:extent cx="4027170" cy="4455473"/>
                  <wp:effectExtent b="0" l="0" r="0" t="0"/>
                  <wp:docPr descr="" title="" id="33" name="Picture"/>
                  <a:graphic>
                    <a:graphicData uri="http://schemas.openxmlformats.org/drawingml/2006/picture">
                      <pic:pic>
                        <pic:nvPicPr>
                          <pic:cNvPr descr="../figures/micexpression_v.png" id="34" name="Picture"/>
                          <pic:cNvPicPr>
                            <a:picLocks noChangeArrowheads="1" noChangeAspect="1"/>
                          </pic:cNvPicPr>
                        </pic:nvPicPr>
                        <pic:blipFill>
                          <a:blip r:embed="rId32"/>
                          <a:stretch>
                            <a:fillRect/>
                          </a:stretch>
                        </pic:blipFill>
                        <pic:spPr bwMode="auto">
                          <a:xfrm>
                            <a:off x="0" y="0"/>
                            <a:ext cx="4027170" cy="4455473"/>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Culture experiment for</w:t>
            </w:r>
            <w:r>
              <w:t xml:space="preserve"> </w:t>
            </w:r>
            <w:r>
              <w:rPr>
                <w:i/>
                <w:iCs/>
              </w:rPr>
              <w:t xml:space="preserve">Pseudanabaena cinerea</w:t>
            </w:r>
            <w:r>
              <w:t xml:space="preserve"> </w:t>
            </w:r>
            <w:r>
              <w:t xml:space="preserve">under 25 °C, 30 μmol photons m</w:t>
            </w:r>
            <w:r>
              <w:rPr>
                <w:vertAlign w:val="superscript"/>
              </w:rPr>
              <w:t xml:space="preserve">-2</w:t>
            </w:r>
            <w:r>
              <w:t xml:space="preserve"> </w:t>
            </w:r>
            <w:r>
              <w:t xml:space="preserve">s</w:t>
            </w:r>
            <w:r>
              <w:rPr>
                <w:vertAlign w:val="superscript"/>
              </w:rPr>
              <w:t xml:space="preserve">-1</w:t>
            </w:r>
            <w:r>
              <w:t xml:space="preserve">, different light color: cultures were sampled every 3 or 4 d during a 35 d culture period for quantifying cell density, MIB concentration, and</w:t>
            </w:r>
            <w:r>
              <w:t xml:space="preserve"> </w:t>
            </w:r>
            <w:r>
              <w:rPr>
                <w:i/>
                <w:iCs/>
              </w:rPr>
              <w:t xml:space="preserve">mic</w:t>
            </w:r>
            <w:r>
              <w:t xml:space="preserve"> </w:t>
            </w:r>
            <w:r>
              <w:t xml:space="preserve">gene expression level. Samples in the stationary phase were further analyzed for photosynthetic pigment composition, photophysiological parameters and transcriptomic analysis. Effects of light color on MIB production under different temperature was conducted under 10 °C, 25 °C, and 35 °C, and the samples in day 10 to day 15 collected for quantifying cell density, MIB concentration, and</w:t>
            </w:r>
            <w:r>
              <w:t xml:space="preserve"> </w:t>
            </w:r>
            <w:r>
              <w:rPr>
                <w:i/>
                <w:iCs/>
              </w:rPr>
              <w:t xml:space="preserve">mic</w:t>
            </w:r>
            <w:r>
              <w:t xml:space="preserve"> </w:t>
            </w:r>
            <w:r>
              <w:t xml:space="preserve">gene expression level (A). The cell color collected at day 15 under different temperature different light colors (B). The cellular MIB yield (C) and</w:t>
            </w:r>
            <w:r>
              <w:t xml:space="preserve"> </w:t>
            </w:r>
            <w:r>
              <w:rPr>
                <w:i/>
                <w:iCs/>
              </w:rPr>
              <w:t xml:space="preserve">mic</w:t>
            </w:r>
            <w:r>
              <w:t xml:space="preserve"> </w:t>
            </w:r>
            <w:r>
              <w:t xml:space="preserve">gene expression level (D) of</w:t>
            </w:r>
            <w:r>
              <w:t xml:space="preserve"> </w:t>
            </w:r>
            <w:r>
              <w:rPr>
                <w:i/>
                <w:iCs/>
              </w:rPr>
              <w:t xml:space="preserve">Pseudanabaena cinerea</w:t>
            </w:r>
            <w:r>
              <w:t xml:space="preserve"> </w:t>
            </w:r>
            <w:r>
              <w:t xml:space="preserve">under different light color and culture temperature. The</w:t>
            </w:r>
            <w:r>
              <w:t xml:space="preserve"> </w:t>
            </w:r>
            <w:r>
              <w:rPr>
                <w:i/>
                <w:iCs/>
              </w:rPr>
              <w:t xml:space="preserve">mic</w:t>
            </w:r>
            <w:r>
              <w:t xml:space="preserve"> </w:t>
            </w:r>
            <w:r>
              <w:t xml:space="preserve">gene expression level of MIB-producing</w:t>
            </w:r>
            <w:r>
              <w:t xml:space="preserve"> </w:t>
            </w:r>
            <w:r>
              <w:rPr>
                <w:i/>
                <w:iCs/>
              </w:rPr>
              <w:t xml:space="preserve">Pseudanabaena cinerea</w:t>
            </w:r>
            <w:r>
              <w:t xml:space="preserve"> </w:t>
            </w:r>
            <w:r>
              <w:t xml:space="preserve">under different light color at 25 °C (E). Correlation between</w:t>
            </w:r>
            <w:r>
              <w:t xml:space="preserve"> </w:t>
            </w:r>
            <w:r>
              <w:rPr>
                <w:i/>
                <w:iCs/>
              </w:rPr>
              <w:t xml:space="preserve">mic</w:t>
            </w:r>
            <w:r>
              <w:t xml:space="preserve"> </w:t>
            </w:r>
            <w:r>
              <w:t xml:space="preserve">gene expression level and MIB concentration (F).</w:t>
            </w:r>
          </w:p>
          <w:bookmarkEnd w:id="35"/>
        </w:tc>
      </w:tr>
    </w:tbl>
    <w:bookmarkEnd w:id="36"/>
    <w:bookmarkStart w:id="49" w:name="不同光色下的光生理响应"/>
    <w:p>
      <w:pPr>
        <w:pStyle w:val="Heading2"/>
      </w:pPr>
      <w:r>
        <w:rPr>
          <w:rFonts w:hint="eastAsia"/>
        </w:rPr>
        <w:t xml:space="preserve">不同光色下的光生理响应</w:t>
      </w:r>
    </w:p>
    <w:p>
      <w:pPr>
        <w:pStyle w:val="FirstParagraph"/>
      </w:pPr>
      <w:r>
        <w:rPr>
          <w:rFonts w:hint="eastAsia"/>
        </w:rPr>
        <w:t xml:space="preserve">不同光谱下培养的假鱼腥藻启用光适应机制调整其色素组成，以更好的利用不同波长的光能。藻红蛋白（PE）对绿光的吸收率最高，因此在绿光下浓度最高（3986</w:t>
      </w:r>
      <w:r>
        <w:t xml:space="preserve"> </w:t>
      </w:r>
      <w:r>
        <w:rPr>
          <w:rFonts w:hint="eastAsia"/>
        </w:rPr>
        <w:t xml:space="preserve">fg/细胞，19%）。藻蓝蛋白（PC）表现出更强的红光吸收能力，在红光下产量增加至7039</w:t>
      </w:r>
      <w:r>
        <w:t xml:space="preserve"> </w:t>
      </w:r>
      <w:r>
        <w:rPr>
          <w:rFonts w:hint="eastAsia"/>
        </w:rPr>
        <w:t xml:space="preserve">fg/细胞，而在绿光和白光下分别为5300</w:t>
      </w:r>
      <w:r>
        <w:t xml:space="preserve"> </w:t>
      </w:r>
      <w:r>
        <w:rPr>
          <w:rFonts w:hint="eastAsia"/>
        </w:rPr>
        <w:t xml:space="preserve">fg/细胞和4530</w:t>
      </w:r>
      <w:r>
        <w:t xml:space="preserve"> </w:t>
      </w:r>
      <w:r>
        <w:rPr>
          <w:rFonts w:hint="eastAsia"/>
        </w:rPr>
        <w:t xml:space="preserve">fg/细胞。叶绿素a（Chl</w:t>
      </w:r>
      <w:r>
        <w:t xml:space="preserve"> </w:t>
      </w:r>
      <w:r>
        <w:rPr>
          <w:i/>
          <w:iCs/>
        </w:rPr>
        <w:t xml:space="preserve">a</w:t>
      </w:r>
      <w:r>
        <w:rPr>
          <w:rFonts w:hint="eastAsia"/>
        </w:rPr>
        <w:t xml:space="preserve">）在绿光条件下产量最高（11346</w:t>
      </w:r>
      <w:r>
        <w:t xml:space="preserve"> </w:t>
      </w:r>
      <w:r>
        <w:rPr>
          <w:rFonts w:hint="eastAsia"/>
        </w:rPr>
        <w:t xml:space="preserve">fg/细胞，55%），略高于红光条件（8092</w:t>
      </w:r>
      <w:r>
        <w:t xml:space="preserve"> </w:t>
      </w:r>
      <w:r>
        <w:rPr>
          <w:rFonts w:hint="eastAsia"/>
        </w:rPr>
        <w:t xml:space="preserve">fg/细胞，53%）和白光条件（8769</w:t>
      </w:r>
      <w:r>
        <w:t xml:space="preserve"> </w:t>
      </w:r>
      <w:r>
        <w:rPr>
          <w:rFonts w:hint="eastAsia"/>
        </w:rPr>
        <w:t xml:space="preserve">fg/细胞，55%）。该色素组成的变化极大地影响细胞颜色，使其在绿光环境中呈现红色，在红光环境中呈现绿色。通过分析色素组成变化确认了该过程属于第III类光适用机制（Type</w:t>
      </w:r>
      <w:r>
        <w:t xml:space="preserve"> III </w:t>
      </w:r>
      <w:r>
        <w:rPr>
          <w:rFonts w:hint="eastAsia"/>
        </w:rPr>
        <w:t xml:space="preserve">CA）。编码相关光合色素的基因表达水平与色素变化呈现一致的变化趋势，在绿光下，编码藻红蛋白和叶绿素的基因表达相比于红光显著上调。光合色素合成的提高进一步导致导致光合效率的提高。</w:t>
      </w:r>
    </w:p>
    <w:tbl>
      <w:tblPr>
        <w:tblStyle w:val="Table"/>
        <w:tblW w:type="pct" w:w="5000"/>
        <w:tblLayout w:type="fixed"/>
        <w:tblLook w:firstRow="0" w:lastRow="0" w:firstColumn="0" w:lastColumn="0" w:noHBand="0" w:noVBand="0" w:val="0000"/>
      </w:tblPr>
      <w:tblGrid>
        <w:gridCol w:w="7920"/>
      </w:tblGrid>
      <w:tr>
        <w:tc>
          <w:tcPr/>
          <w:bookmarkStart w:id="40" w:name="fig-photopigment"/>
          <w:p>
            <w:pPr>
              <w:pStyle w:val="Compact"/>
              <w:jc w:val="center"/>
            </w:pPr>
            <w:r>
              <w:drawing>
                <wp:inline>
                  <wp:extent cx="4027170" cy="2094360"/>
                  <wp:effectExtent b="0" l="0" r="0" t="0"/>
                  <wp:docPr descr="" title="" id="38" name="Picture"/>
                  <a:graphic>
                    <a:graphicData uri="http://schemas.openxmlformats.org/drawingml/2006/picture">
                      <pic:pic>
                        <pic:nvPicPr>
                          <pic:cNvPr descr="../figures/photopigment.png" id="39" name="Picture"/>
                          <pic:cNvPicPr>
                            <a:picLocks noChangeArrowheads="1" noChangeAspect="1"/>
                          </pic:cNvPicPr>
                        </pic:nvPicPr>
                        <pic:blipFill>
                          <a:blip r:embed="rId37"/>
                          <a:stretch>
                            <a:fillRect/>
                          </a:stretch>
                        </pic:blipFill>
                        <pic:spPr bwMode="auto">
                          <a:xfrm>
                            <a:off x="0" y="0"/>
                            <a:ext cx="4027170" cy="2094360"/>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The cell color of</w:t>
            </w:r>
            <w:r>
              <w:t xml:space="preserve"> </w:t>
            </w:r>
            <w:r>
              <w:rPr>
                <w:i/>
                <w:iCs/>
              </w:rPr>
              <w:t xml:space="preserve">Pseudanabaena cinerea</w:t>
            </w:r>
            <w:r>
              <w:t xml:space="preserve"> </w:t>
            </w:r>
            <w:r>
              <w:t xml:space="preserve">collected at the end of the culture experiment (day 35) under different light colors (A). The photosynthetic pigment contents (B), effective photochemical quantum yield of PS II (Y (II)) (C), and maximum electron transport rate (ETRmax) (D) under different light colors. The expression level (FPKM) of genes encoding phycobilisomes (PE, PC, and APC), Chl</w:t>
            </w:r>
            <w:r>
              <w:t xml:space="preserve"> </w:t>
            </w:r>
            <w:r>
              <w:rPr>
                <w:i/>
                <w:iCs/>
              </w:rPr>
              <w:t xml:space="preserve">a</w:t>
            </w:r>
            <w:r>
              <w:t xml:space="preserve">, photosystem II, photosystem I, photoelectron transfer pigments, and carbon fixation (E).</w:t>
            </w:r>
          </w:p>
          <w:bookmarkEnd w:id="40"/>
        </w:tc>
      </w:tr>
    </w:tbl>
    <w:p>
      <w:pPr>
        <w:pStyle w:val="BodyText"/>
      </w:pPr>
      <w:r>
        <w:rPr>
          <w:rFonts w:hint="eastAsia"/>
        </w:rPr>
        <w:t xml:space="preserve">光合色素的合成调节对下游各类细胞过程产生影响。转录组分析进一步明晰了产嗅藻在不同光色下的生理反应。绿光相较于红光，有539个基因显著上调，719个基因显著下调。与红光相比，在绿光下，假鱼腥藻中与光合作用蛋白、碳固定、双组分系统、光合作用、萜类骨架生物合成以及卟啉和叶绿素代谢相关通路显著上调。这些途径表明绿光下光合作用和碳同化功能等代谢活动的增强。相反，下调的途径主要与氮代谢、硫代谢、TCA循环和细胞生长过程有关，表明红光下与氮、硫代谢和细胞生长活动增强。</w:t>
      </w:r>
    </w:p>
    <w:tbl>
      <w:tblPr>
        <w:tblStyle w:val="Table"/>
        <w:tblW w:type="pct" w:w="5000"/>
        <w:tblLayout w:type="fixed"/>
        <w:tblLook w:firstRow="0" w:lastRow="0" w:firstColumn="0" w:lastColumn="0" w:noHBand="0" w:noVBand="0" w:val="0000"/>
      </w:tblPr>
      <w:tblGrid>
        <w:gridCol w:w="7920"/>
      </w:tblGrid>
      <w:tr>
        <w:tc>
          <w:tcPr/>
          <w:bookmarkStart w:id="44" w:name="fig-genecomparaion"/>
          <w:p>
            <w:pPr>
              <w:pStyle w:val="Compact"/>
              <w:jc w:val="center"/>
            </w:pPr>
            <w:r>
              <w:drawing>
                <wp:inline>
                  <wp:extent cx="4027170" cy="4312225"/>
                  <wp:effectExtent b="0" l="0" r="0" t="0"/>
                  <wp:docPr descr="" title="" id="42" name="Picture"/>
                  <a:graphic>
                    <a:graphicData uri="http://schemas.openxmlformats.org/drawingml/2006/picture">
                      <pic:pic>
                        <pic:nvPicPr>
                          <pic:cNvPr descr="../figures/genecomparaion.png" id="43" name="Picture"/>
                          <pic:cNvPicPr>
                            <a:picLocks noChangeArrowheads="1" noChangeAspect="1"/>
                          </pic:cNvPicPr>
                        </pic:nvPicPr>
                        <pic:blipFill>
                          <a:blip r:embed="rId41"/>
                          <a:stretch>
                            <a:fillRect/>
                          </a:stretch>
                        </pic:blipFill>
                        <pic:spPr bwMode="auto">
                          <a:xfrm>
                            <a:off x="0" y="0"/>
                            <a:ext cx="4027170" cy="4312225"/>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Differentially expressed genes of</w:t>
            </w:r>
            <w:r>
              <w:t xml:space="preserve"> </w:t>
            </w:r>
            <w:r>
              <w:rPr>
                <w:i/>
                <w:iCs/>
              </w:rPr>
              <w:t xml:space="preserve">Pseudanabaena cinerea</w:t>
            </w:r>
            <w:r>
              <w:t xml:space="preserve"> </w:t>
            </w:r>
            <w:r>
              <w:t xml:space="preserve">under green light compared to red light (A). The significantly up-regulated (B) and down-regulated genes (C), along with their associated pathways.</w:t>
            </w:r>
          </w:p>
          <w:bookmarkEnd w:id="44"/>
        </w:tc>
      </w:tr>
    </w:tbl>
    <w:tbl>
      <w:tblPr>
        <w:tblStyle w:val="Table"/>
        <w:tblW w:type="pct" w:w="5000"/>
        <w:tblLayout w:type="fixed"/>
        <w:tblLook w:firstRow="0" w:lastRow="0" w:firstColumn="0" w:lastColumn="0" w:noHBand="0" w:noVBand="0" w:val="0000"/>
      </w:tblPr>
      <w:tblGrid>
        <w:gridCol w:w="7920"/>
      </w:tblGrid>
      <w:tr>
        <w:tc>
          <w:tcPr/>
          <w:bookmarkStart w:id="48" w:name="fig-kegg"/>
          <w:p>
            <w:pPr>
              <w:pStyle w:val="Compact"/>
              <w:jc w:val="center"/>
            </w:pPr>
            <w:r>
              <w:drawing>
                <wp:inline>
                  <wp:extent cx="4027170" cy="3020377"/>
                  <wp:effectExtent b="0" l="0" r="0" t="0"/>
                  <wp:docPr descr="" title="" id="46" name="Picture"/>
                  <a:graphic>
                    <a:graphicData uri="http://schemas.openxmlformats.org/drawingml/2006/picture">
                      <pic:pic>
                        <pic:nvPicPr>
                          <pic:cNvPr descr="../figures/kegg.png" id="47" name="Picture"/>
                          <pic:cNvPicPr>
                            <a:picLocks noChangeArrowheads="1" noChangeAspect="1"/>
                          </pic:cNvPicPr>
                        </pic:nvPicPr>
                        <pic:blipFill>
                          <a:blip r:embed="rId45"/>
                          <a:stretch>
                            <a:fillRect/>
                          </a:stretch>
                        </pic:blipFill>
                        <pic:spPr bwMode="auto">
                          <a:xfrm>
                            <a:off x="0" y="0"/>
                            <a:ext cx="4027170" cy="3020377"/>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KEGG enrichment analysis of categories of differentially expressed genes of</w:t>
            </w:r>
            <w:r>
              <w:t xml:space="preserve"> </w:t>
            </w:r>
            <w:r>
              <w:rPr>
                <w:i/>
                <w:iCs/>
              </w:rPr>
              <w:t xml:space="preserve">Pseudanabaena</w:t>
            </w:r>
            <w:r>
              <w:t xml:space="preserve"> </w:t>
            </w:r>
            <w:r>
              <w:t xml:space="preserve">in response to light color (green, red, and white) (A). The up-regulated and down-regulated pathways under green light compared to red light at pathway levels 3 (B). Differentially expressed metabolic pathways (C) of</w:t>
            </w:r>
            <w:r>
              <w:t xml:space="preserve"> </w:t>
            </w:r>
            <w:r>
              <w:rPr>
                <w:i/>
                <w:iCs/>
              </w:rPr>
              <w:t xml:space="preserve">Pseudanabaena cinerea</w:t>
            </w:r>
            <w:r>
              <w:t xml:space="preserve"> </w:t>
            </w:r>
            <w:r>
              <w:t xml:space="preserve">responding to light color. Pink and blue symbols represented the up-regulated and down-regulated genes or pathways by green light compared to red light.</w:t>
            </w:r>
          </w:p>
          <w:bookmarkEnd w:id="48"/>
        </w:tc>
      </w:tr>
    </w:tbl>
    <w:bookmarkEnd w:id="49"/>
    <w:bookmarkStart w:id="54" w:name="mib合成与叶绿素合成的关系"/>
    <w:p>
      <w:pPr>
        <w:pStyle w:val="Heading2"/>
      </w:pPr>
      <w:r>
        <w:rPr>
          <w:rFonts w:hint="eastAsia"/>
        </w:rPr>
        <w:t xml:space="preserve">MIB合成与叶绿素合成的关系</w:t>
      </w:r>
    </w:p>
    <w:p>
      <w:pPr>
        <w:pStyle w:val="FirstParagraph"/>
      </w:pPr>
      <w:r>
        <w:rPr>
          <w:rFonts w:hint="eastAsia"/>
        </w:rPr>
        <w:t xml:space="preserve">MIB在生物合成过程中与Chl</w:t>
      </w:r>
      <w:r>
        <w:t xml:space="preserve"> </w:t>
      </w:r>
      <w:r>
        <w:rPr>
          <w:i/>
          <w:iCs/>
        </w:rPr>
        <w:t xml:space="preserve">a</w:t>
      </w:r>
      <w:r>
        <w:rPr>
          <w:rFonts w:hint="eastAsia"/>
        </w:rPr>
        <w:t xml:space="preserve">具有共同的前体物。在绿光下观察到Chl</w:t>
      </w:r>
      <w:r>
        <w:t xml:space="preserve"> </w:t>
      </w:r>
      <w:r>
        <w:rPr>
          <w:i/>
          <w:iCs/>
        </w:rPr>
        <w:t xml:space="preserve">a</w:t>
      </w:r>
      <w:r>
        <w:rPr>
          <w:rFonts w:hint="eastAsia"/>
        </w:rPr>
        <w:t xml:space="preserve">生物合成（基因：</w:t>
      </w:r>
      <w:r>
        <w:rPr>
          <w:i/>
          <w:iCs/>
        </w:rPr>
        <w:t xml:space="preserve">gcpB</w:t>
      </w:r>
      <w:r>
        <w:t xml:space="preserve">、</w:t>
      </w:r>
      <w:r>
        <w:rPr>
          <w:i/>
          <w:iCs/>
        </w:rPr>
        <w:t xml:space="preserve">ispH</w:t>
      </w:r>
      <w:r>
        <w:t xml:space="preserve">、GGPS、FDPS、</w:t>
      </w:r>
      <w:r>
        <w:rPr>
          <w:i/>
          <w:iCs/>
        </w:rPr>
        <w:t xml:space="preserve">chlP</w:t>
      </w:r>
      <w:r>
        <w:rPr>
          <w:rFonts w:hint="eastAsia"/>
        </w:rPr>
        <w:t xml:space="preserve">和</w:t>
      </w:r>
      <w:r>
        <w:rPr>
          <w:i/>
          <w:iCs/>
        </w:rPr>
        <w:t xml:space="preserve">chlG</w:t>
      </w:r>
      <w:r>
        <w:rPr>
          <w:rFonts w:hint="eastAsia"/>
        </w:rPr>
        <w:t xml:space="preserve">）和MIB生物合成（基因：</w:t>
      </w:r>
      <w:r>
        <w:rPr>
          <w:i/>
          <w:iCs/>
        </w:rPr>
        <w:t xml:space="preserve">mtf</w:t>
      </w:r>
      <w:r>
        <w:rPr>
          <w:rFonts w:hint="eastAsia"/>
        </w:rPr>
        <w:t xml:space="preserve">和</w:t>
      </w:r>
      <w:r>
        <w:rPr>
          <w:i/>
          <w:iCs/>
        </w:rPr>
        <w:t xml:space="preserve">mic</w:t>
      </w:r>
      <w:r>
        <w:rPr>
          <w:rFonts w:hint="eastAsia"/>
        </w:rPr>
        <w:t xml:space="preserve">）的共同上调。对</w:t>
      </w:r>
      <w:r>
        <w:rPr>
          <w:i/>
          <w:iCs/>
        </w:rPr>
        <w:t xml:space="preserve">chl G</w:t>
      </w:r>
      <w:r>
        <w:rPr>
          <w:rFonts w:hint="eastAsia"/>
        </w:rPr>
        <w:t xml:space="preserve">（编码Chl</w:t>
      </w:r>
      <w:r>
        <w:t xml:space="preserve"> </w:t>
      </w:r>
      <w:r>
        <w:rPr>
          <w:i/>
          <w:iCs/>
        </w:rPr>
        <w:t xml:space="preserve">a</w:t>
      </w:r>
      <w:r>
        <w:rPr>
          <w:rFonts w:hint="eastAsia"/>
        </w:rPr>
        <w:t xml:space="preserve">生物合成酶）和</w:t>
      </w:r>
      <w:r>
        <w:rPr>
          <w:i/>
          <w:iCs/>
        </w:rPr>
        <w:t xml:space="preserve">mic</w:t>
      </w:r>
      <w:r>
        <w:rPr>
          <w:rFonts w:hint="eastAsia"/>
        </w:rPr>
        <w:t xml:space="preserve">基因表达量的定量分析显示，这两个基因表达量之间存在很强的对数正相关关系（R</w:t>
      </w:r>
      <w:r>
        <w:rPr>
          <w:vertAlign w:val="superscript"/>
        </w:rPr>
        <w:t xml:space="preserve">2</w:t>
      </w:r>
      <w:r>
        <w:t xml:space="preserve"> </w:t>
      </w:r>
      <w:r>
        <w:t xml:space="preserve">= 0.85,</w:t>
      </w:r>
      <w:r>
        <w:t xml:space="preserve"> </w:t>
      </w:r>
      <w:r>
        <w:rPr>
          <w:i/>
          <w:iCs/>
        </w:rPr>
        <w:t xml:space="preserve">p</w:t>
      </w:r>
      <w:r>
        <w:t xml:space="preserve"> </w:t>
      </w:r>
      <w:r>
        <w:t xml:space="preserve">&lt; </w:t>
      </w:r>
      <w:r>
        <w:rPr>
          <w:rFonts w:hint="eastAsia"/>
        </w:rPr>
        <w:t xml:space="preserve">0.01）。同样，细胞MIB产率与细胞Chl</w:t>
      </w:r>
      <w:r>
        <w:t xml:space="preserve"> </w:t>
      </w:r>
      <w:r>
        <w:rPr>
          <w:i/>
          <w:iCs/>
        </w:rPr>
        <w:t xml:space="preserve">a</w:t>
      </w:r>
      <w:r>
        <w:rPr>
          <w:rFonts w:hint="eastAsia"/>
        </w:rPr>
        <w:t xml:space="preserve">产率之间存在一致的对数正相关，与光色无关（R</w:t>
      </w:r>
      <w:r>
        <w:rPr>
          <w:vertAlign w:val="superscript"/>
        </w:rPr>
        <w:t xml:space="preserve">2</w:t>
      </w:r>
      <w:r>
        <w:t xml:space="preserve"> </w:t>
      </w:r>
      <w:r>
        <w:t xml:space="preserve">= </w:t>
      </w:r>
      <w:r>
        <w:rPr>
          <w:rFonts w:hint="eastAsia"/>
        </w:rPr>
        <w:t xml:space="preserve">0.74，</w:t>
      </w:r>
      <w:r>
        <w:t xml:space="preserve"> </w:t>
      </w:r>
      <w:r>
        <w:rPr>
          <w:i/>
          <w:iCs/>
        </w:rPr>
        <w:t xml:space="preserve">p</w:t>
      </w:r>
      <w:r>
        <w:t xml:space="preserve"> </w:t>
      </w:r>
      <w:r>
        <w:t xml:space="preserve">&lt; </w:t>
      </w:r>
      <w:r>
        <w:rPr>
          <w:rFonts w:hint="eastAsia"/>
        </w:rPr>
        <w:t xml:space="preserve">0.01）。</w:t>
      </w:r>
      <w:r>
        <w:t xml:space="preserve"> </w:t>
      </w:r>
      <w:r>
        <w:rPr>
          <w:rFonts w:hint="eastAsia"/>
        </w:rPr>
        <w:t xml:space="preserve">与红光相比，绿光下细胞MIB产率（112.11±4.93</w:t>
      </w:r>
      <w:r>
        <w:t xml:space="preserve"> </w:t>
      </w:r>
      <w:r>
        <w:rPr>
          <w:rFonts w:hint="eastAsia"/>
        </w:rPr>
        <w:t xml:space="preserve">fg/cell）和Chl</w:t>
      </w:r>
      <w:r>
        <w:t xml:space="preserve"> </w:t>
      </w:r>
      <w:r>
        <w:rPr>
          <w:i/>
          <w:iCs/>
        </w:rPr>
        <w:t xml:space="preserve">a</w:t>
      </w:r>
      <w:r>
        <w:rPr>
          <w:rFonts w:hint="eastAsia"/>
        </w:rPr>
        <w:t xml:space="preserve">产率（9881.33</w:t>
      </w:r>
      <w:r>
        <w:t xml:space="preserve"> ± 1299.78 </w:t>
      </w:r>
      <w:r>
        <w:rPr>
          <w:rFonts w:hint="eastAsia"/>
        </w:rPr>
        <w:t xml:space="preserve">fg/cell）高于红光（MIB产率：81.85</w:t>
      </w:r>
      <w:r>
        <w:t xml:space="preserve"> ± 4.11 </w:t>
      </w:r>
      <w:r>
        <w:rPr>
          <w:rFonts w:hint="eastAsia"/>
        </w:rPr>
        <w:t xml:space="preserve">fg/cell；Chl</w:t>
      </w:r>
      <w:r>
        <w:t xml:space="preserve"> </w:t>
      </w:r>
      <w:r>
        <w:rPr>
          <w:i/>
          <w:iCs/>
        </w:rPr>
        <w:t xml:space="preserve">a</w:t>
      </w:r>
      <w:r>
        <w:rPr>
          <w:rFonts w:hint="eastAsia"/>
        </w:rPr>
        <w:t xml:space="preserve">产率：4649.84</w:t>
      </w:r>
      <w:r>
        <w:t xml:space="preserve"> ± 418.49 </w:t>
      </w:r>
      <w:r>
        <w:rPr>
          <w:rFonts w:hint="eastAsia"/>
        </w:rPr>
        <w:t xml:space="preserve">fg/cell）和白光</w:t>
      </w:r>
      <w:r>
        <w:t xml:space="preserve"> </w:t>
      </w:r>
      <w:r>
        <w:rPr>
          <w:rFonts w:hint="eastAsia"/>
        </w:rPr>
        <w:t xml:space="preserve">（MIB产率：94.76</w:t>
      </w:r>
      <w:r>
        <w:t xml:space="preserve"> ± 4.61 </w:t>
      </w:r>
      <w:r>
        <w:rPr>
          <w:rFonts w:hint="eastAsia"/>
        </w:rPr>
        <w:t xml:space="preserve">fg/cell；Chl</w:t>
      </w:r>
      <w:r>
        <w:t xml:space="preserve"> </w:t>
      </w:r>
      <w:r>
        <w:rPr>
          <w:i/>
          <w:iCs/>
        </w:rPr>
        <w:t xml:space="preserve">a</w:t>
      </w:r>
      <w:r>
        <w:rPr>
          <w:rFonts w:hint="eastAsia"/>
        </w:rPr>
        <w:t xml:space="preserve">产率：6800.35</w:t>
      </w:r>
      <w:r>
        <w:t xml:space="preserve"> ± 973.44 </w:t>
      </w:r>
      <w:r>
        <w:rPr>
          <w:rFonts w:hint="eastAsia"/>
        </w:rPr>
        <w:t xml:space="preserve">fg/cell）。尽管从代谢途径来看，二者合成共享同一前体物GPP，但二者产量相差巨大，MIB的合成对叶绿素a的合成几乎不会构成影响。绿光条件下，由于PS</w:t>
      </w:r>
      <w:r>
        <w:t xml:space="preserve"> </w:t>
      </w:r>
      <w:r>
        <w:rPr>
          <w:rFonts w:hint="eastAsia"/>
        </w:rPr>
        <w:t xml:space="preserve">II仅能靠藻红素捕捉光子，并经藻蓝素、别藻蓝素等最终传递给叶绿素，比红光下直接由藻蓝素捕光传递利用效率低，导致绿光下藻红素和叶绿素a的合成量均上升，同时也提升了MIB合成量。尽管MIB合成与藻红素合成无直接关系，但藻红素的存在使得产嗅藻会调节叶绿素a的合成量，进而影响MIB产量。</w:t>
      </w:r>
    </w:p>
    <w:tbl>
      <w:tblPr>
        <w:tblStyle w:val="Table"/>
        <w:tblW w:type="pct" w:w="5000"/>
        <w:tblLayout w:type="fixed"/>
        <w:tblLook w:firstRow="0" w:lastRow="0" w:firstColumn="0" w:lastColumn="0" w:noHBand="0" w:noVBand="0" w:val="0000"/>
      </w:tblPr>
      <w:tblGrid>
        <w:gridCol w:w="7920"/>
      </w:tblGrid>
      <w:tr>
        <w:tc>
          <w:tcPr/>
          <w:bookmarkStart w:id="53" w:name="fig-pathway"/>
          <w:p>
            <w:pPr>
              <w:pStyle w:val="Compact"/>
              <w:jc w:val="center"/>
            </w:pPr>
            <w:r>
              <w:drawing>
                <wp:inline>
                  <wp:extent cx="4602480" cy="2149027"/>
                  <wp:effectExtent b="0" l="0" r="0" t="0"/>
                  <wp:docPr descr="" title="" id="51" name="Picture"/>
                  <a:graphic>
                    <a:graphicData uri="http://schemas.openxmlformats.org/drawingml/2006/picture">
                      <pic:pic>
                        <pic:nvPicPr>
                          <pic:cNvPr descr="../figures/pathway_v.png" id="52" name="Picture"/>
                          <pic:cNvPicPr>
                            <a:picLocks noChangeArrowheads="1" noChangeAspect="1"/>
                          </pic:cNvPicPr>
                        </pic:nvPicPr>
                        <pic:blipFill>
                          <a:blip r:embed="rId50"/>
                          <a:stretch>
                            <a:fillRect/>
                          </a:stretch>
                        </pic:blipFill>
                        <pic:spPr bwMode="auto">
                          <a:xfrm>
                            <a:off x="0" y="0"/>
                            <a:ext cx="4602480" cy="2149027"/>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The detailed biosynthesis pathway of MIB and photosynthetic pigments (A). Red symbols represented the up-regulated genes under green light compared to red light. The expression level of the</w:t>
            </w:r>
            <w:r>
              <w:t xml:space="preserve"> </w:t>
            </w:r>
            <w:r>
              <w:rPr>
                <w:i/>
                <w:iCs/>
              </w:rPr>
              <w:t xml:space="preserve">mic</w:t>
            </w:r>
            <w:r>
              <w:t xml:space="preserve"> </w:t>
            </w:r>
            <w:r>
              <w:t xml:space="preserve">gene at the light and dark midpoints of 12 h/12 h light/dark cycles under various light colors (B). The relationship between the gene expression levels of</w:t>
            </w:r>
            <w:r>
              <w:t xml:space="preserve"> </w:t>
            </w:r>
            <w:r>
              <w:rPr>
                <w:i/>
                <w:iCs/>
              </w:rPr>
              <w:t xml:space="preserve">mic</w:t>
            </w:r>
            <w:r>
              <w:t xml:space="preserve"> </w:t>
            </w:r>
            <w:r>
              <w:t xml:space="preserve">and</w:t>
            </w:r>
            <w:r>
              <w:t xml:space="preserve"> </w:t>
            </w:r>
            <w:r>
              <w:rPr>
                <w:i/>
                <w:iCs/>
              </w:rPr>
              <w:t xml:space="preserve">chlG</w:t>
            </w:r>
            <w:r>
              <w:t xml:space="preserve"> </w:t>
            </w:r>
            <w:r>
              <w:t xml:space="preserve">(C), as well as the association between cellular MIB yield and Chl</w:t>
            </w:r>
            <w:r>
              <w:t xml:space="preserve"> </w:t>
            </w:r>
            <w:r>
              <w:rPr>
                <w:i/>
                <w:iCs/>
              </w:rPr>
              <w:t xml:space="preserve">a</w:t>
            </w:r>
            <w:r>
              <w:t xml:space="preserve"> </w:t>
            </w:r>
            <w:r>
              <w:t xml:space="preserve">yield (D) in response to different light colors. The shading is 95% confidence interval. The carbon flux in the two branches responds to light colors (E).</w:t>
            </w:r>
          </w:p>
          <w:bookmarkEnd w:id="53"/>
        </w:tc>
      </w:tr>
    </w:tbl>
    <w:bookmarkEnd w:id="54"/>
    <w:bookmarkStart w:id="59" w:name="原位条件下mib与光谱关系"/>
    <w:p>
      <w:pPr>
        <w:pStyle w:val="Heading2"/>
      </w:pPr>
      <w:r>
        <w:rPr>
          <w:rFonts w:hint="eastAsia"/>
        </w:rPr>
        <w:t xml:space="preserve">原位条件下MIB与光谱关系</w:t>
      </w:r>
    </w:p>
    <w:p>
      <w:pPr>
        <w:pStyle w:val="FirstParagraph"/>
      </w:pPr>
      <w:r>
        <w:rPr>
          <w:rFonts w:hint="eastAsia"/>
        </w:rPr>
        <w:t xml:space="preserve">在实际水体中，水下光谱变化受到水体浊度的显著影响。当水体浊度从0.6</w:t>
      </w:r>
      <w:r>
        <w:t xml:space="preserve"> </w:t>
      </w:r>
      <w:r>
        <w:rPr>
          <w:rFonts w:hint="eastAsia"/>
        </w:rPr>
        <w:t xml:space="preserve">NTU升高至25.2</w:t>
      </w:r>
      <w:r>
        <w:t xml:space="preserve"> </w:t>
      </w:r>
      <w:r>
        <w:rPr>
          <w:rFonts w:hint="eastAsia"/>
        </w:rPr>
        <w:t xml:space="preserve">NTU时，颗粒物对光的散射和吸收会导致水下光谱发生红移（从560</w:t>
      </w:r>
      <w:r>
        <w:t xml:space="preserve"> </w:t>
      </w:r>
      <w:r>
        <w:rPr>
          <w:rFonts w:hint="eastAsia"/>
        </w:rPr>
        <w:t xml:space="preserve">nm红移至630</w:t>
      </w:r>
      <w:r>
        <w:t xml:space="preserve"> </w:t>
      </w:r>
      <w:r>
        <w:rPr>
          <w:rFonts w:hint="eastAsia"/>
        </w:rPr>
        <w:t xml:space="preserve">nm）。实际水体中不同浊度条件下藻类宏基因组测序分析发现，随着水体浊度从10</w:t>
      </w:r>
      <w:r>
        <w:t xml:space="preserve"> </w:t>
      </w:r>
      <w:r>
        <w:rPr>
          <w:rFonts w:hint="eastAsia"/>
        </w:rPr>
        <w:t xml:space="preserve">NTU提高至20</w:t>
      </w:r>
      <w:r>
        <w:t xml:space="preserve"> </w:t>
      </w:r>
      <w:r>
        <w:rPr>
          <w:rFonts w:hint="eastAsia"/>
        </w:rPr>
        <w:t xml:space="preserve">NTU，不同色素组成的藻类发生演替，具体表现为藻红素（PE）相对丰度下降（（67.7</w:t>
      </w:r>
      <w:r>
        <w:t xml:space="preserve"> ± </w:t>
      </w:r>
      <w:r>
        <w:rPr>
          <w:rFonts w:hint="eastAsia"/>
        </w:rPr>
        <w:t xml:space="preserve">16.2）至（31.6</w:t>
      </w:r>
      <w:r>
        <w:t xml:space="preserve"> ± </w:t>
      </w:r>
      <w:r>
        <w:rPr>
          <w:rFonts w:hint="eastAsia"/>
        </w:rPr>
        <w:t xml:space="preserve">8.7）FPKM），而藻蓝素（PC）的相对丰度升高（（187.2</w:t>
      </w:r>
      <w:r>
        <w:t xml:space="preserve"> ± </w:t>
      </w:r>
      <w:r>
        <w:rPr>
          <w:rFonts w:hint="eastAsia"/>
        </w:rPr>
        <w:t xml:space="preserve">124.2）至（399.2</w:t>
      </w:r>
      <w:r>
        <w:t xml:space="preserve"> ± </w:t>
      </w:r>
      <w:r>
        <w:rPr>
          <w:rFonts w:hint="eastAsia"/>
        </w:rPr>
        <w:t xml:space="preserve">109.4）FPKM）。进一步，水下光谱的变化导致了不同水体浊度下MIB浓度的变化，从10</w:t>
      </w:r>
      <w:r>
        <w:t xml:space="preserve"> </w:t>
      </w:r>
      <w:r>
        <w:rPr>
          <w:rFonts w:hint="eastAsia"/>
        </w:rPr>
        <w:t xml:space="preserve">NTU下的（101.2</w:t>
      </w:r>
      <w:r>
        <w:t xml:space="preserve"> ± </w:t>
      </w:r>
      <w:r>
        <w:rPr>
          <w:rFonts w:hint="eastAsia"/>
        </w:rPr>
        <w:t xml:space="preserve">28.4）ng/L显著降低至20</w:t>
      </w:r>
      <w:r>
        <w:t xml:space="preserve"> </w:t>
      </w:r>
      <w:r>
        <w:rPr>
          <w:rFonts w:hint="eastAsia"/>
        </w:rPr>
        <w:t xml:space="preserve">NTU下的（34.2</w:t>
      </w:r>
      <w:r>
        <w:t xml:space="preserve"> ± </w:t>
      </w:r>
      <w:r>
        <w:rPr>
          <w:rFonts w:hint="eastAsia"/>
        </w:rPr>
        <w:t xml:space="preserve">8.2）ng/L（</w:t>
      </w:r>
      <w:r>
        <w:rPr>
          <w:i/>
          <w:iCs/>
        </w:rPr>
        <w:t xml:space="preserve">p</w:t>
      </w:r>
      <w:r>
        <w:t xml:space="preserve"> </w:t>
      </w:r>
      <w:r>
        <w:t xml:space="preserve">&lt; </w:t>
      </w:r>
      <w:r>
        <w:rPr>
          <w:rFonts w:hint="eastAsia"/>
        </w:rPr>
        <w:t xml:space="preserve">0.01）。由于该水库中的MIB产嗅藻已被确认为含PE的灰假鱼腥藻，浊度升高导致的光谱红移会降低该产嗅藻的竞争优势，加之红光下导致的单细胞MIB合成量的降低，共同导致高浊度条件下的MIB浓度的降低。因此，培养实验和实地调查都表明，提高水体浊度是控制实际水体中MIB浓度的有效策略。</w:t>
      </w:r>
    </w:p>
    <w:tbl>
      <w:tblPr>
        <w:tblStyle w:val="Table"/>
        <w:tblW w:type="pct" w:w="5000"/>
        <w:tblLayout w:type="fixed"/>
        <w:tblLook w:firstRow="0" w:lastRow="0" w:firstColumn="0" w:lastColumn="0" w:noHBand="0" w:noVBand="0" w:val="0000"/>
      </w:tblPr>
      <w:tblGrid>
        <w:gridCol w:w="7920"/>
      </w:tblGrid>
      <w:tr>
        <w:tc>
          <w:tcPr/>
          <w:bookmarkStart w:id="58" w:name="fig-turbcolor"/>
          <w:p>
            <w:pPr>
              <w:pStyle w:val="Compact"/>
              <w:jc w:val="center"/>
            </w:pPr>
            <w:r>
              <w:drawing>
                <wp:inline>
                  <wp:extent cx="3451860" cy="2571176"/>
                  <wp:effectExtent b="0" l="0" r="0" t="0"/>
                  <wp:docPr descr="" title="" id="56" name="Picture"/>
                  <a:graphic>
                    <a:graphicData uri="http://schemas.openxmlformats.org/drawingml/2006/picture">
                      <pic:pic>
                        <pic:nvPicPr>
                          <pic:cNvPr descr="../figures/turbcolor_v.png" id="57" name="Picture"/>
                          <pic:cNvPicPr>
                            <a:picLocks noChangeArrowheads="1" noChangeAspect="1"/>
                          </pic:cNvPicPr>
                        </pic:nvPicPr>
                        <pic:blipFill>
                          <a:blip r:embed="rId55"/>
                          <a:stretch>
                            <a:fillRect/>
                          </a:stretch>
                        </pic:blipFill>
                        <pic:spPr bwMode="auto">
                          <a:xfrm>
                            <a:off x="0" y="0"/>
                            <a:ext cx="3451860" cy="2571176"/>
                          </a:xfrm>
                          <a:prstGeom prst="rect">
                            <a:avLst/>
                          </a:prstGeom>
                          <a:noFill/>
                          <a:ln w="9525">
                            <a:noFill/>
                            <a:headEnd/>
                            <a:tailEnd/>
                          </a:ln>
                        </pic:spPr>
                      </pic:pic>
                    </a:graphicData>
                  </a:graphic>
                </wp:inline>
              </w:drawing>
            </w:r>
          </w:p>
          <w:p>
            <w:pPr>
              <w:jc w:val="center"/>
            </w:pPr>
            <w:pPr>
              <w:jc w:val="start"/>
              <w:spacing w:before="200"/>
              <w:pStyle w:val="ImageCaption"/>
            </w:pPr>
            <w:r>
              <w:t xml:space="preserve">Figure 6: The relationship between underwater light spectra and water turbidity (A). The variation of the relative abundance of genes encoding different photosynthetic pigments (B) and MIB concentration (C) under different water turbidity.</w:t>
            </w:r>
          </w:p>
          <w:bookmarkEnd w:id="58"/>
        </w:tc>
      </w:tr>
    </w:tbl>
    <w:bookmarkEnd w:id="59"/>
    <w:bookmarkEnd w:id="60"/>
    <w:bookmarkStart w:id="64" w:name="第一作者介绍"/>
    <w:p>
      <w:pPr>
        <w:pStyle w:val="Heading1"/>
      </w:pPr>
      <w:r>
        <w:rPr>
          <w:rFonts w:hint="eastAsia"/>
        </w:rPr>
        <w:t xml:space="preserve">第一作者介绍</w:t>
      </w:r>
    </w:p>
    <w:p>
      <w:pPr>
        <w:pStyle w:val="CaptionedFigure"/>
      </w:pPr>
      <w:r>
        <w:drawing>
          <wp:inline>
            <wp:extent cx="1725930" cy="2440935"/>
            <wp:effectExtent b="0" l="0" r="0" t="0"/>
            <wp:docPr descr="第一作者：曹腾心" title="" id="62" name="Picture"/>
            <a:graphic>
              <a:graphicData uri="http://schemas.openxmlformats.org/drawingml/2006/picture">
                <pic:pic>
                  <pic:nvPicPr>
                    <pic:cNvPr descr="../figures/cao.png" id="63" name="Picture"/>
                    <pic:cNvPicPr>
                      <a:picLocks noChangeArrowheads="1" noChangeAspect="1"/>
                    </pic:cNvPicPr>
                  </pic:nvPicPr>
                  <pic:blipFill>
                    <a:blip r:embed="rId61"/>
                    <a:stretch>
                      <a:fillRect/>
                    </a:stretch>
                  </pic:blipFill>
                  <pic:spPr bwMode="auto">
                    <a:xfrm>
                      <a:off x="0" y="0"/>
                      <a:ext cx="1725930" cy="2440935"/>
                    </a:xfrm>
                    <a:prstGeom prst="rect">
                      <a:avLst/>
                    </a:prstGeom>
                    <a:noFill/>
                    <a:ln w="9525">
                      <a:noFill/>
                      <a:headEnd/>
                      <a:tailEnd/>
                    </a:ln>
                  </pic:spPr>
                </pic:pic>
              </a:graphicData>
            </a:graphic>
          </wp:inline>
        </w:drawing>
      </w:r>
    </w:p>
    <w:p>
      <w:pPr>
        <w:pStyle w:val="ImageCaption"/>
      </w:pPr>
      <w:r>
        <w:rPr>
          <w:rFonts w:hint="eastAsia"/>
        </w:rPr>
        <w:t xml:space="preserve">第一作者：曹腾心</w:t>
      </w:r>
    </w:p>
    <w:p>
      <w:pPr>
        <w:pStyle w:val="BodyText"/>
      </w:pPr>
      <w:r>
        <w:rPr>
          <w:rFonts w:hint="eastAsia"/>
          <w:b/>
          <w:bCs/>
        </w:rPr>
        <w:t xml:space="preserve">第一作者-曹腾心</w:t>
      </w:r>
      <w:r>
        <w:rPr>
          <w:rFonts w:hint="eastAsia"/>
        </w:rPr>
        <w:t xml:space="preserve">：中国科学院生态环境研究中心博士研究生。研究方向为MIB产嗅藻的识别方法开发及应用，产嗅藻环境影响机制研究及原位控制。以第一作者在Water</w:t>
      </w:r>
      <w:r>
        <w:t xml:space="preserve"> </w:t>
      </w:r>
      <w:r>
        <w:rPr>
          <w:rFonts w:hint="eastAsia"/>
        </w:rPr>
        <w:t xml:space="preserve">Research期刊发表论文两篇。</w:t>
      </w:r>
    </w:p>
    <w:bookmarkEnd w:id="64"/>
    <w:bookmarkStart w:id="68" w:name="通讯作者介绍"/>
    <w:p>
      <w:pPr>
        <w:pStyle w:val="Heading1"/>
      </w:pPr>
      <w:r>
        <w:rPr>
          <w:rFonts w:hint="eastAsia"/>
        </w:rPr>
        <w:t xml:space="preserve">通讯作者介绍</w:t>
      </w:r>
    </w:p>
    <w:p>
      <w:pPr>
        <w:pStyle w:val="CaptionedFigure"/>
      </w:pPr>
      <w:r>
        <w:drawing>
          <wp:inline>
            <wp:extent cx="1150620" cy="1674913"/>
            <wp:effectExtent b="0" l="0" r="0" t="0"/>
            <wp:docPr descr="通讯作者：杨敏" title="" id="66" name="Picture"/>
            <a:graphic>
              <a:graphicData uri="http://schemas.openxmlformats.org/drawingml/2006/picture">
                <pic:pic>
                  <pic:nvPicPr>
                    <pic:cNvPr descr="../figures/yang.png" id="67" name="Picture"/>
                    <pic:cNvPicPr>
                      <a:picLocks noChangeArrowheads="1" noChangeAspect="1"/>
                    </pic:cNvPicPr>
                  </pic:nvPicPr>
                  <pic:blipFill>
                    <a:blip r:embed="rId65"/>
                    <a:stretch>
                      <a:fillRect/>
                    </a:stretch>
                  </pic:blipFill>
                  <pic:spPr bwMode="auto">
                    <a:xfrm>
                      <a:off x="0" y="0"/>
                      <a:ext cx="1150620" cy="1674913"/>
                    </a:xfrm>
                    <a:prstGeom prst="rect">
                      <a:avLst/>
                    </a:prstGeom>
                    <a:noFill/>
                    <a:ln w="9525">
                      <a:noFill/>
                      <a:headEnd/>
                      <a:tailEnd/>
                    </a:ln>
                  </pic:spPr>
                </pic:pic>
              </a:graphicData>
            </a:graphic>
          </wp:inline>
        </w:drawing>
      </w:r>
    </w:p>
    <w:p>
      <w:pPr>
        <w:pStyle w:val="ImageCaption"/>
      </w:pPr>
      <w:r>
        <w:rPr>
          <w:rFonts w:hint="eastAsia"/>
        </w:rPr>
        <w:t xml:space="preserve">通讯作者：杨敏</w:t>
      </w:r>
    </w:p>
    <w:p>
      <w:pPr>
        <w:pStyle w:val="BodyText"/>
      </w:pPr>
      <w:r>
        <w:rPr>
          <w:rFonts w:hint="eastAsia"/>
          <w:b/>
          <w:bCs/>
        </w:rPr>
        <w:t xml:space="preserve">通讯作者-杨敏</w:t>
      </w:r>
      <w:r>
        <w:rPr>
          <w:rFonts w:hint="eastAsia"/>
        </w:rPr>
        <w:t xml:space="preserve">：中国科学院生态环境研究中心研究员，工业废水无害化与资源化国家工程研究中心主任，国家杰出青年基金获得者，国际水协会杰出会士，ACS</w:t>
      </w:r>
      <w:r>
        <w:t xml:space="preserve"> EST </w:t>
      </w:r>
      <w:r>
        <w:rPr>
          <w:rFonts w:hint="eastAsia"/>
        </w:rPr>
        <w:t xml:space="preserve">Water副主编。长期从事水质风险、特别是生物风险识别与控制研究，在嗅味识别与控制、环境耐药性传播与源头管控、致病性环境微生物识别与监测预警等方面取得系列成果，在标准制定和工程建设中发挥了重要的科技支撑作用，授权发明专利50余件，出版专著3部，发表论文590余篇（SCI论文390余篇）。以第一完成人获国家自然科学二等奖、中国科学院杰出科技成就奖，以第二完成人获国家科技进步一等奖等科技奖项。</w:t>
      </w:r>
    </w:p>
    <w:bookmarkEnd w:id="68"/>
    <w:bookmarkStart w:id="70" w:name="参考资料"/>
    <w:p>
      <w:pPr>
        <w:pStyle w:val="Heading1"/>
      </w:pPr>
      <w:r>
        <w:rPr>
          <w:rFonts w:hint="eastAsia"/>
        </w:rPr>
        <w:t xml:space="preserve">参考资料</w:t>
      </w:r>
    </w:p>
    <w:p>
      <w:pPr>
        <w:pStyle w:val="Compact"/>
        <w:numPr>
          <w:ilvl w:val="0"/>
          <w:numId w:val="1002"/>
        </w:numPr>
      </w:pPr>
      <w:hyperlink r:id="rId26">
        <w:r>
          <w:rPr>
            <w:rStyle w:val="Hyperlink"/>
            <w:rFonts w:hint="eastAsia"/>
          </w:rPr>
          <w:t xml:space="preserve">原文链接</w:t>
        </w:r>
      </w:hyperlink>
    </w:p>
    <w:p>
      <w:pPr>
        <w:pStyle w:val="Compact"/>
        <w:numPr>
          <w:ilvl w:val="0"/>
          <w:numId w:val="1002"/>
        </w:numPr>
      </w:pPr>
      <w:hyperlink r:id="rId69">
        <w:r>
          <w:rPr>
            <w:rStyle w:val="Hyperlink"/>
            <w:rFonts w:hint="eastAsia"/>
          </w:rPr>
          <w:t xml:space="preserve">更多资料</w:t>
        </w:r>
      </w:hyperlink>
    </w:p>
    <w:bookmarkEnd w:id="70"/>
    <w:sectPr w:rsidR="00C83DEB" w:rsidRPr="009A350C" w:rsidSect="00D34A99">
      <w:type w:val="continuous"/>
      <w:pgSz w:h="16848" w:w="11952"/>
      <w:pgMar w:bottom="1440" w:footer="720" w:gutter="720" w:header="720" w:left="1440" w:right="1440" w:top="1440"/>
      <w:lnNumType w:countBy="1" w:restart="continuous"/>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7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20B0604020202020204"/>
    <w:charset w:val="00"/>
    <w:family w:val="roman"/>
    <w:pitch w:val="default"/>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EA454B4C"/>
    <w:multiLevelType w:val="multilevel"/>
    <w:tmpl w:val="17A2F78A"/>
    <w:lvl w:ilvl="0">
      <w:numFmt w:val="bullet"/>
      <w:lvlText w:val="•"/>
      <w:lvlJc w:val="left"/>
      <w:pPr>
        <w:tabs>
          <w:tab w:pos="0" w:val="num"/>
        </w:tabs>
        <w:ind w:hanging="480" w:left="480"/>
      </w:pPr>
    </w:lvl>
    <w:lvl w:ilvl="1">
      <w:numFmt w:val="bullet"/>
      <w:lvlText w:val="–"/>
      <w:lvlJc w:val="left"/>
      <w:pPr>
        <w:tabs>
          <w:tab w:pos="720" w:val="num"/>
        </w:tabs>
        <w:ind w:hanging="480" w:left="1200"/>
      </w:pPr>
    </w:lvl>
    <w:lvl w:ilvl="2">
      <w:numFmt w:val="bullet"/>
      <w:lvlText w:val="•"/>
      <w:lvlJc w:val="left"/>
      <w:pPr>
        <w:tabs>
          <w:tab w:pos="1440" w:val="num"/>
        </w:tabs>
        <w:ind w:hanging="480" w:left="1920"/>
      </w:pPr>
    </w:lvl>
    <w:lvl w:ilvl="3">
      <w:numFmt w:val="bullet"/>
      <w:lvlText w:val="–"/>
      <w:lvlJc w:val="left"/>
      <w:pPr>
        <w:tabs>
          <w:tab w:pos="2160" w:val="num"/>
        </w:tabs>
        <w:ind w:hanging="480" w:left="2640"/>
      </w:pPr>
    </w:lvl>
    <w:lvl w:ilvl="4">
      <w:numFmt w:val="bullet"/>
      <w:lvlText w:val="•"/>
      <w:lvlJc w:val="left"/>
      <w:pPr>
        <w:tabs>
          <w:tab w:pos="2880" w:val="num"/>
        </w:tabs>
        <w:ind w:hanging="480" w:left="3360"/>
      </w:pPr>
    </w:lvl>
    <w:lvl w:ilvl="5">
      <w:numFmt w:val="bullet"/>
      <w:lvlText w:val="–"/>
      <w:lvlJc w:val="left"/>
      <w:pPr>
        <w:tabs>
          <w:tab w:pos="3600" w:val="num"/>
        </w:tabs>
        <w:ind w:hanging="480" w:left="4080"/>
      </w:pPr>
    </w:lvl>
    <w:lvl w:ilvl="6">
      <w:numFmt w:val="bullet"/>
      <w:lvlText w:val="•"/>
      <w:lvlJc w:val="left"/>
      <w:pPr>
        <w:tabs>
          <w:tab w:pos="4320" w:val="num"/>
        </w:tabs>
        <w:ind w:hanging="480" w:left="4800"/>
      </w:pPr>
    </w:lvl>
    <w:lvl w:ilvl="7">
      <w:numFmt w:val="bullet"/>
      <w:lvlText w:val="–"/>
      <w:lvlJc w:val="left"/>
      <w:pPr>
        <w:tabs>
          <w:tab w:pos="5040" w:val="num"/>
        </w:tabs>
        <w:ind w:hanging="480" w:left="5520"/>
      </w:pPr>
    </w:lvl>
    <w:lvl w:ilvl="8">
      <w:numFmt w:val="bullet"/>
      <w:lvlText w:val="•"/>
      <w:lvlJc w:val="left"/>
      <w:pPr>
        <w:tabs>
          <w:tab w:pos="5760" w:val="num"/>
        </w:tabs>
        <w:ind w:hanging="480" w:left="6240"/>
      </w:pPr>
    </w:lvl>
  </w:abstractNum>
  <w:abstractNum w15:restartNumberingAfterBreak="0" w:abstractNumId="1">
    <w:nsid w:val="FFFFFF7C"/>
    <w:multiLevelType w:val="singleLevel"/>
    <w:tmpl w:val="35BCE13A"/>
    <w:lvl w:ilvl="0">
      <w:start w:val="1"/>
      <w:numFmt w:val="decimal"/>
      <w:lvlText w:val="%1."/>
      <w:lvlJc w:val="left"/>
      <w:pPr>
        <w:tabs>
          <w:tab w:pos="1492" w:val="num"/>
        </w:tabs>
        <w:ind w:hanging="360" w:left="1492"/>
      </w:pPr>
    </w:lvl>
  </w:abstractNum>
  <w:abstractNum w15:restartNumberingAfterBreak="0" w:abstractNumId="2">
    <w:nsid w:val="FFFFFF7D"/>
    <w:multiLevelType w:val="singleLevel"/>
    <w:tmpl w:val="17ACA35A"/>
    <w:lvl w:ilvl="0">
      <w:start w:val="1"/>
      <w:numFmt w:val="decimal"/>
      <w:lvlText w:val="%1."/>
      <w:lvlJc w:val="left"/>
      <w:pPr>
        <w:tabs>
          <w:tab w:pos="1209" w:val="num"/>
        </w:tabs>
        <w:ind w:hanging="360" w:left="1209"/>
      </w:pPr>
    </w:lvl>
  </w:abstractNum>
  <w:abstractNum w15:restartNumberingAfterBreak="0" w:abstractNumId="3">
    <w:nsid w:val="FFFFFF7E"/>
    <w:multiLevelType w:val="singleLevel"/>
    <w:tmpl w:val="305208BC"/>
    <w:lvl w:ilvl="0">
      <w:start w:val="1"/>
      <w:numFmt w:val="decimal"/>
      <w:lvlText w:val="%1."/>
      <w:lvlJc w:val="left"/>
      <w:pPr>
        <w:tabs>
          <w:tab w:pos="926" w:val="num"/>
        </w:tabs>
        <w:ind w:hanging="360" w:left="926"/>
      </w:pPr>
    </w:lvl>
  </w:abstractNum>
  <w:abstractNum w15:restartNumberingAfterBreak="0" w:abstractNumId="4">
    <w:nsid w:val="FFFFFF7F"/>
    <w:multiLevelType w:val="singleLevel"/>
    <w:tmpl w:val="538C7DB2"/>
    <w:lvl w:ilvl="0">
      <w:start w:val="1"/>
      <w:numFmt w:val="decimal"/>
      <w:lvlText w:val="%1."/>
      <w:lvlJc w:val="left"/>
      <w:pPr>
        <w:tabs>
          <w:tab w:pos="643" w:val="num"/>
        </w:tabs>
        <w:ind w:hanging="360" w:left="643"/>
      </w:pPr>
    </w:lvl>
  </w:abstractNum>
  <w:abstractNum w15:restartNumberingAfterBreak="0" w:abstractNumId="5">
    <w:nsid w:val="FFFFFF80"/>
    <w:multiLevelType w:val="singleLevel"/>
    <w:tmpl w:val="520CF04A"/>
    <w:lvl w:ilvl="0">
      <w:start w:val="1"/>
      <w:numFmt w:val="bullet"/>
      <w:lvlText w:val=""/>
      <w:lvlJc w:val="left"/>
      <w:pPr>
        <w:tabs>
          <w:tab w:pos="1492" w:val="num"/>
        </w:tabs>
        <w:ind w:hanging="360" w:left="1492"/>
      </w:pPr>
      <w:rPr>
        <w:rFonts w:ascii="Symbol" w:hAnsi="Symbol" w:hint="default"/>
      </w:rPr>
    </w:lvl>
  </w:abstractNum>
  <w:abstractNum w15:restartNumberingAfterBreak="0" w:abstractNumId="6">
    <w:nsid w:val="FFFFFF81"/>
    <w:multiLevelType w:val="singleLevel"/>
    <w:tmpl w:val="E05CA962"/>
    <w:lvl w:ilvl="0">
      <w:start w:val="1"/>
      <w:numFmt w:val="bullet"/>
      <w:lvlText w:val=""/>
      <w:lvlJc w:val="left"/>
      <w:pPr>
        <w:tabs>
          <w:tab w:pos="1209" w:val="num"/>
        </w:tabs>
        <w:ind w:hanging="360" w:left="1209"/>
      </w:pPr>
      <w:rPr>
        <w:rFonts w:ascii="Symbol" w:hAnsi="Symbol" w:hint="default"/>
      </w:rPr>
    </w:lvl>
  </w:abstractNum>
  <w:abstractNum w15:restartNumberingAfterBreak="0" w:abstractNumId="7">
    <w:nsid w:val="FFFFFF82"/>
    <w:multiLevelType w:val="singleLevel"/>
    <w:tmpl w:val="91027A62"/>
    <w:lvl w:ilvl="0">
      <w:start w:val="1"/>
      <w:numFmt w:val="bullet"/>
      <w:lvlText w:val=""/>
      <w:lvlJc w:val="left"/>
      <w:pPr>
        <w:tabs>
          <w:tab w:pos="926" w:val="num"/>
        </w:tabs>
        <w:ind w:hanging="360" w:left="926"/>
      </w:pPr>
      <w:rPr>
        <w:rFonts w:ascii="Symbol" w:hAnsi="Symbol" w:hint="default"/>
      </w:rPr>
    </w:lvl>
  </w:abstractNum>
  <w:abstractNum w15:restartNumberingAfterBreak="0" w:abstractNumId="8">
    <w:nsid w:val="FFFFFF83"/>
    <w:multiLevelType w:val="singleLevel"/>
    <w:tmpl w:val="6DB2BCF6"/>
    <w:lvl w:ilvl="0">
      <w:start w:val="1"/>
      <w:numFmt w:val="bullet"/>
      <w:lvlText w:val=""/>
      <w:lvlJc w:val="left"/>
      <w:pPr>
        <w:tabs>
          <w:tab w:pos="643" w:val="num"/>
        </w:tabs>
        <w:ind w:hanging="360" w:left="643"/>
      </w:pPr>
      <w:rPr>
        <w:rFonts w:ascii="Symbol" w:hAnsi="Symbol" w:hint="default"/>
      </w:rPr>
    </w:lvl>
  </w:abstractNum>
  <w:abstractNum w15:restartNumberingAfterBreak="0" w:abstractNumId="9">
    <w:nsid w:val="FFFFFF88"/>
    <w:multiLevelType w:val="singleLevel"/>
    <w:tmpl w:val="985C7762"/>
    <w:lvl w:ilvl="0">
      <w:start w:val="1"/>
      <w:numFmt w:val="decimal"/>
      <w:lvlText w:val="%1."/>
      <w:lvlJc w:val="left"/>
      <w:pPr>
        <w:tabs>
          <w:tab w:pos="360" w:val="num"/>
        </w:tabs>
        <w:ind w:hanging="360" w:left="360"/>
      </w:pPr>
    </w:lvl>
  </w:abstractNum>
  <w:abstractNum w15:restartNumberingAfterBreak="0" w:abstractNumId="10">
    <w:nsid w:val="FFFFFF89"/>
    <w:multiLevelType w:val="singleLevel"/>
    <w:tmpl w:val="D5CEBA96"/>
    <w:lvl w:ilvl="0">
      <w:start w:val="1"/>
      <w:numFmt w:val="bullet"/>
      <w:lvlText w:val=""/>
      <w:lvlJc w:val="left"/>
      <w:pPr>
        <w:tabs>
          <w:tab w:pos="360" w:val="num"/>
        </w:tabs>
        <w:ind w:hanging="360" w:left="360"/>
      </w:pPr>
      <w:rPr>
        <w:rFonts w:ascii="Symbol" w:hAnsi="Symbol" w:hint="default"/>
      </w:rPr>
    </w:lvl>
  </w:abstractNum>
  <w:abstractNum w15:restartNumberingAfterBreak="0" w:abstractNumId="11">
    <w:nsid w:val="0000A990"/>
    <w:multiLevelType w:val="multilevel"/>
    <w:tmpl w:val="ECD0910E"/>
    <w:lvl w:ilvl="0">
      <w:numFmt w:val="bullet"/>
      <w:lvlText w:val=" "/>
      <w:lvlJc w:val="left"/>
      <w:pPr>
        <w:ind w:hanging="480" w:left="720"/>
      </w:pPr>
    </w:lvl>
    <w:lvl w:ilvl="1">
      <w:numFmt w:val="bullet"/>
      <w:lvlText w:val=" "/>
      <w:lvlJc w:val="left"/>
      <w:pPr>
        <w:ind w:hanging="480" w:left="1440"/>
      </w:pPr>
    </w:lvl>
    <w:lvl w:ilvl="2">
      <w:numFmt w:val="bullet"/>
      <w:lvlText w:val=" "/>
      <w:lvlJc w:val="left"/>
      <w:pPr>
        <w:ind w:hanging="480" w:left="2160"/>
      </w:pPr>
    </w:lvl>
    <w:lvl w:ilvl="3">
      <w:numFmt w:val="bullet"/>
      <w:lvlText w:val=" "/>
      <w:lvlJc w:val="left"/>
      <w:pPr>
        <w:ind w:hanging="480" w:left="2880"/>
      </w:pPr>
    </w:lvl>
    <w:lvl w:ilvl="4">
      <w:numFmt w:val="bullet"/>
      <w:lvlText w:val=" "/>
      <w:lvlJc w:val="left"/>
      <w:pPr>
        <w:ind w:hanging="480" w:left="3600"/>
      </w:pPr>
    </w:lvl>
    <w:lvl w:ilvl="5">
      <w:numFmt w:val="bullet"/>
      <w:lvlText w:val=" "/>
      <w:lvlJc w:val="left"/>
      <w:pPr>
        <w:ind w:hanging="480" w:left="4320"/>
      </w:pPr>
    </w:lvl>
    <w:lvl w:ilvl="6">
      <w:numFmt w:val="bullet"/>
      <w:lvlText w:val=" "/>
      <w:lvlJc w:val="left"/>
      <w:pPr>
        <w:ind w:hanging="480" w:left="5040"/>
      </w:pPr>
    </w:lvl>
    <w:lvl w:ilvl="7">
      <w:numFmt w:val="bullet"/>
      <w:lvlText w:val=" "/>
      <w:lvlJc w:val="left"/>
      <w:pPr>
        <w:ind w:hanging="480" w:left="5760"/>
      </w:pPr>
    </w:lvl>
    <w:lvl w:ilvl="8">
      <w:numFmt w:val="bullet"/>
      <w:lvlText w:val=" "/>
      <w:lvlJc w:val="left"/>
      <w:pPr>
        <w:ind w:hanging="480" w:left="6480"/>
      </w:pPr>
    </w:lvl>
  </w:abstractNum>
  <w:abstractNum w15:restartNumberingAfterBreak="0" w:abstractNumId="12">
    <w:nsid w:val="00A99421"/>
    <w:multiLevelType w:val="multilevel"/>
    <w:tmpl w:val="3592AE20"/>
    <w:lvl w:ilvl="0">
      <w:start w:val="1"/>
      <w:numFmt w:val="decimal"/>
      <w:lvlText w:val="%1)"/>
      <w:lvlJc w:val="left"/>
      <w:pPr>
        <w:ind w:hanging="480" w:left="720"/>
      </w:pPr>
    </w:lvl>
    <w:lvl w:ilvl="1">
      <w:start w:val="1"/>
      <w:numFmt w:val="decimal"/>
      <w:lvlText w:val="%2)"/>
      <w:lvlJc w:val="left"/>
      <w:pPr>
        <w:ind w:hanging="480" w:left="1440"/>
      </w:pPr>
    </w:lvl>
    <w:lvl w:ilvl="2">
      <w:start w:val="1"/>
      <w:numFmt w:val="decimal"/>
      <w:lvlText w:val="%3)"/>
      <w:lvlJc w:val="left"/>
      <w:pPr>
        <w:ind w:hanging="480" w:left="2160"/>
      </w:pPr>
    </w:lvl>
    <w:lvl w:ilvl="3">
      <w:start w:val="1"/>
      <w:numFmt w:val="decimal"/>
      <w:lvlText w:val="%4)"/>
      <w:lvlJc w:val="left"/>
      <w:pPr>
        <w:ind w:hanging="480" w:left="2880"/>
      </w:pPr>
    </w:lvl>
    <w:lvl w:ilvl="4">
      <w:start w:val="1"/>
      <w:numFmt w:val="decimal"/>
      <w:lvlText w:val="%5)"/>
      <w:lvlJc w:val="left"/>
      <w:pPr>
        <w:ind w:hanging="480" w:left="3600"/>
      </w:pPr>
    </w:lvl>
    <w:lvl w:ilvl="5">
      <w:start w:val="1"/>
      <w:numFmt w:val="decimal"/>
      <w:lvlText w:val="%6)"/>
      <w:lvlJc w:val="left"/>
      <w:pPr>
        <w:ind w:hanging="480" w:left="4320"/>
      </w:pPr>
    </w:lvl>
    <w:lvl w:ilvl="6">
      <w:start w:val="1"/>
      <w:numFmt w:val="decimal"/>
      <w:lvlText w:val="%7)"/>
      <w:lvlJc w:val="left"/>
      <w:pPr>
        <w:ind w:hanging="480" w:left="5040"/>
      </w:pPr>
    </w:lvl>
    <w:lvl w:ilvl="7">
      <w:start w:val="1"/>
      <w:numFmt w:val="decimal"/>
      <w:lvlText w:val="%8)"/>
      <w:lvlJc w:val="left"/>
      <w:pPr>
        <w:ind w:hanging="480" w:left="5760"/>
      </w:pPr>
    </w:lvl>
    <w:lvl w:ilvl="8">
      <w:start w:val="1"/>
      <w:numFmt w:val="decimal"/>
      <w:lvlText w:val="%9)"/>
      <w:lvlJc w:val="left"/>
      <w:pPr>
        <w:ind w:hanging="480" w:left="6480"/>
      </w:pPr>
    </w:lvl>
  </w:abstractNum>
  <w:abstractNum w15:restartNumberingAfterBreak="0" w:abstractNumId="13">
    <w:nsid w:val="2AAB1796"/>
    <w:multiLevelType w:val="multilevel"/>
    <w:tmpl w:val="F7E0EDFA"/>
    <w:lvl w:ilvl="0">
      <w:start w:val="1"/>
      <w:numFmt w:val="decimal"/>
      <w:pStyle w:val="Heading1"/>
      <w:lvlText w:val="%1"/>
      <w:lvlJc w:val="left"/>
      <w:pPr>
        <w:ind w:hanging="432" w:left="432"/>
      </w:pPr>
    </w:lvl>
    <w:lvl w:ilvl="1">
      <w:start w:val="1"/>
      <w:numFmt w:val="decimal"/>
      <w:pStyle w:val="Heading2"/>
      <w:lvlText w:val="%1.%2"/>
      <w:lvlJc w:val="left"/>
      <w:pPr>
        <w:ind w:hanging="576" w:left="576"/>
      </w:pPr>
    </w:lvl>
    <w:lvl w:ilvl="2">
      <w:start w:val="1"/>
      <w:numFmt w:val="decimal"/>
      <w:pStyle w:val="Heading3"/>
      <w:lvlText w:val="%1.%2.%3"/>
      <w:lvlJc w:val="left"/>
      <w:pPr>
        <w:ind w:hanging="720" w:left="720"/>
      </w:pPr>
    </w:lvl>
    <w:lvl w:ilvl="3">
      <w:start w:val="1"/>
      <w:numFmt w:val="decimal"/>
      <w:pStyle w:val="Heading4"/>
      <w:lvlText w:val="%1.%2.%3.%4"/>
      <w:lvlJc w:val="left"/>
      <w:pPr>
        <w:ind w:hanging="864" w:left="864"/>
      </w:pPr>
    </w:lvl>
    <w:lvl w:ilvl="4">
      <w:start w:val="1"/>
      <w:numFmt w:val="decimal"/>
      <w:pStyle w:val="Heading5"/>
      <w:lvlText w:val="%1.%2.%3.%4.%5"/>
      <w:lvlJc w:val="left"/>
      <w:pPr>
        <w:ind w:hanging="1008" w:left="1008"/>
      </w:pPr>
    </w:lvl>
    <w:lvl w:ilvl="5">
      <w:start w:val="1"/>
      <w:numFmt w:val="decimal"/>
      <w:pStyle w:val="Heading6"/>
      <w:lvlText w:val="%1.%2.%3.%4.%5.%6"/>
      <w:lvlJc w:val="left"/>
      <w:pPr>
        <w:ind w:hanging="1152" w:left="1152"/>
      </w:pPr>
    </w:lvl>
    <w:lvl w:ilvl="6">
      <w:start w:val="1"/>
      <w:numFmt w:val="decimal"/>
      <w:pStyle w:val="Heading7"/>
      <w:lvlText w:val="%1.%2.%3.%4.%5.%6.%7"/>
      <w:lvlJc w:val="left"/>
      <w:pPr>
        <w:ind w:hanging="1296" w:left="1296"/>
      </w:pPr>
    </w:lvl>
    <w:lvl w:ilvl="7">
      <w:start w:val="1"/>
      <w:numFmt w:val="decimal"/>
      <w:pStyle w:val="Heading8"/>
      <w:lvlText w:val="%1.%2.%3.%4.%5.%6.%7.%8"/>
      <w:lvlJc w:val="left"/>
      <w:pPr>
        <w:ind w:hanging="1440" w:left="1440"/>
      </w:pPr>
    </w:lvl>
    <w:lvl w:ilvl="8">
      <w:start w:val="1"/>
      <w:numFmt w:val="decimal"/>
      <w:pStyle w:val="Heading9"/>
      <w:lvlText w:val="%1.%2.%3.%4.%5.%6.%7.%8.%9"/>
      <w:lvlJc w:val="left"/>
      <w:pPr>
        <w:ind w:hanging="1584" w:left="1584"/>
      </w:pPr>
    </w:lvl>
  </w:abstractNum>
  <w:abstractNum w15:restartNumberingAfterBreak="0" w:abstractNumId="14">
    <w:nsid w:val="2C1AE401"/>
    <w:multiLevelType w:val="multilevel"/>
    <w:tmpl w:val="EB5024DC"/>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16cid:durableId="1647003809" w:numId="1">
    <w:abstractNumId w:val="14"/>
  </w:num>
  <w:num w16cid:durableId="1050769522" w:numId="2">
    <w:abstractNumId w:val="1"/>
  </w:num>
  <w:num w16cid:durableId="691146791" w:numId="3">
    <w:abstractNumId w:val="2"/>
  </w:num>
  <w:num w16cid:durableId="1840848626" w:numId="4">
    <w:abstractNumId w:val="3"/>
  </w:num>
  <w:num w16cid:durableId="979381040" w:numId="5">
    <w:abstractNumId w:val="4"/>
  </w:num>
  <w:num w16cid:durableId="1339770353" w:numId="6">
    <w:abstractNumId w:val="9"/>
  </w:num>
  <w:num w16cid:durableId="1869879009" w:numId="7">
    <w:abstractNumId w:val="5"/>
  </w:num>
  <w:num w16cid:durableId="958805246" w:numId="8">
    <w:abstractNumId w:val="6"/>
  </w:num>
  <w:num w16cid:durableId="1871726544" w:numId="9">
    <w:abstractNumId w:val="7"/>
  </w:num>
  <w:num w16cid:durableId="1443769426" w:numId="10">
    <w:abstractNumId w:val="8"/>
  </w:num>
  <w:num w16cid:durableId="2133476877" w:numId="11">
    <w:abstractNumId w:val="10"/>
  </w:num>
  <w:num w16cid:durableId="1658653764" w:numId="12">
    <w:abstractNumId w:val="13"/>
  </w:num>
  <w:num w16cid:durableId="1291326281" w:numId="13">
    <w:abstractNumId w:val="14"/>
  </w:num>
  <w:num w16cid:durableId="455566639" w:numId="14">
    <w:abstractNumId w:val="0"/>
  </w:num>
  <w:num w16cid:durableId="1123501441" w:numId="15">
    <w:abstractNumId w:val="0"/>
  </w:num>
  <w:num w16cid:durableId="1713111372" w:numId="16">
    <w:abstractNumId w:val="14"/>
  </w:num>
  <w:num w16cid:durableId="633413296" w:numId="17">
    <w:abstractNumId w:val="14"/>
  </w:num>
  <w:num w16cid:durableId="727605067" w:numId="18">
    <w:abstractNumId w:val="0"/>
  </w:num>
  <w:num w16cid:durableId="790052878" w:numId="19">
    <w:abstractNumId w:val="0"/>
  </w:num>
  <w:num w16cid:durableId="1687557063" w:numId="20">
    <w:abstractNumId w:val="0"/>
  </w:num>
  <w:num w16cid:durableId="1615483120" w:numId="21">
    <w:abstractNumId w:val="14"/>
  </w:num>
  <w:num w16cid:durableId="1942569766" w:numId="22">
    <w:abstractNumId w:val="14"/>
  </w:num>
  <w:num w16cid:durableId="1205798551" w:numId="23">
    <w:abstractNumId w:val="11"/>
  </w:num>
  <w:num w16cid:durableId="647243311"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64794324" w:numId="25">
    <w:abstractNumId w:val="11"/>
  </w:num>
  <w:num w16cid:durableId="1211453382" w:numId="26">
    <w:abstractNumId w:val="11"/>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78"/>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EB"/>
    <w:rsid w:val="009A350C"/>
    <w:rsid w:val="00BF0311"/>
    <w:rsid w:val="00C83DEB"/>
    <w:rsid w:val="00D74377"/>
    <w:rsid w:val="00E27AC7"/>
  </w:rsids>
  <w:themeFontLang w:eastAsia="zh-CN"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376" w:defLockedState="0" w:defQFormat="0" w:defSemiHidden="0" w:defUIPriority="0" w:defUnhideWhenUsed="0">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475C52"/>
    <w:pPr>
      <w:spacing w:after="240" w:before="120" w:line="480" w:lineRule="auto"/>
      <w:ind w:firstLine="397"/>
      <w:jc w:val="both"/>
    </w:pPr>
    <w:rPr>
      <w:rFonts w:ascii="Calibri" w:eastAsiaTheme="minorEastAsia" w:hAnsi="Calibri"/>
    </w:rPr>
  </w:style>
  <w:style w:styleId="Heading1" w:type="paragraph">
    <w:name w:val="heading 1"/>
    <w:basedOn w:val="Normal"/>
    <w:next w:val="BodyText"/>
    <w:uiPriority w:val="9"/>
    <w:qFormat/>
    <w:rsid w:val="009F1910"/>
    <w:pPr>
      <w:keepNext/>
      <w:keepLines/>
      <w:numPr>
        <w:numId w:val="12"/>
      </w:numPr>
      <w:spacing w:after="0" w:line="240" w:lineRule="auto"/>
      <w:ind w:firstLine="0" w:left="0"/>
      <w:outlineLvl w:val="0"/>
    </w:pPr>
    <w:rPr>
      <w:rFonts w:asciiTheme="majorHAnsi" w:cstheme="majorBidi" w:eastAsiaTheme="majorEastAsia" w:hAnsiTheme="majorHAnsi"/>
      <w:b/>
      <w:bCs/>
      <w:sz w:val="32"/>
      <w:szCs w:val="32"/>
    </w:rPr>
  </w:style>
  <w:style w:styleId="Heading2" w:type="paragraph">
    <w:name w:val="heading 2"/>
    <w:basedOn w:val="Normal"/>
    <w:next w:val="BodyText"/>
    <w:autoRedefine/>
    <w:uiPriority w:val="9"/>
    <w:unhideWhenUsed/>
    <w:qFormat/>
    <w:rsid w:val="009F1910"/>
    <w:pPr>
      <w:keepNext/>
      <w:keepLines/>
      <w:numPr>
        <w:ilvl w:val="1"/>
        <w:numId w:val="12"/>
      </w:numPr>
      <w:spacing w:after="120" w:line="240" w:lineRule="auto"/>
      <w:ind w:firstLine="0" w:left="0"/>
      <w:outlineLvl w:val="1"/>
    </w:pPr>
    <w:rPr>
      <w:rFonts w:asciiTheme="majorHAnsi" w:cstheme="majorBidi" w:eastAsiaTheme="majorEastAsia" w:hAnsiTheme="majorHAnsi"/>
      <w:b/>
      <w:bCs/>
      <w:sz w:val="28"/>
      <w:szCs w:val="28"/>
    </w:rPr>
  </w:style>
  <w:style w:styleId="Heading3" w:type="paragraph">
    <w:name w:val="heading 3"/>
    <w:basedOn w:val="Normal"/>
    <w:next w:val="BodyText"/>
    <w:uiPriority w:val="9"/>
    <w:unhideWhenUsed/>
    <w:qFormat/>
    <w:rsid w:val="00357B8B"/>
    <w:pPr>
      <w:keepNext/>
      <w:keepLines/>
      <w:numPr>
        <w:ilvl w:val="2"/>
        <w:numId w:val="12"/>
      </w:numPr>
      <w:spacing w:after="0" w:before="200"/>
      <w:outlineLvl w:val="2"/>
    </w:pPr>
    <w:rPr>
      <w:rFonts w:asciiTheme="majorHAnsi" w:cstheme="majorBidi" w:eastAsiaTheme="majorEastAsia" w:hAnsiTheme="majorHAnsi"/>
      <w:b/>
      <w:bCs/>
    </w:rPr>
  </w:style>
  <w:style w:styleId="Heading4" w:type="paragraph">
    <w:name w:val="heading 4"/>
    <w:basedOn w:val="Normal"/>
    <w:next w:val="BodyText"/>
    <w:uiPriority w:val="9"/>
    <w:unhideWhenUsed/>
    <w:qFormat/>
    <w:pPr>
      <w:keepNext/>
      <w:keepLines/>
      <w:numPr>
        <w:ilvl w:val="3"/>
        <w:numId w:val="12"/>
      </w:numPr>
      <w:spacing w:after="0" w:before="200"/>
      <w:outlineLvl w:val="3"/>
    </w:pPr>
    <w:rPr>
      <w:rFonts w:asciiTheme="majorHAnsi" w:cstheme="majorBidi" w:eastAsiaTheme="majorEastAsia" w:hAnsiTheme="majorHAnsi"/>
      <w:bCs/>
      <w:i/>
      <w:color w:themeColor="accent1" w:val="4F81BD"/>
    </w:rPr>
  </w:style>
  <w:style w:styleId="Heading5" w:type="paragraph">
    <w:name w:val="heading 5"/>
    <w:basedOn w:val="Normal"/>
    <w:next w:val="BodyText"/>
    <w:uiPriority w:val="9"/>
    <w:unhideWhenUsed/>
    <w:qFormat/>
    <w:pPr>
      <w:keepNext/>
      <w:keepLines/>
      <w:numPr>
        <w:ilvl w:val="4"/>
        <w:numId w:val="12"/>
      </w:numPr>
      <w:spacing w:after="0" w:before="200"/>
      <w:outlineLvl w:val="4"/>
    </w:pPr>
    <w:rPr>
      <w:rFonts w:asciiTheme="majorHAnsi" w:cstheme="majorBidi" w:eastAsiaTheme="majorEastAsia" w:hAnsiTheme="majorHAnsi"/>
      <w:iCs/>
      <w:color w:themeColor="accent1" w:val="4F81BD"/>
    </w:rPr>
  </w:style>
  <w:style w:styleId="Heading6" w:type="paragraph">
    <w:name w:val="heading 6"/>
    <w:basedOn w:val="Normal"/>
    <w:next w:val="BodyText"/>
    <w:uiPriority w:val="9"/>
    <w:unhideWhenUsed/>
    <w:qFormat/>
    <w:pPr>
      <w:keepNext/>
      <w:keepLines/>
      <w:numPr>
        <w:ilvl w:val="5"/>
        <w:numId w:val="12"/>
      </w:numPr>
      <w:spacing w:after="0" w:before="200"/>
      <w:outlineLvl w:val="5"/>
    </w:pPr>
    <w:rPr>
      <w:rFonts w:asciiTheme="majorHAnsi" w:cstheme="majorBidi" w:eastAsiaTheme="majorEastAsia" w:hAnsiTheme="majorHAnsi"/>
      <w:color w:themeColor="accent1" w:val="4F81BD"/>
    </w:rPr>
  </w:style>
  <w:style w:styleId="Heading7" w:type="paragraph">
    <w:name w:val="heading 7"/>
    <w:basedOn w:val="Normal"/>
    <w:next w:val="BodyText"/>
    <w:uiPriority w:val="9"/>
    <w:unhideWhenUsed/>
    <w:qFormat/>
    <w:pPr>
      <w:keepNext/>
      <w:keepLines/>
      <w:numPr>
        <w:ilvl w:val="6"/>
        <w:numId w:val="12"/>
      </w:numPr>
      <w:spacing w:after="0" w:before="200"/>
      <w:outlineLvl w:val="6"/>
    </w:pPr>
    <w:rPr>
      <w:rFonts w:asciiTheme="majorHAnsi" w:cstheme="majorBidi" w:eastAsiaTheme="majorEastAsia" w:hAnsiTheme="majorHAnsi"/>
      <w:color w:themeColor="accent1" w:val="4F81BD"/>
    </w:rPr>
  </w:style>
  <w:style w:styleId="Heading8" w:type="paragraph">
    <w:name w:val="heading 8"/>
    <w:basedOn w:val="Normal"/>
    <w:next w:val="BodyText"/>
    <w:uiPriority w:val="9"/>
    <w:unhideWhenUsed/>
    <w:qFormat/>
    <w:pPr>
      <w:keepNext/>
      <w:keepLines/>
      <w:numPr>
        <w:ilvl w:val="7"/>
        <w:numId w:val="12"/>
      </w:numPr>
      <w:spacing w:after="0" w:before="200"/>
      <w:outlineLvl w:val="7"/>
    </w:pPr>
    <w:rPr>
      <w:rFonts w:asciiTheme="majorHAnsi" w:cstheme="majorBidi" w:eastAsiaTheme="majorEastAsia" w:hAnsiTheme="majorHAnsi"/>
      <w:color w:themeColor="accent1" w:val="4F81BD"/>
    </w:rPr>
  </w:style>
  <w:style w:styleId="Heading9" w:type="paragraph">
    <w:name w:val="heading 9"/>
    <w:basedOn w:val="Normal"/>
    <w:next w:val="BodyText"/>
    <w:uiPriority w:val="9"/>
    <w:unhideWhenUsed/>
    <w:qFormat/>
    <w:pPr>
      <w:keepNext/>
      <w:keepLines/>
      <w:numPr>
        <w:ilvl w:val="8"/>
        <w:numId w:val="12"/>
      </w:numPr>
      <w:spacing w:after="0" w:before="200"/>
      <w:outlineLvl w:val="8"/>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link w:val="BodyTextChar"/>
    <w:autoRedefine/>
    <w:qFormat/>
    <w:rsid w:val="00475C52"/>
    <w:pPr>
      <w:spacing w:after="180" w:before="180"/>
    </w:pPr>
  </w:style>
  <w:style w:customStyle="1" w:styleId="FirstParagraph" w:type="paragraph">
    <w:name w:val="First Paragraph"/>
    <w:basedOn w:val="BodyText"/>
    <w:next w:val="BodyText"/>
    <w:autoRedefine/>
    <w:qFormat/>
    <w:rsid w:val="001D0787"/>
    <w:pPr>
      <w:spacing w:after="120" w:before="240"/>
    </w:pPr>
  </w:style>
  <w:style w:customStyle="1" w:styleId="Compact" w:type="paragraph">
    <w:name w:val="Compact"/>
    <w:basedOn w:val="BodyText"/>
    <w:autoRedefine/>
    <w:qFormat/>
    <w:rsid w:val="00684FFA"/>
    <w:pPr>
      <w:spacing w:after="0" w:before="0"/>
      <w:ind w:firstLine="0"/>
      <w:jc w:val="left"/>
    </w:pPr>
  </w:style>
  <w:style w:styleId="Title" w:type="paragraph">
    <w:name w:val="Title"/>
    <w:basedOn w:val="Normal"/>
    <w:next w:val="BodyText"/>
    <w:qFormat/>
    <w:rsid w:val="009F1910"/>
    <w:pPr>
      <w:keepNext/>
      <w:keepLines/>
      <w:spacing w:after="120" w:before="240" w:line="240" w:lineRule="auto"/>
      <w:ind w:firstLine="0"/>
      <w:jc w:val="center"/>
    </w:pPr>
    <w:rPr>
      <w:rFonts w:asciiTheme="majorHAnsi" w:cstheme="majorBidi" w:eastAsiaTheme="majorEastAsia" w:hAnsiTheme="majorHAnsi"/>
      <w:b/>
      <w:bCs/>
      <w:sz w:val="32"/>
      <w:szCs w:val="36"/>
    </w:rPr>
  </w:style>
  <w:style w:styleId="Subtitle" w:type="paragraph">
    <w:name w:val="Subtitle"/>
    <w:basedOn w:val="Title"/>
    <w:next w:val="BodyText"/>
    <w:qFormat/>
    <w:rsid w:val="004659FD"/>
    <w:pPr>
      <w:spacing w:after="240"/>
    </w:pPr>
    <w:rPr>
      <w:sz w:val="28"/>
      <w:szCs w:val="30"/>
    </w:rPr>
  </w:style>
  <w:style w:customStyle="1" w:styleId="Author" w:type="paragraph">
    <w:name w:val="Author"/>
    <w:next w:val="BodyText"/>
    <w:qFormat/>
    <w:rsid w:val="009F1910"/>
    <w:pPr>
      <w:keepNext/>
      <w:keepLines/>
      <w:jc w:val="center"/>
    </w:pPr>
    <w:rPr>
      <w:sz w:val="21"/>
    </w:rPr>
  </w:style>
  <w:style w:styleId="Date" w:type="paragraph">
    <w:name w:val="Date"/>
    <w:next w:val="BodyText"/>
    <w:qFormat/>
    <w:pPr>
      <w:keepNext/>
      <w:keepLines/>
      <w:jc w:val="center"/>
    </w:pPr>
  </w:style>
  <w:style w:customStyle="1" w:styleId="Abstract" w:type="paragraph">
    <w:name w:val="Abstract"/>
    <w:basedOn w:val="Normal"/>
    <w:next w:val="BodyText"/>
    <w:autoRedefine/>
    <w:qFormat/>
    <w:rsid w:val="00475C52"/>
    <w:rPr>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uiPriority w:val="9"/>
    <w:unhideWhenUsed/>
    <w:qFormat/>
  </w:style>
  <w:style w:customStyle="1" w:styleId="Table" w:type="table">
    <w:name w:val="Table"/>
    <w:basedOn w:val="TableNormal"/>
    <w:semiHidden/>
    <w:unhideWhenUsed/>
    <w:qFormat/>
    <w:rsid w:val="00556B80"/>
    <w:tblPr>
      <w:jc w:val="center"/>
      <w:tblBorders>
        <w:bottom w:color="auto" w:space="0" w:sz="4" w:val="single"/>
      </w:tblBorders>
    </w:tblPr>
    <w:trPr>
      <w:jc w:val="center"/>
    </w:trPr>
    <w:tblStylePr w:type="firstRow">
      <w:pPr>
        <w:jc w:val="center"/>
      </w:pPr>
      <w:rPr>
        <w:rFonts w:asciiTheme="minorHAnsi" w:hAnsiTheme="minorHAnsi"/>
        <w:b/>
        <w:color w:val="auto"/>
        <w:sz w:val="24"/>
        <w:u w:val="none"/>
      </w:rPr>
      <w:tblPr/>
      <w:tcPr>
        <w:tcBorders>
          <w:top w:color="auto" w:space="0" w:sz="4" w:val="single"/>
          <w:bottom w:color="auto" w:space="0" w:sz="4" w:val="single"/>
        </w:tcBorders>
        <w:shd w:color="auto" w:fill="BFBFBF" w:themeFill="background1" w:themeFillShade="BF" w:val="clear"/>
      </w:tcPr>
    </w:tblStylePr>
    <w:tblStylePr w:type="firstCol">
      <w:rPr>
        <w:b/>
      </w:r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autoRedefine/>
    <w:rsid w:val="00556B80"/>
    <w:pPr>
      <w:spacing w:after="120" w:before="0"/>
      <w:jc w:val="center"/>
    </w:pPr>
    <w:rPr>
      <w:i/>
    </w:rPr>
  </w:style>
  <w:style w:customStyle="1" w:styleId="TableCaption" w:type="paragraph">
    <w:name w:val="Table Caption"/>
    <w:basedOn w:val="Caption"/>
    <w:autoRedefine/>
    <w:rsid w:val="009F1910"/>
    <w:pPr>
      <w:keepNext/>
      <w:spacing w:before="240"/>
      <w:ind w:firstLine="0"/>
    </w:pPr>
  </w:style>
  <w:style w:customStyle="1" w:styleId="ImageCaption" w:type="paragraph">
    <w:name w:val="Image Caption"/>
    <w:basedOn w:val="Caption"/>
    <w:autoRedefine/>
    <w:qFormat/>
    <w:rsid w:val="00E27AC7"/>
    <w:pPr>
      <w:keepLines/>
      <w:spacing w:before="120" w:line="360" w:lineRule="auto"/>
      <w:ind w:firstLine="0"/>
    </w:pPr>
  </w:style>
  <w:style w:customStyle="1" w:styleId="Figure" w:type="paragraph">
    <w:name w:val="Figure"/>
    <w:basedOn w:val="Normal"/>
    <w:autoRedefine/>
    <w:rsid w:val="001D0787"/>
    <w:pPr>
      <w:keepNext/>
      <w:spacing w:after="120" w:before="240" w:line="360" w:lineRule="auto"/>
      <w:ind w:firstLine="0"/>
      <w:jc w:val="center"/>
    </w:pPr>
    <w:rPr>
      <w:noProof/>
    </w:rPr>
  </w:style>
  <w:style w:customStyle="1" w:styleId="CaptionedFigure" w:type="paragraph">
    <w:name w:val="Captioned Figure"/>
    <w:basedOn w:val="Figure"/>
    <w:rsid w:val="00357B8B"/>
  </w:style>
  <w:style w:customStyle="1" w:styleId="CaptionChar" w:type="character">
    <w:name w:val="Caption Char"/>
    <w:basedOn w:val="DefaultParagraphFont"/>
    <w:link w:val="Caption"/>
    <w:rsid w:val="00556B80"/>
    <w:rPr>
      <w:i/>
    </w:rPr>
  </w:style>
  <w:style w:customStyle="1" w:styleId="VerbatimChar" w:type="character">
    <w:name w:val="Verbatim Char"/>
    <w:basedOn w:val="CaptionChar"/>
    <w:link w:val="SourceCode"/>
    <w:rsid w:val="00357B8B"/>
    <w:rPr>
      <w:i/>
      <w:shd w:color="auto" w:fill="F8F8F8" w:val="clear"/>
    </w:rPr>
  </w:style>
  <w:style w:styleId="FootnoteReference" w:type="character">
    <w:name w:val="footnote reference"/>
    <w:basedOn w:val="CaptionChar"/>
    <w:rPr>
      <w:i/>
      <w:vertAlign w:val="superscript"/>
    </w:rPr>
  </w:style>
  <w:style w:styleId="Hyperlink" w:type="character">
    <w:name w:val="Hyperlink"/>
    <w:basedOn w:val="CaptionChar"/>
    <w:rPr>
      <w:i/>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rsid w:val="00357B8B"/>
    <w:pPr>
      <w:framePr w:hAnchor="text" w:vAnchor="text" w:wrap="around" w:y="1"/>
      <w:shd w:color="auto" w:fill="F8F8F8" w:val="clear"/>
      <w:wordWrap w:val="0"/>
      <w:spacing w:after="0" w:before="0" w:line="240" w:lineRule="auto"/>
      <w:ind w:firstLine="0"/>
    </w:pPr>
  </w:style>
  <w:style w:customStyle="1" w:styleId="KeywordTok" w:type="character">
    <w:name w:val="KeywordTok"/>
    <w:basedOn w:val="VerbatimChar"/>
    <w:rPr>
      <w:b/>
      <w:i/>
      <w:color w:val="204A87"/>
      <w:shd w:color="auto" w:fill="F8F8F8" w:val="clear"/>
    </w:rPr>
  </w:style>
  <w:style w:customStyle="1" w:styleId="DataTypeTok" w:type="character">
    <w:name w:val="DataTypeTok"/>
    <w:basedOn w:val="VerbatimChar"/>
    <w:rPr>
      <w:i/>
      <w:color w:val="204A87"/>
      <w:shd w:color="auto" w:fill="F8F8F8" w:val="clear"/>
    </w:rPr>
  </w:style>
  <w:style w:customStyle="1" w:styleId="DecValTok" w:type="character">
    <w:name w:val="DecValTok"/>
    <w:basedOn w:val="VerbatimChar"/>
    <w:rPr>
      <w:i/>
      <w:color w:val="0000CF"/>
      <w:shd w:color="auto" w:fill="F8F8F8" w:val="clear"/>
    </w:rPr>
  </w:style>
  <w:style w:customStyle="1" w:styleId="BaseNTok" w:type="character">
    <w:name w:val="BaseNTok"/>
    <w:basedOn w:val="VerbatimChar"/>
    <w:rPr>
      <w:i/>
      <w:color w:val="0000CF"/>
      <w:shd w:color="auto" w:fill="F8F8F8" w:val="clear"/>
    </w:rPr>
  </w:style>
  <w:style w:customStyle="1" w:styleId="FloatTok" w:type="character">
    <w:name w:val="FloatTok"/>
    <w:basedOn w:val="VerbatimChar"/>
    <w:rPr>
      <w:i/>
      <w:color w:val="0000CF"/>
      <w:shd w:color="auto" w:fill="F8F8F8" w:val="clear"/>
    </w:rPr>
  </w:style>
  <w:style w:customStyle="1" w:styleId="ConstantTok" w:type="character">
    <w:name w:val="ConstantTok"/>
    <w:basedOn w:val="VerbatimChar"/>
    <w:rPr>
      <w:i/>
      <w:color w:val="000000"/>
      <w:shd w:color="auto" w:fill="F8F8F8" w:val="clear"/>
    </w:rPr>
  </w:style>
  <w:style w:customStyle="1" w:styleId="CharTok" w:type="character">
    <w:name w:val="CharTok"/>
    <w:basedOn w:val="VerbatimChar"/>
    <w:rPr>
      <w:i/>
      <w:color w:val="4E9A06"/>
      <w:shd w:color="auto" w:fill="F8F8F8" w:val="clear"/>
    </w:rPr>
  </w:style>
  <w:style w:customStyle="1" w:styleId="SpecialCharTok" w:type="character">
    <w:name w:val="SpecialCharTok"/>
    <w:basedOn w:val="VerbatimChar"/>
    <w:rPr>
      <w:i/>
      <w:color w:val="000000"/>
      <w:shd w:color="auto" w:fill="F8F8F8" w:val="clear"/>
    </w:rPr>
  </w:style>
  <w:style w:customStyle="1" w:styleId="StringTok" w:type="character">
    <w:name w:val="StringTok"/>
    <w:basedOn w:val="VerbatimChar"/>
    <w:rPr>
      <w:i/>
      <w:color w:val="4E9A06"/>
      <w:shd w:color="auto" w:fill="F8F8F8" w:val="clear"/>
    </w:rPr>
  </w:style>
  <w:style w:customStyle="1" w:styleId="VerbatimStringTok" w:type="character">
    <w:name w:val="VerbatimStringTok"/>
    <w:basedOn w:val="VerbatimChar"/>
    <w:rPr>
      <w:i/>
      <w:color w:val="4E9A06"/>
      <w:shd w:color="auto" w:fill="F8F8F8" w:val="clear"/>
    </w:rPr>
  </w:style>
  <w:style w:customStyle="1" w:styleId="SpecialStringTok" w:type="character">
    <w:name w:val="SpecialStringTok"/>
    <w:basedOn w:val="VerbatimChar"/>
    <w:rPr>
      <w:i/>
      <w:color w:val="4E9A06"/>
      <w:shd w:color="auto" w:fill="F8F8F8" w:val="clear"/>
    </w:rPr>
  </w:style>
  <w:style w:customStyle="1" w:styleId="ImportTok" w:type="character">
    <w:name w:val="ImportTok"/>
    <w:basedOn w:val="VerbatimChar"/>
    <w:rPr>
      <w:i/>
      <w:shd w:color="auto" w:fill="F8F8F8" w:val="clear"/>
    </w:rPr>
  </w:style>
  <w:style w:customStyle="1" w:styleId="CommentTok" w:type="character">
    <w:name w:val="CommentTok"/>
    <w:basedOn w:val="VerbatimChar"/>
    <w:rPr>
      <w:i w:val="0"/>
      <w:color w:val="8F5902"/>
      <w:shd w:color="auto" w:fill="F8F8F8" w:val="clear"/>
    </w:rPr>
  </w:style>
  <w:style w:customStyle="1" w:styleId="DocumentationTok" w:type="character">
    <w:name w:val="DocumentationTok"/>
    <w:basedOn w:val="VerbatimChar"/>
    <w:rPr>
      <w:b/>
      <w:i w:val="0"/>
      <w:color w:val="8F5902"/>
      <w:shd w:color="auto" w:fill="F8F8F8" w:val="clear"/>
    </w:rPr>
  </w:style>
  <w:style w:customStyle="1" w:styleId="AnnotationTok" w:type="character">
    <w:name w:val="AnnotationTok"/>
    <w:basedOn w:val="VerbatimChar"/>
    <w:rPr>
      <w:b/>
      <w:i w:val="0"/>
      <w:color w:val="8F5902"/>
      <w:shd w:color="auto" w:fill="F8F8F8" w:val="clear"/>
    </w:rPr>
  </w:style>
  <w:style w:customStyle="1" w:styleId="CommentVarTok" w:type="character">
    <w:name w:val="CommentVarTok"/>
    <w:basedOn w:val="VerbatimChar"/>
    <w:rPr>
      <w:b/>
      <w:i w:val="0"/>
      <w:color w:val="8F5902"/>
      <w:shd w:color="auto" w:fill="F8F8F8" w:val="clear"/>
    </w:rPr>
  </w:style>
  <w:style w:customStyle="1" w:styleId="OtherTok" w:type="character">
    <w:name w:val="OtherTok"/>
    <w:basedOn w:val="VerbatimChar"/>
    <w:rPr>
      <w:i/>
      <w:color w:val="8F5902"/>
      <w:shd w:color="auto" w:fill="F8F8F8" w:val="clear"/>
    </w:rPr>
  </w:style>
  <w:style w:customStyle="1" w:styleId="FunctionTok" w:type="character">
    <w:name w:val="FunctionTok"/>
    <w:basedOn w:val="VerbatimChar"/>
    <w:rPr>
      <w:i/>
      <w:color w:val="000000"/>
      <w:shd w:color="auto" w:fill="F8F8F8" w:val="clear"/>
    </w:rPr>
  </w:style>
  <w:style w:customStyle="1" w:styleId="VariableTok" w:type="character">
    <w:name w:val="VariableTok"/>
    <w:basedOn w:val="VerbatimChar"/>
    <w:rPr>
      <w:i/>
      <w:color w:val="000000"/>
      <w:shd w:color="auto" w:fill="F8F8F8" w:val="clear"/>
    </w:rPr>
  </w:style>
  <w:style w:customStyle="1" w:styleId="ControlFlowTok" w:type="character">
    <w:name w:val="ControlFlowTok"/>
    <w:basedOn w:val="VerbatimChar"/>
    <w:rPr>
      <w:b/>
      <w:i/>
      <w:color w:val="204A87"/>
      <w:shd w:color="auto" w:fill="F8F8F8" w:val="clear"/>
    </w:rPr>
  </w:style>
  <w:style w:customStyle="1" w:styleId="OperatorTok" w:type="character">
    <w:name w:val="OperatorTok"/>
    <w:basedOn w:val="VerbatimChar"/>
    <w:rPr>
      <w:b/>
      <w:i/>
      <w:color w:val="CE5C00"/>
      <w:shd w:color="auto" w:fill="F8F8F8" w:val="clear"/>
    </w:rPr>
  </w:style>
  <w:style w:customStyle="1" w:styleId="BuiltInTok" w:type="character">
    <w:name w:val="BuiltInTok"/>
    <w:basedOn w:val="VerbatimChar"/>
    <w:rPr>
      <w:i/>
      <w:shd w:color="auto" w:fill="F8F8F8" w:val="clear"/>
    </w:rPr>
  </w:style>
  <w:style w:customStyle="1" w:styleId="ExtensionTok" w:type="character">
    <w:name w:val="ExtensionTok"/>
    <w:basedOn w:val="VerbatimChar"/>
    <w:rPr>
      <w:i/>
      <w:shd w:color="auto" w:fill="F8F8F8" w:val="clear"/>
    </w:rPr>
  </w:style>
  <w:style w:customStyle="1" w:styleId="PreprocessorTok" w:type="character">
    <w:name w:val="PreprocessorTok"/>
    <w:basedOn w:val="VerbatimChar"/>
    <w:rPr>
      <w:i w:val="0"/>
      <w:color w:val="8F5902"/>
      <w:shd w:color="auto" w:fill="F8F8F8" w:val="clear"/>
    </w:rPr>
  </w:style>
  <w:style w:customStyle="1" w:styleId="AttributeTok" w:type="character">
    <w:name w:val="AttributeTok"/>
    <w:basedOn w:val="VerbatimChar"/>
    <w:rPr>
      <w:i/>
      <w:color w:val="C4A000"/>
      <w:shd w:color="auto" w:fill="F8F8F8" w:val="clear"/>
    </w:rPr>
  </w:style>
  <w:style w:customStyle="1" w:styleId="RegionMarkerTok" w:type="character">
    <w:name w:val="RegionMarkerTok"/>
    <w:basedOn w:val="VerbatimChar"/>
    <w:rPr>
      <w:i/>
      <w:shd w:color="auto" w:fill="F8F8F8" w:val="clear"/>
    </w:rPr>
  </w:style>
  <w:style w:customStyle="1" w:styleId="InformationTok" w:type="character">
    <w:name w:val="InformationTok"/>
    <w:basedOn w:val="VerbatimChar"/>
    <w:rPr>
      <w:b/>
      <w:i w:val="0"/>
      <w:color w:val="8F5902"/>
      <w:shd w:color="auto" w:fill="F8F8F8" w:val="clear"/>
    </w:rPr>
  </w:style>
  <w:style w:customStyle="1" w:styleId="WarningTok" w:type="character">
    <w:name w:val="WarningTok"/>
    <w:basedOn w:val="VerbatimChar"/>
    <w:rPr>
      <w:b/>
      <w:i w:val="0"/>
      <w:color w:val="8F5902"/>
      <w:shd w:color="auto" w:fill="F8F8F8" w:val="clear"/>
    </w:rPr>
  </w:style>
  <w:style w:customStyle="1" w:styleId="AlertTok" w:type="character">
    <w:name w:val="AlertTok"/>
    <w:basedOn w:val="VerbatimChar"/>
    <w:rPr>
      <w:i/>
      <w:color w:val="EF2929"/>
      <w:shd w:color="auto" w:fill="F8F8F8" w:val="clear"/>
    </w:rPr>
  </w:style>
  <w:style w:customStyle="1" w:styleId="ErrorTok" w:type="character">
    <w:name w:val="ErrorTok"/>
    <w:basedOn w:val="VerbatimChar"/>
    <w:rPr>
      <w:b/>
      <w:i/>
      <w:color w:val="A40000"/>
      <w:shd w:color="auto" w:fill="F8F8F8" w:val="clear"/>
    </w:rPr>
  </w:style>
  <w:style w:customStyle="1" w:styleId="NormalTok" w:type="character">
    <w:name w:val="NormalTok"/>
    <w:basedOn w:val="VerbatimChar"/>
    <w:rPr>
      <w:i/>
      <w:shd w:color="auto" w:fill="F8F8F8" w:val="clear"/>
    </w:rPr>
  </w:style>
  <w:style w:customStyle="1" w:styleId="BodyTextChar" w:type="character">
    <w:name w:val="Body Text Char"/>
    <w:basedOn w:val="DefaultParagraphFont"/>
    <w:link w:val="BodyText"/>
    <w:rsid w:val="00475C52"/>
    <w:rPr>
      <w:rFonts w:ascii="Calibri" w:eastAsiaTheme="minorEastAsia" w:hAnsi="Calibri"/>
    </w:rPr>
  </w:style>
  <w:style w:customStyle="1" w:styleId="Image" w:type="paragraph">
    <w:name w:val="Image"/>
    <w:next w:val="ImageCaption"/>
    <w:qFormat/>
    <w:rsid w:val="009F1910"/>
    <w:pPr>
      <w:keepNext/>
      <w:spacing w:after="120" w:before="240"/>
      <w:jc w:val="center"/>
    </w:pPr>
    <w:rPr>
      <w:rFonts w:ascii="Calibri" w:hAnsi="Calibri"/>
      <w:noProof/>
    </w:rPr>
  </w:style>
  <w:style w:customStyle="1" w:styleId="TableScientific" w:type="table">
    <w:name w:val="Table Scientific"/>
    <w:basedOn w:val="TableNormal"/>
    <w:uiPriority w:val="99"/>
    <w:rsid w:val="0043749A"/>
    <w:pPr>
      <w:spacing w:after="100" w:afterAutospacing="1" w:before="100" w:beforeAutospacing="1" w:line="360" w:lineRule="auto"/>
    </w:pPr>
    <w:rPr>
      <w:rFonts w:ascii="Calibri" w:cs="Times New Roman (Body CS)" w:eastAsiaTheme="minorEastAsia" w:hAnsi="Calibri"/>
      <w:sz w:val="22"/>
    </w:rPr>
    <w:tblPr>
      <w:jc w:val="center"/>
      <w:tblBorders>
        <w:bottom w:color="auto" w:space="0" w:sz="4" w:val="single"/>
      </w:tblBorders>
    </w:tblPr>
    <w:trPr>
      <w:jc w:val="center"/>
    </w:trPr>
    <w:tcPr>
      <w:vAlign w:val="center"/>
    </w:tcPr>
    <w:tblStylePr w:type="firstRow">
      <w:pPr>
        <w:jc w:val="left"/>
      </w:pPr>
      <w:rPr>
        <w:b/>
      </w:rPr>
      <w:tblPr/>
      <w:tcPr>
        <w:tcBorders>
          <w:top w:color="auto" w:space="0" w:sz="4" w:val="single"/>
          <w:bottom w:color="auto" w:space="0" w:sz="4" w:val="single"/>
        </w:tcBorders>
        <w:shd w:color="auto" w:fill="F2F2F2" w:themeFill="background1" w:themeFillShade="F2" w:val="clear"/>
        <w:vAlign w:val="center"/>
      </w:tcPr>
    </w:tblStylePr>
    <w:tblStylePr w:type="lastRow">
      <w:rPr>
        <w:rFonts w:ascii="Calibri" w:hAnsi="Calibri"/>
      </w:rPr>
      <w:tblPr/>
      <w:tcPr>
        <w:tcBorders>
          <w:bottom w:color="auto" w:space="0" w:sz="4" w:val="single"/>
        </w:tcBorders>
      </w:tcPr>
    </w:tblStylePr>
    <w:tblStylePr w:type="lastCol">
      <w:pPr>
        <w:keepNext/>
        <w:wordWrap/>
        <w:spacing w:after="0" w:afterAutospacing="0" w:afterLines="0" w:before="0" w:beforeAutospacing="0" w:beforeLines="0" w:line="240" w:lineRule="auto"/>
        <w:ind w:firstLine="0" w:firstLineChars="0" w:left="0" w:leftChars="0" w:right="0" w:rightChars="0"/>
      </w:pPr>
      <w:rPr>
        <w:rFonts w:ascii="Calibri" w:eastAsia="SimSun" w:hAnsi="Calibri"/>
      </w:rPr>
      <w:tblPr/>
      <w:tcPr>
        <w:tcBorders>
          <w:bottom w:val="nil"/>
        </w:tcBorders>
      </w:tcPr>
    </w:tblStylePr>
  </w:style>
  <w:style w:styleId="PlainTable1" w:type="table">
    <w:name w:val="Plain Table 1"/>
    <w:basedOn w:val="TableNormal"/>
    <w:rsid w:val="00300D72"/>
    <w:pPr>
      <w:spacing w:after="0"/>
    </w:pPr>
    <w:tblPr>
      <w:tblStyleRowBandSize w:val="1"/>
      <w:tblStyleColBandSize w:val="1"/>
      <w:tblBorders>
        <w:top w:color="BFBFBF" w:space="0" w:sz="4" w:themeColor="background1" w:themeShade="BF" w:val="single"/>
        <w:left w:color="BFBFBF" w:space="0" w:sz="4" w:themeColor="background1" w:themeShade="BF" w:val="single"/>
        <w:bottom w:color="BFBFBF" w:space="0" w:sz="4" w:themeColor="background1" w:themeShade="BF" w:val="single"/>
        <w:right w:color="BFBFBF" w:space="0" w:sz="4" w:themeColor="background1" w:themeShade="BF" w:val="single"/>
        <w:insideH w:color="BFBFBF" w:space="0" w:sz="4" w:themeColor="background1" w:themeShade="BF" w:val="single"/>
        <w:insideV w:color="BFBFBF" w:space="0" w:sz="4" w:themeColor="background1" w:themeShade="BF" w:val="single"/>
      </w:tblBorders>
    </w:tblPr>
    <w:tblStylePr w:type="firstRow">
      <w:rPr>
        <w:b/>
        <w:bCs/>
      </w:rPr>
    </w:tblStylePr>
    <w:tblStylePr w:type="lastRow">
      <w:rPr>
        <w:b/>
        <w:bCs/>
      </w:rPr>
      <w:tblPr/>
      <w:tcPr>
        <w:tcBorders>
          <w:top w:color="BFBFBF" w:space="0" w:sz="4" w:themeColor="background1" w:themeShade="BF" w:val="double"/>
        </w:tcBorders>
      </w:tcPr>
    </w:tblStylePr>
    <w:tblStylePr w:type="firstCol">
      <w:rPr>
        <w:b/>
        <w:bCs/>
      </w:rPr>
    </w:tblStylePr>
    <w:tblStylePr w:type="lastCol">
      <w:rPr>
        <w:b/>
        <w:bCs/>
      </w:rPr>
    </w:tblStylePr>
    <w:tblStylePr w:type="band1Vert">
      <w:tblPr/>
      <w:tcPr>
        <w:shd w:color="auto" w:fill="F2F2F2" w:themeFill="background1" w:themeFillShade="F2" w:val="clear"/>
      </w:tcPr>
    </w:tblStylePr>
    <w:tblStylePr w:type="band1Horz">
      <w:tblPr/>
      <w:tcPr>
        <w:shd w:color="auto" w:fill="F2F2F2" w:themeFill="background1" w:themeFillShade="F2" w:val="clear"/>
      </w:tcPr>
    </w:tblStylePr>
  </w:style>
  <w:style w:styleId="PlainTable3" w:type="table">
    <w:name w:val="Plain Table 3"/>
    <w:basedOn w:val="TableNormal"/>
    <w:rsid w:val="00300D72"/>
    <w:pPr>
      <w:spacing w:after="0"/>
    </w:pPr>
    <w:tblPr>
      <w:tblStyleRowBandSize w:val="1"/>
      <w:tblStyleColBandSize w:val="1"/>
    </w:tblPr>
    <w:tblStylePr w:type="firstRow">
      <w:rPr>
        <w:b/>
        <w:bCs/>
        <w:caps/>
      </w:rPr>
      <w:tblPr/>
      <w:tcPr>
        <w:tcBorders>
          <w:bottom w:color="7F7F7F" w:space="0" w:sz="4" w:themeColor="text1" w:themeTint="80" w:val="single"/>
        </w:tcBorders>
      </w:tcPr>
    </w:tblStylePr>
    <w:tblStylePr w:type="lastRow">
      <w:rPr>
        <w:b/>
        <w:bCs/>
        <w:caps/>
      </w:rPr>
      <w:tblPr/>
      <w:tcPr>
        <w:tcBorders>
          <w:top w:val="nil"/>
        </w:tcBorders>
      </w:tcPr>
    </w:tblStylePr>
    <w:tblStylePr w:type="firstCol">
      <w:rPr>
        <w:b/>
        <w:bCs/>
        <w:caps/>
      </w:rPr>
      <w:tblPr/>
      <w:tcPr>
        <w:tcBorders>
          <w:right w:color="7F7F7F" w:space="0" w:sz="4" w:themeColor="text1" w:themeTint="80" w:val="single"/>
        </w:tcBorders>
      </w:tcPr>
    </w:tblStylePr>
    <w:tblStylePr w:type="lastCol">
      <w:rPr>
        <w:b/>
        <w:bCs/>
        <w:caps/>
      </w:rPr>
      <w:tblPr/>
      <w:tcPr>
        <w:tcBorders>
          <w:left w:val="nil"/>
        </w:tcBorders>
      </w:tcPr>
    </w:tblStylePr>
    <w:tblStylePr w:type="band1Vert">
      <w:tblPr/>
      <w:tcPr>
        <w:shd w:color="auto" w:fill="F2F2F2" w:themeFill="background1" w:themeFillShade="F2" w:val="clear"/>
      </w:tcPr>
    </w:tblStylePr>
    <w:tblStylePr w:type="band1Horz">
      <w:tblPr/>
      <w:tcPr>
        <w:shd w:color="auto" w:fill="F2F2F2" w:themeFill="background1" w:themeFillShade="F2" w:val="clear"/>
      </w:tcPr>
    </w:tblStylePr>
    <w:tblStylePr w:type="neCell">
      <w:tblPr/>
      <w:tcPr>
        <w:tcBorders>
          <w:left w:val="nil"/>
        </w:tcBorders>
      </w:tcPr>
    </w:tblStylePr>
    <w:tblStylePr w:type="nwCell">
      <w:tblPr/>
      <w:tcPr>
        <w:tcBorders>
          <w:right w:val="nil"/>
        </w:tcBorders>
      </w:tcPr>
    </w:tblStylePr>
  </w:style>
  <w:style w:customStyle="1" w:styleId="Table1" w:type="table">
    <w:name w:val="Table1"/>
    <w:basedOn w:val="TableNormal"/>
    <w:uiPriority w:val="99"/>
    <w:rsid w:val="0043749A"/>
    <w:pPr>
      <w:spacing w:after="0"/>
      <w:jc w:val="center"/>
    </w:pPr>
    <w:tblPr>
      <w:tblBorders>
        <w:top w:color="auto" w:space="0" w:sz="4" w:val="single"/>
        <w:bottom w:color="auto" w:space="0" w:sz="4" w:val="single"/>
      </w:tblBorders>
    </w:tblPr>
    <w:tcPr>
      <w:noWrap/>
      <w:vAlign w:val="center"/>
    </w:tcPr>
    <w:tblStylePr w:type="firstRow">
      <w:rPr>
        <w:b/>
      </w:rPr>
      <w:tblPr/>
      <w:tcPr>
        <w:tcBorders>
          <w:bottom w:color="auto" w:space="0" w:sz="4" w:val="single"/>
        </w:tcBorders>
      </w:tcPr>
    </w:tblStylePr>
    <w:tblStylePr w:type="firstCol">
      <w:pPr>
        <w:wordWrap/>
        <w:spacing w:after="0" w:afterAutospacing="0" w:afterLines="0" w:before="0" w:beforeAutospacing="0" w:beforeLines="0" w:line="240" w:lineRule="auto"/>
        <w:ind w:firstLine="0" w:firstLineChars="0" w:left="0" w:leftChars="0" w:right="0" w:rightChars="0"/>
        <w:jc w:val="left"/>
        <w:textboxTightWrap w:val="allLines"/>
        <w:outlineLvl w:val="9"/>
      </w:pPr>
      <w:rPr>
        <w:b/>
      </w:rPr>
    </w:tblStylePr>
  </w:style>
  <w:style w:styleId="LineNumber" w:type="character">
    <w:name w:val="line number"/>
    <w:basedOn w:val="DefaultParagraphFont"/>
    <w:semiHidden/>
    <w:unhideWhenUsed/>
    <w:rsid w:val="00D34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png" /><Relationship Type="http://schemas.openxmlformats.org/officeDocument/2006/relationships/image" Id="rId20" Target="media/rId20.png" /><Relationship Type="http://schemas.openxmlformats.org/officeDocument/2006/relationships/image" Id="rId61" Target="media/rId61.png"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32" Target="media/rId32.png" /><Relationship Type="http://schemas.openxmlformats.org/officeDocument/2006/relationships/image" Id="rId50" Target="media/rId50.png" /><Relationship Type="http://schemas.openxmlformats.org/officeDocument/2006/relationships/image" Id="rId37" Target="media/rId37.png" /><Relationship Type="http://schemas.openxmlformats.org/officeDocument/2006/relationships/image" Id="rId55" Target="media/rId55.png" /><Relationship Type="http://schemas.openxmlformats.org/officeDocument/2006/relationships/image" Id="rId65" Target="media/rId65.png" /><Relationship Type="http://schemas.openxmlformats.org/officeDocument/2006/relationships/hyperlink" Id="rId26" Target="https://doi.org/10.1016/j.watres.2025.123336" TargetMode="External" /><Relationship Type="http://schemas.openxmlformats.org/officeDocument/2006/relationships/hyperlink" Id="rId69" Target="https://drwater.net/publication/" TargetMode="External" /><Relationship Type="http://schemas.openxmlformats.org/officeDocument/2006/relationships/hyperlink" Id="rId25" Target="https://drwater.net/team/min-yang/" TargetMode="External" /><Relationship Type="http://schemas.openxmlformats.org/officeDocument/2006/relationships/hyperlink" Id="rId24" Target="https://drwater.net/team/ming-su/" TargetMode="External" /><Relationship Type="http://schemas.openxmlformats.org/officeDocument/2006/relationships/hyperlink" Id="rId23" Target="https://drwater.net/team/tengxin-cao/" TargetMode="External" /></Relationships>
</file>

<file path=word/_rels/footnotes.xml.rels><?xml version="1.0" encoding="UTF-8"?><Relationships xmlns="http://schemas.openxmlformats.org/package/2006/relationships"><Relationship Type="http://schemas.openxmlformats.org/officeDocument/2006/relationships/hyperlink" Id="rId26" Target="https://doi.org/10.1016/j.watres.2025.123336" TargetMode="External" /><Relationship Type="http://schemas.openxmlformats.org/officeDocument/2006/relationships/hyperlink" Id="rId69" Target="https://drwater.net/publication/" TargetMode="External" /><Relationship Type="http://schemas.openxmlformats.org/officeDocument/2006/relationships/hyperlink" Id="rId25" Target="https://drwater.net/team/min-yang/" TargetMode="External" /><Relationship Type="http://schemas.openxmlformats.org/officeDocument/2006/relationships/hyperlink" Id="rId24" Target="https://drwater.net/team/ming-su/" TargetMode="External" /><Relationship Type="http://schemas.openxmlformats.org/officeDocument/2006/relationships/hyperlink" Id="rId23" Target="https://drwater.net/team/tengxin-ca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Strategy for identification of MIB producers using routine data: a case study of an estuary drinking water reservoir</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中国科学院生态环境研究中心杨敏团队WR：光色对灰假鱼腥藻生长及产MIB的影响机制</dc:title>
  <dc:creator>生态中心杨敏团队</dc:creator>
  <dc:language>en</dc:language>
  <cp:keywords/>
  <dcterms:created xsi:type="dcterms:W3CDTF">2026-08-12T13:51:33Z</dcterms:created>
  <dcterms:modified xsi:type="dcterms:W3CDTF">2026-08-12T13:51:33Z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affiliations">
    <vt:lpwstr/>
  </property>
  <property fmtid="{D5CDD505-2E9C-101B-9397-08002B2CF9AE}" pid="4" name="authors">
    <vt:lpwstr/>
  </property>
  <property fmtid="{D5CDD505-2E9C-101B-9397-08002B2CF9AE}" pid="5" name="biblio-config">
    <vt:lpwstr>True</vt:lpwstr>
  </property>
  <property fmtid="{D5CDD505-2E9C-101B-9397-08002B2CF9AE}" pid="6" name="by-affiliation">
    <vt:lpwstr/>
  </property>
  <property fmtid="{D5CDD505-2E9C-101B-9397-08002B2CF9AE}" pid="7" name="by-author">
    <vt:lpwstr/>
  </property>
  <property fmtid="{D5CDD505-2E9C-101B-9397-08002B2CF9AE}" pid="8" name="date">
    <vt:lpwstr>2026-08-12</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knitr">
    <vt:lpwstr/>
  </property>
  <property fmtid="{D5CDD505-2E9C-101B-9397-08002B2CF9AE}" pid="13" name="labels">
    <vt:lpwstr/>
  </property>
  <property fmtid="{D5CDD505-2E9C-101B-9397-08002B2CF9AE}" pid="14" name="revealjs-plugins">
    <vt:lpwstr/>
  </property>
  <property fmtid="{D5CDD505-2E9C-101B-9397-08002B2CF9AE}" pid="15" name="submitid">
    <vt:lpwstr>WR92618</vt:lpwstr>
  </property>
  <property fmtid="{D5CDD505-2E9C-101B-9397-08002B2CF9AE}" pid="16" name="submitjournal">
    <vt:lpwstr>Water Research</vt:lpwstr>
  </property>
  <property fmtid="{D5CDD505-2E9C-101B-9397-08002B2CF9AE}" pid="17" name="toc-title">
    <vt:lpwstr>Table of contents</vt:lpwstr>
  </property>
</Properties>
</file>