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Phosphorus fuels</w:t>
      </w:r>
      <w:r>
        <w:t xml:space="preserve"> </w:t>
      </w:r>
      <w:r>
        <w:rPr>
          <w:i/>
          <w:iCs/>
        </w:rPr>
        <w:t xml:space="preserve">Cladophora</w:t>
      </w:r>
      <w:r>
        <w:t xml:space="preserve"> </w:t>
      </w:r>
      <w:r>
        <w:t xml:space="preserve">growth and self‑reinforcing adhesion via extracellular polysaccharides on hard substrata</w:t>
      </w:r>
    </w:p>
    <w:p>
      <w:pPr>
        <w:pStyle w:val="Author"/>
      </w:pPr>
      <w:r>
        <w:t xml:space="preserve">Yifan Du</w:t>
      </w:r>
      <w:r>
        <w:rPr>
          <w:vertAlign w:val="superscript"/>
        </w:rPr>
        <w:t xml:space="preserve">a,c,#</w:t>
      </w:r>
      <w:r>
        <w:t xml:space="preserve">, Siguang Yuan</w:t>
      </w:r>
      <w:r>
        <w:rPr>
          <w:vertAlign w:val="superscript"/>
        </w:rPr>
        <w:t xml:space="preserve">b,#</w:t>
      </w:r>
      <w:r>
        <w:t xml:space="preserve">, Jinyi Qin</w:t>
      </w:r>
      <w:r>
        <w:rPr>
          <w:vertAlign w:val="superscript"/>
        </w:rPr>
        <w:t xml:space="preserve"> </w:t>
      </w:r>
      <w:hyperlink r:id="rId20">
        <w:r>
          <w:rPr>
            <w:rStyle w:val="Hyperlink"/>
            <w:vertAlign w:val="superscript"/>
          </w:rPr>
          <w:t xml:space="preserve">ID</w:t>
        </w:r>
      </w:hyperlink>
      <w:r>
        <w:rPr>
          <w:vertAlign w:val="superscript"/>
        </w:rPr>
        <w:t xml:space="preserve">,c</w:t>
      </w:r>
      <w:r>
        <w:t xml:space="preserve">, Siming Jiao</w:t>
      </w:r>
      <w:r>
        <w:rPr>
          <w:vertAlign w:val="superscript"/>
        </w:rPr>
        <w:t xml:space="preserve">d</w:t>
      </w:r>
      <w:r>
        <w:t xml:space="preserve">, Yufan Ai</w:t>
      </w:r>
      <w:r>
        <w:rPr>
          <w:vertAlign w:val="superscript"/>
        </w:rPr>
        <w:t xml:space="preserve">a,g</w:t>
      </w:r>
      <w:r>
        <w:t xml:space="preserve">, Yingjie Li</w:t>
      </w:r>
      <w:r>
        <w:rPr>
          <w:vertAlign w:val="superscript"/>
        </w:rPr>
        <w:t xml:space="preserve">a,g</w:t>
      </w:r>
      <w:r>
        <w:t xml:space="preserve">, Nan Li</w:t>
      </w:r>
      <w:r>
        <w:rPr>
          <w:vertAlign w:val="superscript"/>
        </w:rPr>
        <w:t xml:space="preserve">b</w:t>
      </w:r>
      <w:r>
        <w:t xml:space="preserve">, Xiaonan Chen</w:t>
      </w:r>
      <w:r>
        <w:rPr>
          <w:vertAlign w:val="superscript"/>
        </w:rPr>
        <w:t xml:space="preserve">b,e,f</w:t>
      </w:r>
      <w:r>
        <w:t xml:space="preserve">, Xiaoming Cai</w:t>
      </w:r>
      <w:r>
        <w:rPr>
          <w:vertAlign w:val="superscript"/>
        </w:rPr>
        <w:t xml:space="preserve">d</w:t>
      </w:r>
      <w:r>
        <w:t xml:space="preserve">, Xinzong Xiao</w:t>
      </w:r>
      <w:r>
        <w:rPr>
          <w:vertAlign w:val="superscript"/>
        </w:rPr>
        <w:t xml:space="preserve">b,e,f,*</w:t>
      </w:r>
      <w:r>
        <w:t xml:space="preserve">, Jilong Wang</w:t>
      </w:r>
      <w:r>
        <w:rPr>
          <w:vertAlign w:val="superscript"/>
        </w:rPr>
        <w:t xml:space="preserve">a</w:t>
      </w:r>
      <w:r>
        <w:t xml:space="preserve">, Min Yang</w:t>
      </w:r>
      <w:r>
        <w:rPr>
          <w:vertAlign w:val="superscript"/>
        </w:rPr>
        <w:t xml:space="preserve">a,g</w:t>
      </w:r>
      <w:r>
        <w:t xml:space="preserve">, and Ming Su</w:t>
      </w:r>
      <w:r>
        <w:rPr>
          <w:vertAlign w:val="superscript"/>
        </w:rPr>
        <w:t xml:space="preserve"> </w:t>
      </w:r>
      <w:hyperlink r:id="rId21">
        <w:r>
          <w:rPr>
            <w:rStyle w:val="Hyperlink"/>
            <w:vertAlign w:val="superscript"/>
          </w:rPr>
          <w:t xml:space="preserve">ID</w:t>
        </w:r>
      </w:hyperlink>
      <w:r>
        <w:rPr>
          <w:vertAlign w:val="superscript"/>
        </w:rPr>
        <w:t xml:space="preserve">,a,g,*</w:t>
      </w:r>
    </w:p>
    <w:p>
      <w:pPr>
        <w:pStyle w:val="Date"/>
      </w:pPr>
      <w:r>
        <w:t xml:space="preserve">2025-07-28</w:t>
      </w:r>
    </w:p>
    <w:p>
      <w:pPr>
        <w:pStyle w:val="FirstParagraph"/>
      </w:pPr>
      <w:r>
        <w:rPr>
          <w:vertAlign w:val="superscript"/>
        </w:rPr>
        <w:t xml:space="preserve">#</w:t>
      </w:r>
      <w:r>
        <w:t xml:space="preserve"> </w:t>
      </w:r>
      <w:r>
        <w:t xml:space="preserve">These authors contributed equally to this work.</w:t>
      </w:r>
    </w:p>
    <w:p>
      <w:pPr>
        <w:pStyle w:val="BodyText"/>
      </w:pPr>
      <w:r>
        <w:rPr>
          <w:vertAlign w:val="superscript"/>
        </w:rPr>
        <w:t xml:space="preserve">a</w:t>
      </w:r>
      <w:r>
        <w:t xml:space="preserve"> </w:t>
      </w:r>
      <w:r>
        <w:t xml:space="preserve">Key Laboratory of Environmental Aquatic Chemistry, State Key Laboratory of Regional Environment and Sustainability, Research Center for Eco-Environmental Sciences, Chinese Academy of Sciences, Beijing 100085, China.</w:t>
      </w:r>
      <w:r>
        <w:br/>
      </w:r>
      <w:r>
        <w:rPr>
          <w:vertAlign w:val="superscript"/>
        </w:rPr>
        <w:t xml:space="preserve">b</w:t>
      </w:r>
      <w:r>
        <w:t xml:space="preserve"> </w:t>
      </w:r>
      <w:r>
        <w:t xml:space="preserve">China South to North Water Diversion Middle Route Corporation Limited, Beijing 100038, China.</w:t>
      </w:r>
      <w:r>
        <w:br/>
      </w:r>
      <w:r>
        <w:rPr>
          <w:vertAlign w:val="superscript"/>
        </w:rPr>
        <w:t xml:space="preserve">c</w:t>
      </w:r>
      <w:r>
        <w:t xml:space="preserve"> </w:t>
      </w:r>
      <w:r>
        <w:t xml:space="preserve">School of Civil Engineering, Chang’an University, Xi’an 710064, China.</w:t>
      </w:r>
      <w:r>
        <w:br/>
      </w:r>
      <w:r>
        <w:rPr>
          <w:vertAlign w:val="superscript"/>
        </w:rPr>
        <w:t xml:space="preserve">d</w:t>
      </w:r>
      <w:r>
        <w:t xml:space="preserve"> </w:t>
      </w:r>
      <w:r>
        <w:t xml:space="preserve">Institute of Process Engineering, Chinese Academy of Sciences, Beijing 100190, China.</w:t>
      </w:r>
      <w:r>
        <w:br/>
      </w:r>
      <w:r>
        <w:rPr>
          <w:vertAlign w:val="superscript"/>
        </w:rPr>
        <w:t xml:space="preserve">e</w:t>
      </w:r>
      <w:r>
        <w:t xml:space="preserve"> </w:t>
      </w:r>
      <w:r>
        <w:t xml:space="preserve">Hubei Key Laboratory of Intelligent Monitoring, Early Warning and Protection for Watershed Aquatic Ecology, Wuhan 430010, China.</w:t>
      </w:r>
      <w:r>
        <w:br/>
      </w:r>
      <w:r>
        <w:rPr>
          <w:vertAlign w:val="superscript"/>
        </w:rPr>
        <w:t xml:space="preserve">f</w:t>
      </w:r>
      <w:r>
        <w:t xml:space="preserve"> </w:t>
      </w:r>
      <w:r>
        <w:t xml:space="preserve">Water Quality and Aquatic Ecosystem Observation and Research Station of South-to-North Water Diversion Middle Line Project, Beijing 100038, China.</w:t>
      </w:r>
      <w:r>
        <w:br/>
      </w:r>
      <w:r>
        <w:rPr>
          <w:vertAlign w:val="superscript"/>
        </w:rPr>
        <w:t xml:space="preserve">g</w:t>
      </w:r>
      <w:r>
        <w:t xml:space="preserve"> </w:t>
      </w:r>
      <w:r>
        <w:t xml:space="preserve">University of Chinese Academy of Sciences, Beijing 100049, China.</w:t>
      </w:r>
    </w:p>
    <w:p>
      <w:pPr>
        <w:pStyle w:val="BodyText"/>
      </w:pPr>
      <w:r>
        <w:rPr>
          <w:vertAlign w:val="superscript"/>
        </w:rPr>
        <w:t xml:space="preserve">*</w:t>
      </w:r>
      <w:r>
        <w:t xml:space="preserve"> </w:t>
      </w:r>
      <w:r>
        <w:t xml:space="preserve">Corresponding to:</w:t>
      </w:r>
      <w:r>
        <w:t xml:space="preserve"> </w:t>
      </w:r>
      <w:hyperlink r:id="rId22">
        <w:r>
          <w:rPr>
            <w:rStyle w:val="Hyperlink"/>
          </w:rPr>
          <w:t xml:space="preserve">Xinzong Xiao (xiaoxinzong@csnwd.com.cn)</w:t>
        </w:r>
      </w:hyperlink>
      <w:r>
        <w:t xml:space="preserve">,</w:t>
      </w:r>
      <w:r>
        <w:t xml:space="preserve"> </w:t>
      </w:r>
      <w:hyperlink r:id="rId23">
        <w:r>
          <w:rPr>
            <w:rStyle w:val="Hyperlink"/>
          </w:rPr>
          <w:t xml:space="preserve">Ming Su (mingsu@rcees.ac.cn)</w:t>
        </w:r>
      </w:hyperlink>
    </w:p>
    <w:bookmarkStart w:id="24" w:name="credit-authorship-contribution-statement"/>
    <w:p>
      <w:pPr>
        <w:pStyle w:val="Heading1"/>
      </w:pPr>
      <w:r>
        <w:t xml:space="preserve">CRediT authorship contribution statement</w:t>
      </w:r>
    </w:p>
    <w:p>
      <w:pPr>
        <w:pStyle w:val="FirstParagraph"/>
      </w:pPr>
      <w:r>
        <w:t xml:space="preserve">Ming Su: Conceptualization, Methodology, Validation, Formal analysis, Writing - Original Draft, Writing - Review &amp; Editing, Visualization, Project administration, Funding acquisition. Yiping Zhu: Investigation, Resources, Project administration. Michael Burch: Writing - Review &amp; Editing. Jinping Lu, Tengxin Cao, Yufan Ai: Investigation. Jianwei Yu: Resources. Min Yang: Conceptualization, Validation, Formal analysis, Writing - Review &amp; Editing, Project administration, Resources, Funding acquisition, Supervision.</w:t>
      </w:r>
    </w:p>
    <w:bookmarkEnd w:id="24"/>
    <w:sectPr w:rsidR="00C83DEB" w:rsidRPr="009A350C" w:rsidSect="00D34A99">
      <w:type w:val="continuous"/>
      <w:pgSz w:h="16848" w:w="11952"/>
      <w:pgMar w:bottom="1440" w:footer="720" w:gutter="720" w:header="720" w:left="1440" w:right="1440" w:top="1440"/>
      <w:lnNumType w:countBy="1" w:restart="continuous"/>
      <w:cols w:space="720"/>
      <w:docGrid w:linePitch="326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Body CS)">
    <w:altName w:val="Times New Roman"/>
    <w:panose1 w:val="020B0604020202020204"/>
    <w:charset w:val="00"/>
    <w:family w:val="roman"/>
    <w:pitch w:val="default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15:restartNumberingAfterBreak="0" w:abstractNumId="0">
    <w:nsid w:val="EA454B4C"/>
    <w:multiLevelType w:val="multilevel"/>
    <w:tmpl w:val="17A2F78A"/>
    <w:lvl w:ilvl="0">
      <w:numFmt w:val="bullet"/>
      <w:lvlText w:val="•"/>
      <w:lvlJc w:val="left"/>
      <w:pPr>
        <w:tabs>
          <w:tab w:pos="0" w:val="num"/>
        </w:tabs>
        <w:ind w:hanging="480" w:left="480"/>
      </w:pPr>
    </w:lvl>
    <w:lvl w:ilvl="1">
      <w:numFmt w:val="bullet"/>
      <w:lvlText w:val="–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•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–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•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–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•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–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•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">
    <w:nsid w:val="FFFFFF7C"/>
    <w:multiLevelType w:val="singleLevel"/>
    <w:tmpl w:val="35BCE13A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2">
    <w:nsid w:val="FFFFFF7D"/>
    <w:multiLevelType w:val="singleLevel"/>
    <w:tmpl w:val="17ACA35A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3">
    <w:nsid w:val="FFFFFF7E"/>
    <w:multiLevelType w:val="singleLevel"/>
    <w:tmpl w:val="305208BC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4">
    <w:nsid w:val="FFFFFF7F"/>
    <w:multiLevelType w:val="singleLevel"/>
    <w:tmpl w:val="538C7DB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5">
    <w:nsid w:val="FFFFFF80"/>
    <w:multiLevelType w:val="singleLevel"/>
    <w:tmpl w:val="520CF04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6">
    <w:nsid w:val="FFFFFF81"/>
    <w:multiLevelType w:val="singleLevel"/>
    <w:tmpl w:val="E05CA962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7">
    <w:nsid w:val="FFFFFF82"/>
    <w:multiLevelType w:val="singleLevel"/>
    <w:tmpl w:val="91027A6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8">
    <w:nsid w:val="FFFFFF83"/>
    <w:multiLevelType w:val="singleLevel"/>
    <w:tmpl w:val="6DB2BCF6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9">
    <w:nsid w:val="FFFFFF88"/>
    <w:multiLevelType w:val="singleLevel"/>
    <w:tmpl w:val="985C7762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10">
    <w:nsid w:val="FFFFFF89"/>
    <w:multiLevelType w:val="singleLevel"/>
    <w:tmpl w:val="D5CEBA96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1">
    <w:nsid w:val="0000A990"/>
    <w:multiLevelType w:val="multilevel"/>
    <w:tmpl w:val="ECD0910E"/>
    <w:lvl w:ilvl="0">
      <w:numFmt w:val="bullet"/>
      <w:lvlText w:val=" "/>
      <w:lvlJc w:val="left"/>
      <w:pPr>
        <w:ind w:hanging="480" w:left="720"/>
      </w:pPr>
    </w:lvl>
    <w:lvl w:ilvl="1">
      <w:numFmt w:val="bullet"/>
      <w:lvlText w:val=" "/>
      <w:lvlJc w:val="left"/>
      <w:pPr>
        <w:ind w:hanging="480" w:left="1440"/>
      </w:pPr>
    </w:lvl>
    <w:lvl w:ilvl="2">
      <w:numFmt w:val="bullet"/>
      <w:lvlText w:val=" "/>
      <w:lvlJc w:val="left"/>
      <w:pPr>
        <w:ind w:hanging="480" w:left="2160"/>
      </w:pPr>
    </w:lvl>
    <w:lvl w:ilvl="3">
      <w:numFmt w:val="bullet"/>
      <w:lvlText w:val=" "/>
      <w:lvlJc w:val="left"/>
      <w:pPr>
        <w:ind w:hanging="480" w:left="2880"/>
      </w:pPr>
    </w:lvl>
    <w:lvl w:ilvl="4">
      <w:numFmt w:val="bullet"/>
      <w:lvlText w:val=" "/>
      <w:lvlJc w:val="left"/>
      <w:pPr>
        <w:ind w:hanging="480" w:left="3600"/>
      </w:pPr>
    </w:lvl>
    <w:lvl w:ilvl="5">
      <w:numFmt w:val="bullet"/>
      <w:lvlText w:val=" "/>
      <w:lvlJc w:val="left"/>
      <w:pPr>
        <w:ind w:hanging="480" w:left="4320"/>
      </w:pPr>
    </w:lvl>
    <w:lvl w:ilvl="6">
      <w:numFmt w:val="bullet"/>
      <w:lvlText w:val=" "/>
      <w:lvlJc w:val="left"/>
      <w:pPr>
        <w:ind w:hanging="480" w:left="5040"/>
      </w:pPr>
    </w:lvl>
    <w:lvl w:ilvl="7">
      <w:numFmt w:val="bullet"/>
      <w:lvlText w:val=" "/>
      <w:lvlJc w:val="left"/>
      <w:pPr>
        <w:ind w:hanging="480" w:left="5760"/>
      </w:pPr>
    </w:lvl>
    <w:lvl w:ilvl="8">
      <w:numFmt w:val="bullet"/>
      <w:lvlText w:val=" "/>
      <w:lvlJc w:val="left"/>
      <w:pPr>
        <w:ind w:hanging="480" w:left="6480"/>
      </w:pPr>
    </w:lvl>
  </w:abstractNum>
  <w:abstractNum w15:restartNumberingAfterBreak="0" w:abstractNumId="12">
    <w:nsid w:val="00A99421"/>
    <w:multiLevelType w:val="multilevel"/>
    <w:tmpl w:val="3592AE20"/>
    <w:lvl w:ilvl="0">
      <w:start w:val="1"/>
      <w:numFmt w:val="decimal"/>
      <w:lvlText w:val="%1)"/>
      <w:lvlJc w:val="left"/>
      <w:pPr>
        <w:ind w:hanging="480" w:left="720"/>
      </w:pPr>
    </w:lvl>
    <w:lvl w:ilvl="1">
      <w:start w:val="1"/>
      <w:numFmt w:val="decimal"/>
      <w:lvlText w:val="%2)"/>
      <w:lvlJc w:val="left"/>
      <w:pPr>
        <w:ind w:hanging="480" w:left="1440"/>
      </w:pPr>
    </w:lvl>
    <w:lvl w:ilvl="2">
      <w:start w:val="1"/>
      <w:numFmt w:val="decimal"/>
      <w:lvlText w:val="%3)"/>
      <w:lvlJc w:val="left"/>
      <w:pPr>
        <w:ind w:hanging="480" w:left="2160"/>
      </w:pPr>
    </w:lvl>
    <w:lvl w:ilvl="3">
      <w:start w:val="1"/>
      <w:numFmt w:val="decimal"/>
      <w:lvlText w:val="%4)"/>
      <w:lvlJc w:val="left"/>
      <w:pPr>
        <w:ind w:hanging="480" w:left="2880"/>
      </w:pPr>
    </w:lvl>
    <w:lvl w:ilvl="4">
      <w:start w:val="1"/>
      <w:numFmt w:val="decimal"/>
      <w:lvlText w:val="%5)"/>
      <w:lvlJc w:val="left"/>
      <w:pPr>
        <w:ind w:hanging="480" w:left="3600"/>
      </w:pPr>
    </w:lvl>
    <w:lvl w:ilvl="5">
      <w:start w:val="1"/>
      <w:numFmt w:val="decimal"/>
      <w:lvlText w:val="%6)"/>
      <w:lvlJc w:val="left"/>
      <w:pPr>
        <w:ind w:hanging="480" w:left="4320"/>
      </w:pPr>
    </w:lvl>
    <w:lvl w:ilvl="6">
      <w:start w:val="1"/>
      <w:numFmt w:val="decimal"/>
      <w:lvlText w:val="%7)"/>
      <w:lvlJc w:val="left"/>
      <w:pPr>
        <w:ind w:hanging="480" w:left="5040"/>
      </w:pPr>
    </w:lvl>
    <w:lvl w:ilvl="7">
      <w:start w:val="1"/>
      <w:numFmt w:val="decimal"/>
      <w:lvlText w:val="%8)"/>
      <w:lvlJc w:val="left"/>
      <w:pPr>
        <w:ind w:hanging="480" w:left="5760"/>
      </w:pPr>
    </w:lvl>
    <w:lvl w:ilvl="8">
      <w:start w:val="1"/>
      <w:numFmt w:val="decimal"/>
      <w:lvlText w:val="%9)"/>
      <w:lvlJc w:val="left"/>
      <w:pPr>
        <w:ind w:hanging="480" w:left="6480"/>
      </w:pPr>
    </w:lvl>
  </w:abstractNum>
  <w:abstractNum w15:restartNumberingAfterBreak="0" w:abstractNumId="13">
    <w:nsid w:val="2AAB1796"/>
    <w:multiLevelType w:val="multilevel"/>
    <w:tmpl w:val="F7E0EDFA"/>
    <w:lvl w:ilvl="0">
      <w:start w:val="1"/>
      <w:numFmt w:val="decimal"/>
      <w:pStyle w:val="Heading1"/>
      <w:lvlText w:val="%1"/>
      <w:lvlJc w:val="left"/>
      <w:pPr>
        <w:ind w:hanging="432" w:left="432"/>
      </w:pPr>
    </w:lvl>
    <w:lvl w:ilvl="1">
      <w:start w:val="1"/>
      <w:numFmt w:val="decimal"/>
      <w:pStyle w:val="Heading2"/>
      <w:lvlText w:val="%1.%2"/>
      <w:lvlJc w:val="left"/>
      <w:pPr>
        <w:ind w:hanging="576" w:left="576"/>
      </w:pPr>
    </w:lvl>
    <w:lvl w:ilvl="2">
      <w:start w:val="1"/>
      <w:numFmt w:val="decimal"/>
      <w:pStyle w:val="Heading3"/>
      <w:lvlText w:val="%1.%2.%3"/>
      <w:lvlJc w:val="left"/>
      <w:pPr>
        <w:ind w:hanging="720" w:left="720"/>
      </w:pPr>
    </w:lvl>
    <w:lvl w:ilvl="3">
      <w:start w:val="1"/>
      <w:numFmt w:val="decimal"/>
      <w:pStyle w:val="Heading4"/>
      <w:lvlText w:val="%1.%2.%3.%4"/>
      <w:lvlJc w:val="left"/>
      <w:pPr>
        <w:ind w:hanging="864" w:left="864"/>
      </w:pPr>
    </w:lvl>
    <w:lvl w:ilvl="4">
      <w:start w:val="1"/>
      <w:numFmt w:val="decimal"/>
      <w:pStyle w:val="Heading5"/>
      <w:lvlText w:val="%1.%2.%3.%4.%5"/>
      <w:lvlJc w:val="left"/>
      <w:pPr>
        <w:ind w:hanging="1008" w:left="1008"/>
      </w:pPr>
    </w:lvl>
    <w:lvl w:ilvl="5">
      <w:start w:val="1"/>
      <w:numFmt w:val="decimal"/>
      <w:pStyle w:val="Heading6"/>
      <w:lvlText w:val="%1.%2.%3.%4.%5.%6"/>
      <w:lvlJc w:val="left"/>
      <w:pPr>
        <w:ind w:hanging="1152" w:left="1152"/>
      </w:pPr>
    </w:lvl>
    <w:lvl w:ilvl="6">
      <w:start w:val="1"/>
      <w:numFmt w:val="decimal"/>
      <w:pStyle w:val="Heading7"/>
      <w:lvlText w:val="%1.%2.%3.%4.%5.%6.%7"/>
      <w:lvlJc w:val="left"/>
      <w:pPr>
        <w:ind w:hanging="1296" w:left="1296"/>
      </w:pPr>
    </w:lvl>
    <w:lvl w:ilvl="7">
      <w:start w:val="1"/>
      <w:numFmt w:val="decimal"/>
      <w:pStyle w:val="Heading8"/>
      <w:lvlText w:val="%1.%2.%3.%4.%5.%6.%7.%8"/>
      <w:lvlJc w:val="left"/>
      <w:pPr>
        <w:ind w:hanging="1440" w:left="1440"/>
      </w:pPr>
    </w:lvl>
    <w:lvl w:ilvl="8">
      <w:start w:val="1"/>
      <w:numFmt w:val="decimal"/>
      <w:pStyle w:val="Heading9"/>
      <w:lvlText w:val="%1.%2.%3.%4.%5.%6.%7.%8.%9"/>
      <w:lvlJc w:val="left"/>
      <w:pPr>
        <w:ind w:hanging="1584" w:left="1584"/>
      </w:pPr>
    </w:lvl>
  </w:abstractNum>
  <w:abstractNum w15:restartNumberingAfterBreak="0" w:abstractNumId="14">
    <w:nsid w:val="2C1AE401"/>
    <w:multiLevelType w:val="multilevel"/>
    <w:tmpl w:val="EB5024DC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16cid:durableId="1647003809" w:numId="1">
    <w:abstractNumId w:val="14"/>
  </w:num>
  <w:num w16cid:durableId="1050769522" w:numId="2">
    <w:abstractNumId w:val="1"/>
  </w:num>
  <w:num w16cid:durableId="691146791" w:numId="3">
    <w:abstractNumId w:val="2"/>
  </w:num>
  <w:num w16cid:durableId="1840848626" w:numId="4">
    <w:abstractNumId w:val="3"/>
  </w:num>
  <w:num w16cid:durableId="979381040" w:numId="5">
    <w:abstractNumId w:val="4"/>
  </w:num>
  <w:num w16cid:durableId="1339770353" w:numId="6">
    <w:abstractNumId w:val="9"/>
  </w:num>
  <w:num w16cid:durableId="1869879009" w:numId="7">
    <w:abstractNumId w:val="5"/>
  </w:num>
  <w:num w16cid:durableId="958805246" w:numId="8">
    <w:abstractNumId w:val="6"/>
  </w:num>
  <w:num w16cid:durableId="1871726544" w:numId="9">
    <w:abstractNumId w:val="7"/>
  </w:num>
  <w:num w16cid:durableId="1443769426" w:numId="10">
    <w:abstractNumId w:val="8"/>
  </w:num>
  <w:num w16cid:durableId="2133476877" w:numId="11">
    <w:abstractNumId w:val="10"/>
  </w:num>
  <w:num w16cid:durableId="1658653764" w:numId="12">
    <w:abstractNumId w:val="13"/>
  </w:num>
  <w:num w16cid:durableId="1291326281" w:numId="13">
    <w:abstractNumId w:val="14"/>
  </w:num>
  <w:num w16cid:durableId="455566639" w:numId="14">
    <w:abstractNumId w:val="0"/>
  </w:num>
  <w:num w16cid:durableId="1123501441" w:numId="15">
    <w:abstractNumId w:val="0"/>
  </w:num>
  <w:num w16cid:durableId="1713111372" w:numId="16">
    <w:abstractNumId w:val="14"/>
  </w:num>
  <w:num w16cid:durableId="633413296" w:numId="17">
    <w:abstractNumId w:val="14"/>
  </w:num>
  <w:num w16cid:durableId="727605067" w:numId="18">
    <w:abstractNumId w:val="0"/>
  </w:num>
  <w:num w16cid:durableId="790052878" w:numId="19">
    <w:abstractNumId w:val="0"/>
  </w:num>
  <w:num w16cid:durableId="1687557063" w:numId="20">
    <w:abstractNumId w:val="0"/>
  </w:num>
  <w:num w16cid:durableId="1615483120" w:numId="21">
    <w:abstractNumId w:val="14"/>
  </w:num>
  <w:num w16cid:durableId="1942569766" w:numId="22">
    <w:abstractNumId w:val="14"/>
  </w:num>
  <w:num w16cid:durableId="1205798551" w:numId="23">
    <w:abstractNumId w:val="11"/>
  </w:num>
  <w:num w16cid:durableId="647243311"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16cid:durableId="1364794324" w:numId="25">
    <w:abstractNumId w:val="11"/>
  </w:num>
  <w:num w16cid:durableId="1211453382" w:numId="26">
    <w:abstractNumId w:val="1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78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EB"/>
    <w:rsid w:val="009A350C"/>
    <w:rsid w:val="00BF0311"/>
    <w:rsid w:val="00C83DEB"/>
    <w:rsid w:val="00D74377"/>
    <w:rsid w:val="00E27AC7"/>
  </w:rsids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475C52"/>
    <w:pPr>
      <w:spacing w:after="240" w:before="120" w:line="480" w:lineRule="auto"/>
      <w:ind w:firstLine="397"/>
      <w:jc w:val="both"/>
    </w:pPr>
    <w:rPr>
      <w:rFonts w:ascii="Calibri" w:eastAsiaTheme="minorEastAsia" w:hAnsi="Calibri"/>
    </w:rPr>
  </w:style>
  <w:style w:styleId="Heading1" w:type="paragraph">
    <w:name w:val="heading 1"/>
    <w:basedOn w:val="Normal"/>
    <w:next w:val="BodyText"/>
    <w:uiPriority w:val="9"/>
    <w:qFormat/>
    <w:rsid w:val="009F1910"/>
    <w:pPr>
      <w:keepNext/>
      <w:keepLines/>
      <w:numPr>
        <w:numId w:val="12"/>
      </w:numPr>
      <w:spacing w:after="0" w:line="240" w:lineRule="auto"/>
      <w:ind w:firstLine="0" w:left="0"/>
      <w:outlineLvl w:val="0"/>
    </w:pPr>
    <w:rPr>
      <w:rFonts w:asciiTheme="majorHAnsi" w:cstheme="majorBidi" w:eastAsiaTheme="majorEastAsia" w:hAnsiTheme="majorHAnsi"/>
      <w:b/>
      <w:bCs/>
      <w:sz w:val="32"/>
      <w:szCs w:val="32"/>
    </w:rPr>
  </w:style>
  <w:style w:styleId="Heading2" w:type="paragraph">
    <w:name w:val="heading 2"/>
    <w:basedOn w:val="Normal"/>
    <w:next w:val="BodyText"/>
    <w:autoRedefine/>
    <w:uiPriority w:val="9"/>
    <w:unhideWhenUsed/>
    <w:qFormat/>
    <w:rsid w:val="009F1910"/>
    <w:pPr>
      <w:keepNext/>
      <w:keepLines/>
      <w:numPr>
        <w:ilvl w:val="1"/>
        <w:numId w:val="12"/>
      </w:numPr>
      <w:spacing w:after="120" w:line="240" w:lineRule="auto"/>
      <w:ind w:firstLine="0" w:left="0"/>
      <w:outlineLvl w:val="1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rsid w:val="00357B8B"/>
    <w:pPr>
      <w:keepNext/>
      <w:keepLines/>
      <w:numPr>
        <w:ilvl w:val="2"/>
        <w:numId w:val="12"/>
      </w:numPr>
      <w:spacing w:after="0" w:before="200"/>
      <w:outlineLvl w:val="2"/>
    </w:pPr>
    <w:rPr>
      <w:rFonts w:asciiTheme="majorHAnsi" w:cstheme="majorBidi" w:eastAsiaTheme="majorEastAsia" w:hAnsiTheme="majorHAnsi"/>
      <w:b/>
      <w:bCs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numPr>
        <w:ilvl w:val="3"/>
        <w:numId w:val="12"/>
      </w:numPr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numPr>
        <w:ilvl w:val="4"/>
        <w:numId w:val="12"/>
      </w:numPr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numPr>
        <w:ilvl w:val="5"/>
        <w:numId w:val="12"/>
      </w:numPr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numPr>
        <w:ilvl w:val="6"/>
        <w:numId w:val="12"/>
      </w:numPr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numPr>
        <w:ilvl w:val="7"/>
        <w:numId w:val="12"/>
      </w:numPr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numPr>
        <w:ilvl w:val="8"/>
        <w:numId w:val="12"/>
      </w:numPr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autoRedefine/>
    <w:qFormat/>
    <w:rsid w:val="00475C52"/>
    <w:pPr>
      <w:spacing w:after="180" w:before="180"/>
    </w:pPr>
  </w:style>
  <w:style w:customStyle="1" w:styleId="FirstParagraph" w:type="paragraph">
    <w:name w:val="First Paragraph"/>
    <w:basedOn w:val="BodyText"/>
    <w:next w:val="BodyText"/>
    <w:autoRedefine/>
    <w:qFormat/>
    <w:rsid w:val="001D0787"/>
    <w:pPr>
      <w:spacing w:after="120" w:before="240"/>
    </w:pPr>
  </w:style>
  <w:style w:customStyle="1" w:styleId="Compact" w:type="paragraph">
    <w:name w:val="Compact"/>
    <w:basedOn w:val="BodyText"/>
    <w:autoRedefine/>
    <w:qFormat/>
    <w:rsid w:val="00684FFA"/>
    <w:pPr>
      <w:spacing w:after="0" w:before="0"/>
      <w:ind w:firstLine="0"/>
      <w:jc w:val="left"/>
    </w:pPr>
  </w:style>
  <w:style w:styleId="Title" w:type="paragraph">
    <w:name w:val="Title"/>
    <w:basedOn w:val="Normal"/>
    <w:next w:val="BodyText"/>
    <w:qFormat/>
    <w:rsid w:val="009F1910"/>
    <w:pPr>
      <w:keepNext/>
      <w:keepLines/>
      <w:spacing w:after="120" w:before="240" w:line="240" w:lineRule="auto"/>
      <w:ind w:firstLine="0"/>
      <w:jc w:val="center"/>
    </w:pPr>
    <w:rPr>
      <w:rFonts w:asciiTheme="majorHAnsi" w:cstheme="majorBidi" w:eastAsiaTheme="majorEastAsia" w:hAnsiTheme="majorHAnsi"/>
      <w:b/>
      <w:bCs/>
      <w:sz w:val="32"/>
      <w:szCs w:val="36"/>
    </w:rPr>
  </w:style>
  <w:style w:styleId="Subtitle" w:type="paragraph">
    <w:name w:val="Subtitle"/>
    <w:basedOn w:val="Title"/>
    <w:next w:val="BodyText"/>
    <w:qFormat/>
    <w:rsid w:val="004659FD"/>
    <w:pPr>
      <w:spacing w:after="240"/>
    </w:pPr>
    <w:rPr>
      <w:sz w:val="28"/>
      <w:szCs w:val="30"/>
    </w:rPr>
  </w:style>
  <w:style w:customStyle="1" w:styleId="Author" w:type="paragraph">
    <w:name w:val="Author"/>
    <w:next w:val="BodyText"/>
    <w:qFormat/>
    <w:rsid w:val="009F1910"/>
    <w:pPr>
      <w:keepNext/>
      <w:keepLines/>
      <w:jc w:val="center"/>
    </w:pPr>
    <w:rPr>
      <w:sz w:val="21"/>
    </w:r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autoRedefine/>
    <w:qFormat/>
    <w:rsid w:val="00475C52"/>
    <w:rPr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basedOn w:val="TableNormal"/>
    <w:semiHidden/>
    <w:unhideWhenUsed/>
    <w:qFormat/>
    <w:rsid w:val="00556B80"/>
    <w:tblPr>
      <w:jc w:val="center"/>
      <w:tblBorders>
        <w:bottom w:color="auto" w:space="0" w:sz="4" w:val="single"/>
      </w:tblBorders>
    </w:tblPr>
    <w:trPr>
      <w:jc w:val="center"/>
    </w:trPr>
    <w:tblStylePr w:type="firstRow">
      <w:pPr>
        <w:jc w:val="center"/>
      </w:pPr>
      <w:rPr>
        <w:rFonts w:asciiTheme="minorHAnsi" w:hAnsiTheme="minorHAnsi"/>
        <w:b/>
        <w:color w:val="auto"/>
        <w:sz w:val="24"/>
        <w:u w:val="none"/>
      </w:rPr>
      <w:tblPr/>
      <w:tcPr>
        <w:tcBorders>
          <w:top w:color="auto" w:space="0" w:sz="4" w:val="single"/>
          <w:bottom w:color="auto" w:space="0" w:sz="4" w:val="single"/>
        </w:tcBorders>
        <w:shd w:color="auto" w:fill="BFBFBF" w:themeFill="background1" w:themeFillShade="BF" w:val="clear"/>
      </w:tcPr>
    </w:tblStylePr>
    <w:tblStylePr w:type="firstCol">
      <w:rPr>
        <w:b/>
      </w:r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autoRedefine/>
    <w:rsid w:val="00556B80"/>
    <w:pPr>
      <w:spacing w:after="120" w:before="0"/>
      <w:jc w:val="center"/>
    </w:pPr>
    <w:rPr>
      <w:i/>
    </w:rPr>
  </w:style>
  <w:style w:customStyle="1" w:styleId="TableCaption" w:type="paragraph">
    <w:name w:val="Table Caption"/>
    <w:basedOn w:val="Caption"/>
    <w:autoRedefine/>
    <w:rsid w:val="009F1910"/>
    <w:pPr>
      <w:keepNext/>
      <w:spacing w:before="240"/>
      <w:ind w:firstLine="0"/>
    </w:pPr>
  </w:style>
  <w:style w:customStyle="1" w:styleId="ImageCaption" w:type="paragraph">
    <w:name w:val="Image Caption"/>
    <w:basedOn w:val="Caption"/>
    <w:autoRedefine/>
    <w:qFormat/>
    <w:rsid w:val="00E27AC7"/>
    <w:pPr>
      <w:keepLines/>
      <w:spacing w:before="120" w:line="360" w:lineRule="auto"/>
      <w:ind w:firstLine="0"/>
    </w:pPr>
  </w:style>
  <w:style w:customStyle="1" w:styleId="Figure" w:type="paragraph">
    <w:name w:val="Figure"/>
    <w:basedOn w:val="Normal"/>
    <w:autoRedefine/>
    <w:rsid w:val="001D0787"/>
    <w:pPr>
      <w:keepNext/>
      <w:spacing w:after="120" w:before="240" w:line="360" w:lineRule="auto"/>
      <w:ind w:firstLine="0"/>
      <w:jc w:val="center"/>
    </w:pPr>
    <w:rPr>
      <w:noProof/>
    </w:rPr>
  </w:style>
  <w:style w:customStyle="1" w:styleId="CaptionedFigure" w:type="paragraph">
    <w:name w:val="Captioned Figure"/>
    <w:basedOn w:val="Figure"/>
    <w:rsid w:val="00357B8B"/>
  </w:style>
  <w:style w:customStyle="1" w:styleId="CaptionChar" w:type="character">
    <w:name w:val="Caption Char"/>
    <w:basedOn w:val="DefaultParagraphFont"/>
    <w:link w:val="Caption"/>
    <w:rsid w:val="00556B80"/>
    <w:rPr>
      <w:i/>
    </w:rPr>
  </w:style>
  <w:style w:customStyle="1" w:styleId="VerbatimChar" w:type="character">
    <w:name w:val="Verbatim Char"/>
    <w:basedOn w:val="CaptionChar"/>
    <w:link w:val="SourceCode"/>
    <w:rsid w:val="00357B8B"/>
    <w:rPr>
      <w:i/>
      <w:shd w:color="auto" w:fill="F8F8F8" w:val="clear"/>
    </w:rPr>
  </w:style>
  <w:style w:styleId="FootnoteReference" w:type="character">
    <w:name w:val="footnote reference"/>
    <w:basedOn w:val="CaptionChar"/>
    <w:rPr>
      <w:i/>
      <w:vertAlign w:val="superscript"/>
    </w:rPr>
  </w:style>
  <w:style w:styleId="Hyperlink" w:type="character">
    <w:name w:val="Hyperlink"/>
    <w:basedOn w:val="CaptionChar"/>
    <w:rPr>
      <w:i/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rsid w:val="00357B8B"/>
    <w:pPr>
      <w:framePr w:hAnchor="text" w:vAnchor="text" w:wrap="around" w:y="1"/>
      <w:shd w:color="auto" w:fill="F8F8F8" w:val="clear"/>
      <w:wordWrap w:val="0"/>
      <w:spacing w:after="0" w:before="0" w:line="240" w:lineRule="auto"/>
      <w:ind w:firstLine="0"/>
    </w:pPr>
  </w:style>
  <w:style w:customStyle="1" w:styleId="KeywordTok" w:type="character">
    <w:name w:val="KeywordTok"/>
    <w:basedOn w:val="VerbatimChar"/>
    <w:rPr>
      <w:b/>
      <w:i/>
      <w:color w:val="204A87"/>
      <w:shd w:color="auto" w:fill="F8F8F8" w:val="clear"/>
    </w:rPr>
  </w:style>
  <w:style w:customStyle="1" w:styleId="DataTypeTok" w:type="character">
    <w:name w:val="DataTypeTok"/>
    <w:basedOn w:val="VerbatimChar"/>
    <w:rPr>
      <w:i/>
      <w:color w:val="204A87"/>
      <w:shd w:color="auto" w:fill="F8F8F8" w:val="clear"/>
    </w:rPr>
  </w:style>
  <w:style w:customStyle="1" w:styleId="DecValTok" w:type="character">
    <w:name w:val="DecValTok"/>
    <w:basedOn w:val="VerbatimChar"/>
    <w:rPr>
      <w:i/>
      <w:color w:val="0000CF"/>
      <w:shd w:color="auto" w:fill="F8F8F8" w:val="clear"/>
    </w:rPr>
  </w:style>
  <w:style w:customStyle="1" w:styleId="BaseNTok" w:type="character">
    <w:name w:val="BaseNTok"/>
    <w:basedOn w:val="VerbatimChar"/>
    <w:rPr>
      <w:i/>
      <w:color w:val="0000CF"/>
      <w:shd w:color="auto" w:fill="F8F8F8" w:val="clear"/>
    </w:rPr>
  </w:style>
  <w:style w:customStyle="1" w:styleId="FloatTok" w:type="character">
    <w:name w:val="FloatTok"/>
    <w:basedOn w:val="VerbatimChar"/>
    <w:rPr>
      <w:i/>
      <w:color w:val="0000CF"/>
      <w:shd w:color="auto" w:fill="F8F8F8" w:val="clear"/>
    </w:rPr>
  </w:style>
  <w:style w:customStyle="1" w:styleId="ConstantTok" w:type="character">
    <w:name w:val="ConstantTok"/>
    <w:basedOn w:val="VerbatimChar"/>
    <w:rPr>
      <w:i/>
      <w:color w:val="000000"/>
      <w:shd w:color="auto" w:fill="F8F8F8" w:val="clear"/>
    </w:rPr>
  </w:style>
  <w:style w:customStyle="1" w:styleId="CharTok" w:type="character">
    <w:name w:val="CharTok"/>
    <w:basedOn w:val="VerbatimChar"/>
    <w:rPr>
      <w:i/>
      <w:color w:val="4E9A06"/>
      <w:shd w:color="auto" w:fill="F8F8F8" w:val="clear"/>
    </w:rPr>
  </w:style>
  <w:style w:customStyle="1" w:styleId="SpecialCharTok" w:type="character">
    <w:name w:val="SpecialCharTok"/>
    <w:basedOn w:val="VerbatimChar"/>
    <w:rPr>
      <w:i/>
      <w:color w:val="000000"/>
      <w:shd w:color="auto" w:fill="F8F8F8" w:val="clear"/>
    </w:rPr>
  </w:style>
  <w:style w:customStyle="1" w:styleId="StringTok" w:type="character">
    <w:name w:val="StringTok"/>
    <w:basedOn w:val="VerbatimChar"/>
    <w:rPr>
      <w:i/>
      <w:color w:val="4E9A06"/>
      <w:shd w:color="auto" w:fill="F8F8F8" w:val="clear"/>
    </w:rPr>
  </w:style>
  <w:style w:customStyle="1" w:styleId="VerbatimStringTok" w:type="character">
    <w:name w:val="VerbatimStringTok"/>
    <w:basedOn w:val="VerbatimChar"/>
    <w:rPr>
      <w:i/>
      <w:color w:val="4E9A06"/>
      <w:shd w:color="auto" w:fill="F8F8F8" w:val="clear"/>
    </w:rPr>
  </w:style>
  <w:style w:customStyle="1" w:styleId="SpecialStringTok" w:type="character">
    <w:name w:val="SpecialStringTok"/>
    <w:basedOn w:val="VerbatimChar"/>
    <w:rPr>
      <w:i/>
      <w:color w:val="4E9A06"/>
      <w:shd w:color="auto" w:fill="F8F8F8" w:val="clear"/>
    </w:rPr>
  </w:style>
  <w:style w:customStyle="1" w:styleId="ImportTok" w:type="character">
    <w:name w:val="ImportTok"/>
    <w:basedOn w:val="VerbatimChar"/>
    <w:rPr>
      <w:i/>
      <w:shd w:color="auto" w:fill="F8F8F8" w:val="clear"/>
    </w:rPr>
  </w:style>
  <w:style w:customStyle="1" w:styleId="CommentTok" w:type="character">
    <w:name w:val="CommentTok"/>
    <w:basedOn w:val="VerbatimChar"/>
    <w:rPr>
      <w:i w:val="0"/>
      <w:color w:val="8F5902"/>
      <w:shd w:color="auto" w:fill="F8F8F8" w:val="clear"/>
    </w:rPr>
  </w:style>
  <w:style w:customStyle="1" w:styleId="DocumentationTok" w:type="character">
    <w:name w:val="DocumentationTok"/>
    <w:basedOn w:val="VerbatimChar"/>
    <w:rPr>
      <w:b/>
      <w:i w:val="0"/>
      <w:color w:val="8F5902"/>
      <w:shd w:color="auto" w:fill="F8F8F8" w:val="clear"/>
    </w:rPr>
  </w:style>
  <w:style w:customStyle="1" w:styleId="AnnotationTok" w:type="character">
    <w:name w:val="AnnotationTok"/>
    <w:basedOn w:val="VerbatimChar"/>
    <w:rPr>
      <w:b/>
      <w:i w:val="0"/>
      <w:color w:val="8F5902"/>
      <w:shd w:color="auto" w:fill="F8F8F8" w:val="clear"/>
    </w:rPr>
  </w:style>
  <w:style w:customStyle="1" w:styleId="CommentVarTok" w:type="character">
    <w:name w:val="CommentVarTok"/>
    <w:basedOn w:val="VerbatimChar"/>
    <w:rPr>
      <w:b/>
      <w:i w:val="0"/>
      <w:color w:val="8F5902"/>
      <w:shd w:color="auto" w:fill="F8F8F8" w:val="clear"/>
    </w:rPr>
  </w:style>
  <w:style w:customStyle="1" w:styleId="OtherTok" w:type="character">
    <w:name w:val="OtherTok"/>
    <w:basedOn w:val="VerbatimChar"/>
    <w:rPr>
      <w:i/>
      <w:color w:val="8F5902"/>
      <w:shd w:color="auto" w:fill="F8F8F8" w:val="clear"/>
    </w:rPr>
  </w:style>
  <w:style w:customStyle="1" w:styleId="FunctionTok" w:type="character">
    <w:name w:val="FunctionTok"/>
    <w:basedOn w:val="VerbatimChar"/>
    <w:rPr>
      <w:i/>
      <w:color w:val="000000"/>
      <w:shd w:color="auto" w:fill="F8F8F8" w:val="clear"/>
    </w:rPr>
  </w:style>
  <w:style w:customStyle="1" w:styleId="VariableTok" w:type="character">
    <w:name w:val="VariableTok"/>
    <w:basedOn w:val="VerbatimChar"/>
    <w:rPr>
      <w:i/>
      <w:color w:val="000000"/>
      <w:shd w:color="auto" w:fill="F8F8F8" w:val="clear"/>
    </w:rPr>
  </w:style>
  <w:style w:customStyle="1" w:styleId="ControlFlowTok" w:type="character">
    <w:name w:val="ControlFlowTok"/>
    <w:basedOn w:val="VerbatimChar"/>
    <w:rPr>
      <w:b/>
      <w:i/>
      <w:color w:val="204A87"/>
      <w:shd w:color="auto" w:fill="F8F8F8" w:val="clear"/>
    </w:rPr>
  </w:style>
  <w:style w:customStyle="1" w:styleId="OperatorTok" w:type="character">
    <w:name w:val="OperatorTok"/>
    <w:basedOn w:val="VerbatimChar"/>
    <w:rPr>
      <w:b/>
      <w:i/>
      <w:color w:val="CE5C00"/>
      <w:shd w:color="auto" w:fill="F8F8F8" w:val="clear"/>
    </w:rPr>
  </w:style>
  <w:style w:customStyle="1" w:styleId="BuiltInTok" w:type="character">
    <w:name w:val="BuiltInTok"/>
    <w:basedOn w:val="VerbatimChar"/>
    <w:rPr>
      <w:i/>
      <w:shd w:color="auto" w:fill="F8F8F8" w:val="clear"/>
    </w:rPr>
  </w:style>
  <w:style w:customStyle="1" w:styleId="ExtensionTok" w:type="character">
    <w:name w:val="ExtensionTok"/>
    <w:basedOn w:val="VerbatimChar"/>
    <w:rPr>
      <w:i/>
      <w:shd w:color="auto" w:fill="F8F8F8" w:val="clear"/>
    </w:rPr>
  </w:style>
  <w:style w:customStyle="1" w:styleId="PreprocessorTok" w:type="character">
    <w:name w:val="PreprocessorTok"/>
    <w:basedOn w:val="VerbatimChar"/>
    <w:rPr>
      <w:i w:val="0"/>
      <w:color w:val="8F5902"/>
      <w:shd w:color="auto" w:fill="F8F8F8" w:val="clear"/>
    </w:rPr>
  </w:style>
  <w:style w:customStyle="1" w:styleId="AttributeTok" w:type="character">
    <w:name w:val="AttributeTok"/>
    <w:basedOn w:val="VerbatimChar"/>
    <w:rPr>
      <w:i/>
      <w:color w:val="C4A000"/>
      <w:shd w:color="auto" w:fill="F8F8F8" w:val="clear"/>
    </w:rPr>
  </w:style>
  <w:style w:customStyle="1" w:styleId="RegionMarkerTok" w:type="character">
    <w:name w:val="RegionMarkerTok"/>
    <w:basedOn w:val="VerbatimChar"/>
    <w:rPr>
      <w:i/>
      <w:shd w:color="auto" w:fill="F8F8F8" w:val="clear"/>
    </w:rPr>
  </w:style>
  <w:style w:customStyle="1" w:styleId="InformationTok" w:type="character">
    <w:name w:val="InformationTok"/>
    <w:basedOn w:val="VerbatimChar"/>
    <w:rPr>
      <w:b/>
      <w:i w:val="0"/>
      <w:color w:val="8F5902"/>
      <w:shd w:color="auto" w:fill="F8F8F8" w:val="clear"/>
    </w:rPr>
  </w:style>
  <w:style w:customStyle="1" w:styleId="WarningTok" w:type="character">
    <w:name w:val="WarningTok"/>
    <w:basedOn w:val="VerbatimChar"/>
    <w:rPr>
      <w:b/>
      <w:i w:val="0"/>
      <w:color w:val="8F5902"/>
      <w:shd w:color="auto" w:fill="F8F8F8" w:val="clear"/>
    </w:rPr>
  </w:style>
  <w:style w:customStyle="1" w:styleId="AlertTok" w:type="character">
    <w:name w:val="AlertTok"/>
    <w:basedOn w:val="VerbatimChar"/>
    <w:rPr>
      <w:i/>
      <w:color w:val="EF2929"/>
      <w:shd w:color="auto" w:fill="F8F8F8" w:val="clear"/>
    </w:rPr>
  </w:style>
  <w:style w:customStyle="1" w:styleId="ErrorTok" w:type="character">
    <w:name w:val="ErrorTok"/>
    <w:basedOn w:val="VerbatimChar"/>
    <w:rPr>
      <w:b/>
      <w:i/>
      <w:color w:val="A40000"/>
      <w:shd w:color="auto" w:fill="F8F8F8" w:val="clear"/>
    </w:rPr>
  </w:style>
  <w:style w:customStyle="1" w:styleId="NormalTok" w:type="character">
    <w:name w:val="NormalTok"/>
    <w:basedOn w:val="VerbatimChar"/>
    <w:rPr>
      <w:i/>
      <w:shd w:color="auto" w:fill="F8F8F8" w:val="clear"/>
    </w:rPr>
  </w:style>
  <w:style w:customStyle="1" w:styleId="BodyTextChar" w:type="character">
    <w:name w:val="Body Text Char"/>
    <w:basedOn w:val="DefaultParagraphFont"/>
    <w:link w:val="BodyText"/>
    <w:rsid w:val="00475C52"/>
    <w:rPr>
      <w:rFonts w:ascii="Calibri" w:eastAsiaTheme="minorEastAsia" w:hAnsi="Calibri"/>
    </w:rPr>
  </w:style>
  <w:style w:customStyle="1" w:styleId="Image" w:type="paragraph">
    <w:name w:val="Image"/>
    <w:next w:val="ImageCaption"/>
    <w:qFormat/>
    <w:rsid w:val="009F1910"/>
    <w:pPr>
      <w:keepNext/>
      <w:spacing w:after="120" w:before="240"/>
      <w:jc w:val="center"/>
    </w:pPr>
    <w:rPr>
      <w:rFonts w:ascii="Calibri" w:hAnsi="Calibri"/>
      <w:noProof/>
    </w:rPr>
  </w:style>
  <w:style w:customStyle="1" w:styleId="TableScientific" w:type="table">
    <w:name w:val="Table Scientific"/>
    <w:basedOn w:val="TableNormal"/>
    <w:uiPriority w:val="99"/>
    <w:rsid w:val="0043749A"/>
    <w:pPr>
      <w:spacing w:after="100" w:afterAutospacing="1" w:before="100" w:beforeAutospacing="1" w:line="360" w:lineRule="auto"/>
    </w:pPr>
    <w:rPr>
      <w:rFonts w:ascii="Calibri" w:cs="Times New Roman (Body CS)" w:eastAsiaTheme="minorEastAsia" w:hAnsi="Calibri"/>
      <w:sz w:val="22"/>
    </w:rPr>
    <w:tblPr>
      <w:jc w:val="center"/>
      <w:tblBorders>
        <w:bottom w:color="auto" w:space="0" w:sz="4" w:val="single"/>
      </w:tblBorders>
    </w:tblPr>
    <w:trPr>
      <w:jc w:val="center"/>
    </w:trPr>
    <w:tcPr>
      <w:vAlign w:val="center"/>
    </w:tcPr>
    <w:tblStylePr w:type="firstRow">
      <w:pPr>
        <w:jc w:val="left"/>
      </w:pPr>
      <w:rPr>
        <w:b/>
      </w:rPr>
      <w:tblPr/>
      <w:tcPr>
        <w:tcBorders>
          <w:top w:color="auto" w:space="0" w:sz="4" w:val="single"/>
          <w:bottom w:color="auto" w:space="0" w:sz="4" w:val="single"/>
        </w:tcBorders>
        <w:shd w:color="auto" w:fill="F2F2F2" w:themeFill="background1" w:themeFillShade="F2" w:val="clear"/>
        <w:vAlign w:val="center"/>
      </w:tcPr>
    </w:tblStylePr>
    <w:tblStylePr w:type="lastRow">
      <w:rPr>
        <w:rFonts w:ascii="Calibri" w:hAnsi="Calibri"/>
      </w:rPr>
      <w:tblPr/>
      <w:tcPr>
        <w:tcBorders>
          <w:bottom w:color="auto" w:space="0" w:sz="4" w:val="single"/>
        </w:tcBorders>
      </w:tcPr>
    </w:tblStylePr>
    <w:tblStylePr w:type="lastCol">
      <w:pPr>
        <w:keepNext/>
        <w:wordWrap/>
        <w:spacing w:after="0" w:afterAutospacing="0" w:afterLines="0" w:before="0" w:beforeAutospacing="0" w:beforeLines="0" w:line="240" w:lineRule="auto"/>
        <w:ind w:firstLine="0" w:firstLineChars="0" w:left="0" w:leftChars="0" w:right="0" w:rightChars="0"/>
      </w:pPr>
      <w:rPr>
        <w:rFonts w:ascii="Calibri" w:eastAsia="SimSun" w:hAnsi="Calibri"/>
      </w:rPr>
      <w:tblPr/>
      <w:tcPr>
        <w:tcBorders>
          <w:bottom w:val="nil"/>
        </w:tcBorders>
      </w:tcPr>
    </w:tblStylePr>
  </w:style>
  <w:style w:styleId="PlainTable1" w:type="table">
    <w:name w:val="Plain Table 1"/>
    <w:basedOn w:val="TableNormal"/>
    <w:rsid w:val="00300D72"/>
    <w:pPr>
      <w:spacing w:after="0"/>
    </w:pPr>
    <w:tblPr>
      <w:tblStyleRowBandSize w:val="1"/>
      <w:tblStyleColBandSize w:val="1"/>
      <w:tblBorders>
        <w:top w:color="BFBFBF" w:space="0" w:sz="4" w:themeColor="background1" w:themeShade="BF" w:val="single"/>
        <w:left w:color="BFBFBF" w:space="0" w:sz="4" w:themeColor="background1" w:themeShade="BF" w:val="single"/>
        <w:bottom w:color="BFBFBF" w:space="0" w:sz="4" w:themeColor="background1" w:themeShade="BF" w:val="single"/>
        <w:right w:color="BFBFBF" w:space="0" w:sz="4" w:themeColor="background1" w:themeShade="BF" w:val="single"/>
        <w:insideH w:color="BFBFBF" w:space="0" w:sz="4" w:themeColor="background1" w:themeShade="BF" w:val="single"/>
        <w:insideV w:color="BFBFBF" w:space="0" w:sz="4" w:themeColor="background1" w:themeShade="BF" w:val="single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FBFBF" w:space="0" w:sz="4" w:themeColor="background1" w:themeShade="BF" w:val="doub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2F2F2" w:themeFill="background1" w:themeFillShade="F2" w:val="clear"/>
      </w:tcPr>
    </w:tblStylePr>
    <w:tblStylePr w:type="band1Horz">
      <w:tblPr/>
      <w:tcPr>
        <w:shd w:color="auto" w:fill="F2F2F2" w:themeFill="background1" w:themeFillShade="F2" w:val="clear"/>
      </w:tcPr>
    </w:tblStylePr>
  </w:style>
  <w:style w:styleId="PlainTable3" w:type="table">
    <w:name w:val="Plain Table 3"/>
    <w:basedOn w:val="TableNormal"/>
    <w:rsid w:val="00300D72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color="7F7F7F" w:space="0" w:sz="4" w:themeColor="text1" w:themeTint="80" w:val="single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color="7F7F7F" w:space="0" w:sz="4" w:themeColor="text1" w:themeTint="80" w:val="single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color="auto" w:fill="F2F2F2" w:themeFill="background1" w:themeFillShade="F2" w:val="clear"/>
      </w:tcPr>
    </w:tblStylePr>
    <w:tblStylePr w:type="band1Horz">
      <w:tblPr/>
      <w:tcPr>
        <w:shd w:color="auto" w:fill="F2F2F2" w:themeFill="background1" w:themeFillShade="F2" w:val="clear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customStyle="1" w:styleId="Table1" w:type="table">
    <w:name w:val="Table1"/>
    <w:basedOn w:val="TableNormal"/>
    <w:uiPriority w:val="99"/>
    <w:rsid w:val="0043749A"/>
    <w:pPr>
      <w:spacing w:after="0"/>
      <w:jc w:val="center"/>
    </w:pPr>
    <w:tblPr>
      <w:tblBorders>
        <w:top w:color="auto" w:space="0" w:sz="4" w:val="single"/>
        <w:bottom w:color="auto" w:space="0" w:sz="4" w:val="single"/>
      </w:tblBorders>
    </w:tblPr>
    <w:tcPr>
      <w:noWrap/>
      <w:vAlign w:val="center"/>
    </w:tcPr>
    <w:tblStylePr w:type="firstRow">
      <w:rPr>
        <w:b/>
      </w:rPr>
      <w:tblPr/>
      <w:tcPr>
        <w:tcBorders>
          <w:bottom w:color="auto" w:space="0" w:sz="4" w:val="single"/>
        </w:tcBorders>
      </w:tcPr>
    </w:tblStylePr>
    <w:tblStylePr w:type="firstCol">
      <w:pPr>
        <w:wordWrap/>
        <w:spacing w:after="0" w:afterAutospacing="0" w:afterLines="0" w:before="0" w:beforeAutospacing="0" w:beforeLines="0" w:line="240" w:lineRule="auto"/>
        <w:ind w:firstLine="0" w:firstLineChars="0" w:left="0" w:leftChars="0" w:right="0" w:rightChars="0"/>
        <w:jc w:val="left"/>
        <w:textboxTightWrap w:val="allLines"/>
        <w:outlineLvl w:val="9"/>
      </w:pPr>
      <w:rPr>
        <w:b/>
      </w:rPr>
    </w:tblStylePr>
  </w:style>
  <w:style w:styleId="LineNumber" w:type="character">
    <w:name w:val="line number"/>
    <w:basedOn w:val="DefaultParagraphFont"/>
    <w:semiHidden/>
    <w:unhideWhenUsed/>
    <w:rsid w:val="00D34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orcid.org/0000000157271846" TargetMode="External" /><Relationship Type="http://schemas.openxmlformats.org/officeDocument/2006/relationships/hyperlink" Id="rId21" Target="https://orcid.org/0000000198211268" TargetMode="External" /><Relationship Type="http://schemas.openxmlformats.org/officeDocument/2006/relationships/hyperlink" Id="rId23" Target="mailto:mingsu@rcees.ac.cn" TargetMode="External" /><Relationship Type="http://schemas.openxmlformats.org/officeDocument/2006/relationships/hyperlink" Id="rId22" Target="mailto:xiaoxinzong@csnwd.com.c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orcid.org/0000000157271846" TargetMode="External" /><Relationship Type="http://schemas.openxmlformats.org/officeDocument/2006/relationships/hyperlink" Id="rId21" Target="https://orcid.org/0000000198211268" TargetMode="External" /><Relationship Type="http://schemas.openxmlformats.org/officeDocument/2006/relationships/hyperlink" Id="rId23" Target="mailto:mingsu@rcees.ac.cn" TargetMode="External" /><Relationship Type="http://schemas.openxmlformats.org/officeDocument/2006/relationships/hyperlink" Id="rId22" Target="mailto:xiaoxinzong@csnwd.com.c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Strategy for identification of MIB producers using routine data: a case study of an estuary drinking water reservoir</vt:lpstr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Phosphorus fuels Cladophora growth and self‑reinforcing adhesion via extracellular polysaccharides on hard substrata</dc:title>
  <dc:creator>Yifan Dua,c,#, Siguang Yuanb,#, Jinyi Qin ID,c, Siming Jiaod, Yufan Aia,g, Yingjie Lia,g, Nan Lib, Xiaonan Chenb,e,f, Xiaoming Caid, Xinzong Xiaob,e,f,*, Jilong Wanga, Min Yanga,g, and Ming Su ID,a,g,*</dc:creator>
  <dc:language>en</dc:language>
  <cp:keywords/>
  <dcterms:created xsi:type="dcterms:W3CDTF">2026-09-12T01:45:02Z</dcterms:created>
  <dcterms:modified xsi:type="dcterms:W3CDTF">2026-09-12T01:45:02Z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ffilstyle">
    <vt:lpwstr>alphabeta</vt:lpwstr>
  </property>
  <property fmtid="{D5CDD505-2E9C-101B-9397-08002B2CF9AE}" pid="4" name="authors">
    <vt:lpwstr/>
  </property>
  <property fmtid="{D5CDD505-2E9C-101B-9397-08002B2CF9AE}" pid="5" name="biblio-config">
    <vt:lpwstr>True</vt:lpwstr>
  </property>
  <property fmtid="{D5CDD505-2E9C-101B-9397-08002B2CF9AE}" pid="6" name="bibliography">
    <vt:lpwstr/>
  </property>
  <property fmtid="{D5CDD505-2E9C-101B-9397-08002B2CF9AE}" pid="7" name="brand">
    <vt:lpwstr>../config/_brand.yml</vt:lpwstr>
  </property>
  <property fmtid="{D5CDD505-2E9C-101B-9397-08002B2CF9AE}" pid="8" name="by-affiliation">
    <vt:lpwstr/>
  </property>
  <property fmtid="{D5CDD505-2E9C-101B-9397-08002B2CF9AE}" pid="9" name="by-author">
    <vt:lpwstr/>
  </property>
  <property fmtid="{D5CDD505-2E9C-101B-9397-08002B2CF9AE}" pid="10" name="comments">
    <vt:lpwstr/>
  </property>
  <property fmtid="{D5CDD505-2E9C-101B-9397-08002B2CF9AE}" pid="11" name="crossref">
    <vt:lpwstr/>
  </property>
  <property fmtid="{D5CDD505-2E9C-101B-9397-08002B2CF9AE}" pid="12" name="csl">
    <vt:lpwstr>../_extensions/drwater/dwinst/elsevier-harvard.csl</vt:lpwstr>
  </property>
  <property fmtid="{D5CDD505-2E9C-101B-9397-08002B2CF9AE}" pid="13" name="date">
    <vt:lpwstr>2025-07-28</vt:lpwstr>
  </property>
  <property fmtid="{D5CDD505-2E9C-101B-9397-08002B2CF9AE}" pid="14" name="doi">
    <vt:lpwstr/>
  </property>
  <property fmtid="{D5CDD505-2E9C-101B-9397-08002B2CF9AE}" pid="15" name="funding">
    <vt:lpwstr/>
  </property>
  <property fmtid="{D5CDD505-2E9C-101B-9397-08002B2CF9AE}" pid="16" name="header-includes">
    <vt:lpwstr/>
  </property>
  <property fmtid="{D5CDD505-2E9C-101B-9397-08002B2CF9AE}" pid="17" name="include-after">
    <vt:lpwstr/>
  </property>
  <property fmtid="{D5CDD505-2E9C-101B-9397-08002B2CF9AE}" pid="18" name="include-before">
    <vt:lpwstr/>
  </property>
  <property fmtid="{D5CDD505-2E9C-101B-9397-08002B2CF9AE}" pid="19" name="knitr">
    <vt:lpwstr/>
  </property>
  <property fmtid="{D5CDD505-2E9C-101B-9397-08002B2CF9AE}" pid="20" name="labels">
    <vt:lpwstr/>
  </property>
  <property fmtid="{D5CDD505-2E9C-101B-9397-08002B2CF9AE}" pid="21" name="lightbox">
    <vt:lpwstr>auto</vt:lpwstr>
  </property>
  <property fmtid="{D5CDD505-2E9C-101B-9397-08002B2CF9AE}" pid="22" name="revealjs-plugins">
    <vt:lpwstr/>
  </property>
  <property fmtid="{D5CDD505-2E9C-101B-9397-08002B2CF9AE}" pid="23" name="submitid">
    <vt:lpwstr>WR113962</vt:lpwstr>
  </property>
  <property fmtid="{D5CDD505-2E9C-101B-9397-08002B2CF9AE}" pid="24" name="submitjournal">
    <vt:lpwstr>Water Research</vt:lpwstr>
  </property>
  <property fmtid="{D5CDD505-2E9C-101B-9397-08002B2CF9AE}" pid="25" name="toc-title">
    <vt:lpwstr>Table of contents</vt:lpwstr>
  </property>
  <property fmtid="{D5CDD505-2E9C-101B-9397-08002B2CF9AE}" pid="26" name="watermark">
    <vt:lpwstr/>
  </property>
</Properties>
</file>