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62.png" ContentType="image/png"/>
  <Override PartName="/word/media/rId89.png" ContentType="image/png"/>
  <Override PartName="/word/media/rId57.png" ContentType="image/png"/>
  <Override PartName="/word/media/rId72.png" ContentType="image/png"/>
  <Override PartName="/word/media/rId84.png" ContentType="image/png"/>
  <Override PartName="/word/media/rId67.png" ContentType="image/png"/>
  <Override PartName="/word/media/rId52.png" ContentType="image/png"/>
  <Override PartName="/word/media/rId47.png" ContentType="image/png"/>
  <Override PartName="/word/media/rId35.png" ContentType="image/png"/>
  <Override PartName="/word/media/rId96.png" ContentType="image/png"/>
  <Override PartName="/word/media/rId42.png" ContentType="image/png"/>
  <Override PartName="/word/media/rId7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Phosphorus fuels</w:t>
      </w:r>
      <w:r>
        <w:t xml:space="preserve"> </w:t>
      </w:r>
      <w:r>
        <w:rPr>
          <w:i/>
          <w:iCs/>
        </w:rPr>
        <w:t xml:space="preserve">Cladophora</w:t>
      </w:r>
      <w:r>
        <w:t xml:space="preserve"> </w:t>
      </w:r>
      <w:r>
        <w:t xml:space="preserve">growth and self‑reinforcing adhesion via extracellular polysaccharides on hard substrata</w:t>
      </w:r>
    </w:p>
    <w:p>
      <w:pPr>
        <w:pStyle w:val="Subtitle"/>
      </w:pPr>
      <w:r>
        <w:t xml:space="preserve">Supplementary Information</w:t>
      </w:r>
    </w:p>
    <w:p>
      <w:pPr>
        <w:pStyle w:val="Author"/>
      </w:pPr>
      <w:r>
        <w:t xml:space="preserve">Yifan Du</w:t>
      </w:r>
      <w:r>
        <w:rPr>
          <w:vertAlign w:val="superscript"/>
        </w:rPr>
        <w:t xml:space="preserve">a,c,#</w:t>
      </w:r>
      <w:r>
        <w:t xml:space="preserve">, Siguang Yuan</w:t>
      </w:r>
      <w:r>
        <w:rPr>
          <w:vertAlign w:val="superscript"/>
        </w:rPr>
        <w:t xml:space="preserve">b,#</w:t>
      </w:r>
      <w:r>
        <w:t xml:space="preserve">, Jinyi Qin</w:t>
      </w:r>
      <w:r>
        <w:rPr>
          <w:vertAlign w:val="superscript"/>
        </w:rPr>
        <w:t xml:space="preserve"> </w:t>
      </w:r>
      <w:hyperlink r:id="rId20">
        <w:r>
          <w:rPr>
            <w:rStyle w:val="Hyperlink"/>
            <w:vertAlign w:val="superscript"/>
          </w:rPr>
          <w:t xml:space="preserve">ID</w:t>
        </w:r>
      </w:hyperlink>
      <w:r>
        <w:rPr>
          <w:vertAlign w:val="superscript"/>
        </w:rPr>
        <w:t xml:space="preserve">,c</w:t>
      </w:r>
      <w:r>
        <w:t xml:space="preserve">, Siming Jiao</w:t>
      </w:r>
      <w:r>
        <w:rPr>
          <w:vertAlign w:val="superscript"/>
        </w:rPr>
        <w:t xml:space="preserve">d</w:t>
      </w:r>
      <w:r>
        <w:t xml:space="preserve">, Yufan Ai</w:t>
      </w:r>
      <w:r>
        <w:rPr>
          <w:vertAlign w:val="superscript"/>
        </w:rPr>
        <w:t xml:space="preserve">a,g</w:t>
      </w:r>
      <w:r>
        <w:t xml:space="preserve">, Yingjie Li</w:t>
      </w:r>
      <w:r>
        <w:rPr>
          <w:vertAlign w:val="superscript"/>
        </w:rPr>
        <w:t xml:space="preserve">a,g</w:t>
      </w:r>
      <w:r>
        <w:t xml:space="preserve">, Nan Li</w:t>
      </w:r>
      <w:r>
        <w:rPr>
          <w:vertAlign w:val="superscript"/>
        </w:rPr>
        <w:t xml:space="preserve">b</w:t>
      </w:r>
      <w:r>
        <w:t xml:space="preserve">, Xiaonan Chen</w:t>
      </w:r>
      <w:r>
        <w:rPr>
          <w:vertAlign w:val="superscript"/>
        </w:rPr>
        <w:t xml:space="preserve">b,e,f</w:t>
      </w:r>
      <w:r>
        <w:t xml:space="preserve">, Xiaoming Cai</w:t>
      </w:r>
      <w:r>
        <w:rPr>
          <w:vertAlign w:val="superscript"/>
        </w:rPr>
        <w:t xml:space="preserve">d</w:t>
      </w:r>
      <w:r>
        <w:t xml:space="preserve">, Xinzong Xiao</w:t>
      </w:r>
      <w:r>
        <w:rPr>
          <w:vertAlign w:val="superscript"/>
        </w:rPr>
        <w:t xml:space="preserve">b,e,f,*</w:t>
      </w:r>
      <w:r>
        <w:t xml:space="preserve">, Jilong Wang</w:t>
      </w:r>
      <w:r>
        <w:rPr>
          <w:vertAlign w:val="superscript"/>
        </w:rPr>
        <w:t xml:space="preserve">a</w:t>
      </w:r>
      <w:r>
        <w:t xml:space="preserve">, Min Yang</w:t>
      </w:r>
      <w:r>
        <w:rPr>
          <w:vertAlign w:val="superscript"/>
        </w:rPr>
        <w:t xml:space="preserve">a,g</w:t>
      </w:r>
      <w:r>
        <w:t xml:space="preserve">, and Ming Su</w:t>
      </w:r>
      <w:r>
        <w:rPr>
          <w:vertAlign w:val="superscript"/>
        </w:rPr>
        <w:t xml:space="preserve"> </w:t>
      </w:r>
      <w:hyperlink r:id="rId21">
        <w:r>
          <w:rPr>
            <w:rStyle w:val="Hyperlink"/>
            <w:vertAlign w:val="superscript"/>
          </w:rPr>
          <w:t xml:space="preserve">ID</w:t>
        </w:r>
      </w:hyperlink>
      <w:r>
        <w:rPr>
          <w:vertAlign w:val="superscript"/>
        </w:rPr>
        <w:t xml:space="preserve">,a,g,*</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China South to North Water Diversion Middle Route Corporation Limited, Beijing 100038, China.</w:t>
      </w:r>
      <w:r>
        <w:br/>
      </w:r>
      <w:r>
        <w:rPr>
          <w:vertAlign w:val="superscript"/>
        </w:rPr>
        <w:t xml:space="preserve">c</w:t>
      </w:r>
      <w:r>
        <w:t xml:space="preserve"> </w:t>
      </w:r>
      <w:r>
        <w:t xml:space="preserve">School of Civil Engineering, Chang’an University, Xi’an 710064, China.</w:t>
      </w:r>
      <w:r>
        <w:br/>
      </w:r>
      <w:r>
        <w:rPr>
          <w:vertAlign w:val="superscript"/>
        </w:rPr>
        <w:t xml:space="preserve">d</w:t>
      </w:r>
      <w:r>
        <w:t xml:space="preserve"> </w:t>
      </w:r>
      <w:r>
        <w:t xml:space="preserve">Institute of Process Engineering, Chinese Academy of Sciences, Beijing 100190, China.</w:t>
      </w:r>
      <w:r>
        <w:br/>
      </w:r>
      <w:r>
        <w:rPr>
          <w:vertAlign w:val="superscript"/>
        </w:rPr>
        <w:t xml:space="preserve">e</w:t>
      </w:r>
      <w:r>
        <w:t xml:space="preserve"> </w:t>
      </w:r>
      <w:r>
        <w:t xml:space="preserve">Hubei Key Laboratory of Intelligent Monitoring, Early Warning and Protection for Watershed Aquatic Ecology, Wuhan 430010, China.</w:t>
      </w:r>
      <w:r>
        <w:br/>
      </w:r>
      <w:r>
        <w:rPr>
          <w:vertAlign w:val="superscript"/>
        </w:rPr>
        <w:t xml:space="preserve">f</w:t>
      </w:r>
      <w:r>
        <w:t xml:space="preserve"> </w:t>
      </w:r>
      <w:r>
        <w:t xml:space="preserve">Water Quality and Aquatic Ecosystem Observation and Research Station of South-to-North Water Diversion Middle Line Project, Beijing 100038, China.</w:t>
      </w:r>
      <w:r>
        <w:br/>
      </w:r>
      <w:r>
        <w:rPr>
          <w:vertAlign w:val="superscript"/>
        </w:rPr>
        <w:t xml:space="preserve">g</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Xinzong Xiao (xiaoxinzong@csnwd.com.cn)</w:t>
        </w:r>
      </w:hyperlink>
      <w:r>
        <w:t xml:space="preserve">,</w:t>
      </w:r>
      <w:r>
        <w:t xml:space="preserve"> </w:t>
      </w:r>
      <w:hyperlink r:id="rId23">
        <w:r>
          <w:rPr>
            <w:rStyle w:val="Hyperlink"/>
          </w:rPr>
          <w:t xml:space="preserve">Ming Su (mingsu@rcees.ac.cn)</w:t>
        </w:r>
      </w:hyperlink>
    </w:p>
    <w:p>
      <w:pPr>
        <w:pStyle w:val="BodyText"/>
      </w:pPr>
      <w:r>
        <w:t xml:space="preserve">Figures and/or tables are provided below as the supplementary evidences to the main text.</w:t>
      </w:r>
    </w:p>
    <w:bookmarkStart w:id="101" w:name="supplementary-data"/>
    <w:p>
      <w:pPr>
        <w:pStyle w:val="Heading1"/>
      </w:pPr>
      <w:r>
        <w:t xml:space="preserve">Supplementary data</w:t>
      </w:r>
    </w:p>
    <w:bookmarkStart w:id="24" w:name="s1.1-preparation-of-eps-films"/>
    <w:p>
      <w:pPr>
        <w:pStyle w:val="Heading2"/>
      </w:pPr>
      <w:r>
        <w:t xml:space="preserve">S1.1 Preparation of EPS films</w:t>
      </w:r>
    </w:p>
    <w:p>
      <w:pPr>
        <w:pStyle w:val="FirstParagraph"/>
      </w:pPr>
      <w:r>
        <w:t xml:space="preserve">Total EPS obtained as described in Section 2.3 was redissolved at 1 mg mL</w:t>
      </w:r>
      <w:r>
        <w:rPr>
          <w:vertAlign w:val="superscript"/>
        </w:rPr>
        <w:t xml:space="preserve">-1</w:t>
      </w:r>
      <w:r>
        <w:t xml:space="preserve">¹. An aliquot of the EPS solution was drop-cast onto freshly cleaved mica disks (12 mm in diameter and 0.1 mm in thickness) and allowed to dry naturally at room temperature to form a continuous film. Independently extracted EPS samples were deposited on separate mica disks and treated as biological replicates. Before force-spectroscopy measurements, the dried EPS films were mounted in the AFM liquid cell and hydrated with PBS (pH 7.4) at approximately 25 °C. This film-based configuration was used throughout; EPS was not immobilized on the probe surface.</w:t>
      </w:r>
    </w:p>
    <w:bookmarkEnd w:id="24"/>
    <w:bookmarkStart w:id="25" w:name="s1.2-probe-selection-and-calibration"/>
    <w:p>
      <w:pPr>
        <w:pStyle w:val="Heading2"/>
      </w:pPr>
      <w:r>
        <w:t xml:space="preserve">S1.2 Probe selection and calibration</w:t>
      </w:r>
    </w:p>
    <w:p>
      <w:pPr>
        <w:pStyle w:val="FirstParagraph"/>
      </w:pPr>
      <w:r>
        <w:t xml:space="preserve">RTESPA-150 probes were used for topographic imaging of the dried EPS films, whereas BL-AC40TS Si</w:t>
      </w:r>
      <w:r>
        <w:rPr>
          <w:vertAlign w:val="subscript"/>
        </w:rPr>
        <w:t xml:space="preserve">3</w:t>
      </w:r>
      <w:r>
        <w:t xml:space="preserve">N</w:t>
      </w:r>
      <w:r>
        <w:rPr>
          <w:vertAlign w:val="subscript"/>
        </w:rPr>
        <w:t xml:space="preserve">4</w:t>
      </w:r>
      <w:r>
        <w:t xml:space="preserve"> </w:t>
      </w:r>
      <w:r>
        <w:t xml:space="preserve">probes were used for force-spectroscopy measurements and the chemical-perturbation experiments. The inverse optical lever sensitivity was determined from the linear contact region of force–distance curves acquired on a rigid mica surface under the corresponding measurement conditions. The cantilever spring constant was subsequently determined from the thermal-noise spectrum. The calibrated inverse optical lever sensitivity and spring constant were 82 nm V</w:t>
      </w:r>
      <w:r>
        <w:rPr>
          <w:vertAlign w:val="superscript"/>
        </w:rPr>
        <w:t xml:space="preserve">-1</w:t>
      </w:r>
      <w:r>
        <w:t xml:space="preserve"> </w:t>
      </w:r>
      <w:r>
        <w:t xml:space="preserve">and 6.0 N m</w:t>
      </w:r>
      <w:r>
        <w:rPr>
          <w:vertAlign w:val="superscript"/>
        </w:rPr>
        <w:t xml:space="preserve">-1</w:t>
      </w:r>
      <w:r>
        <w:t xml:space="preserve">, respectively, for RTESPA-150 probes, and 20 nm V</w:t>
      </w:r>
      <w:r>
        <w:rPr>
          <w:vertAlign w:val="superscript"/>
        </w:rPr>
        <w:t xml:space="preserve">-1</w:t>
      </w:r>
      <w:r>
        <w:t xml:space="preserve"> </w:t>
      </w:r>
      <w:r>
        <w:t xml:space="preserve">and 0.10 N m</w:t>
      </w:r>
      <w:r>
        <w:rPr>
          <w:vertAlign w:val="superscript"/>
        </w:rPr>
        <w:t xml:space="preserve">-1</w:t>
      </w:r>
      <w:r>
        <w:t xml:space="preserve">, respectively, for BL-AC40TS probes. The thermal-noise procedure provides an independent calibration of cantilever stiffness from its thermally driven fluctuations.</w:t>
      </w:r>
    </w:p>
    <w:bookmarkEnd w:id="25"/>
    <w:bookmarkStart w:id="26" w:name="Xcdcadaf2c28fc321b472ad989d06aba8afb408f"/>
    <w:p>
      <w:pPr>
        <w:pStyle w:val="Heading2"/>
      </w:pPr>
      <w:r>
        <w:t xml:space="preserve">S1.3 Stepwise disruption of EPS polysaccharide structures</w:t>
      </w:r>
    </w:p>
    <w:p>
      <w:pPr>
        <w:pStyle w:val="FirstParagraph"/>
      </w:pPr>
      <w:r>
        <w:t xml:space="preserve">Matched EPS films prepared from the same EPS batch were used to distinguish the contribution of the intact polysaccharide framework from that of glucuronic-acid-containing domains. Native EPS films were first measured as untreated controls.</w:t>
      </w:r>
    </w:p>
    <w:p>
      <w:pPr>
        <w:pStyle w:val="BodyText"/>
      </w:pPr>
      <w:r>
        <w:t xml:space="preserve">For polysaccharide-backbone disruption, an aliquot of the extracted total EPS was hydrolyzed with 1 mol L</w:t>
      </w:r>
      <w:r>
        <w:rPr>
          <w:vertAlign w:val="superscript"/>
        </w:rPr>
        <w:t xml:space="preserve">-1</w:t>
      </w:r>
      <w:r>
        <w:t xml:space="preserve"> </w:t>
      </w:r>
      <w:r>
        <w:t xml:space="preserve">TFA at 121 °C for 2 h. After hydrolysis, TFA was removed by evaporation under a nitrogen stream, and the residue was redissolved in ultrapure water at 1 mg mL</w:t>
      </w:r>
      <w:r>
        <w:rPr>
          <w:vertAlign w:val="superscript"/>
        </w:rPr>
        <w:t xml:space="preserve">-1</w:t>
      </w:r>
      <w:r>
        <w:t xml:space="preserve">. The hydrolyzed EPS solution was subsequently drop-cast onto freshly cleaved mica disks and dried under the same conditions as the untreated EPS to prepare matched films for force-spectroscopy measurements.</w:t>
      </w:r>
    </w:p>
    <w:p>
      <w:pPr>
        <w:pStyle w:val="BodyText"/>
      </w:pPr>
      <w:r>
        <w:t xml:space="preserve">Following TFA treatment, β-glucuronidase solution was introduced directly into the AFM liquid cell. A 100 μL aliquot of enzyme solution was added to obtain an activity of 1 U mL</w:t>
      </w:r>
      <w:r>
        <w:rPr>
          <w:vertAlign w:val="superscript"/>
        </w:rPr>
        <w:t xml:space="preserve">-1</w:t>
      </w:r>
      <w:r>
        <w:t xml:space="preserve">, and force–distance curves were collected after 5, 10, and 20 min of in situ incubation. This additional enzymatic treatment was used to evaluate the involvement of residual glucuronic-acid-containing domains associated with acidic polysaccharides. The native, TFA-treated, and subsequently enzyme-digested states were compared under otherwise identical liquid-phase measurement conditions.</w:t>
      </w:r>
    </w:p>
    <w:p>
      <w:pPr>
        <w:pStyle w:val="BodyText"/>
      </w:pPr>
      <w:r>
        <w:t xml:space="preserve">The relative loss of adhesion following TFA hydrolysis was calculated as:</w:t>
      </w:r>
    </w:p>
    <w:p>
      <w:pPr>
        <w:pStyle w:val="BodyText"/>
      </w:pPr>
      <m:oMathPara>
        <m:oMathParaPr>
          <m:jc m:val="center"/>
        </m:oMathParaPr>
        <m:oMath>
          <m:sSub>
            <m:e>
              <m:r>
                <m:t>R</m:t>
              </m:r>
            </m:e>
            <m:sub>
              <m:r>
                <m:rPr>
                  <m:nor/>
                  <m:sty m:val="p"/>
                </m:rPr>
                <m:t>TFA</m:t>
              </m:r>
            </m:sub>
          </m:sSub>
          <m:r>
            <m:rPr>
              <m:sty m:val="p"/>
            </m:rPr>
            <m:t>=</m:t>
          </m:r>
          <m:f>
            <m:fPr>
              <m:type m:val="bar"/>
            </m:fPr>
            <m:num>
              <m:sSub>
                <m:e>
                  <m:r>
                    <m:t>F</m:t>
                  </m:r>
                </m:e>
                <m:sub>
                  <m:r>
                    <m:rPr>
                      <m:nor/>
                      <m:sty m:val="p"/>
                    </m:rPr>
                    <m:t>native</m:t>
                  </m:r>
                </m:sub>
              </m:sSub>
              <m:r>
                <m:rPr>
                  <m:sty m:val="p"/>
                </m:rPr>
                <m:t>−</m:t>
              </m:r>
              <m:sSub>
                <m:e>
                  <m:r>
                    <m:t>F</m:t>
                  </m:r>
                </m:e>
                <m:sub>
                  <m:r>
                    <m:rPr>
                      <m:nor/>
                      <m:sty m:val="p"/>
                    </m:rPr>
                    <m:t>TFA</m:t>
                  </m:r>
                </m:sub>
              </m:sSub>
            </m:num>
            <m:den>
              <m:sSub>
                <m:e>
                  <m:r>
                    <m:t>F</m:t>
                  </m:r>
                </m:e>
                <m:sub>
                  <m:r>
                    <m:rPr>
                      <m:nor/>
                      <m:sty m:val="p"/>
                    </m:rPr>
                    <m:t>native</m:t>
                  </m:r>
                </m:sub>
              </m:sSub>
            </m:den>
          </m:f>
          <m:r>
            <m:rPr>
              <m:sty m:val="p"/>
            </m:rPr>
            <m:t>×</m:t>
          </m:r>
          <m:r>
            <m:t>100</m:t>
          </m:r>
          <m:r>
            <m:rPr>
              <m:sty m:val="p"/>
            </m:rPr>
            <m:t>%</m:t>
          </m:r>
        </m:oMath>
      </m:oMathPara>
    </w:p>
    <w:p>
      <w:pPr>
        <w:pStyle w:val="FirstParagraph"/>
      </w:pPr>
      <w:r>
        <w:t xml:space="preserve">where Fnative and FTFAare the mean adhesion forces of the untreated and TFA-treated EPS films, respectively. The resulting percentage represents the proportion of measured adhesion lost after disruption of the polysaccharide framework and was not interpreted as a directly quantified mass contribution of polysaccharides. The additional decrease following β-glucuronidase digestion was calculated as:</w:t>
      </w:r>
    </w:p>
    <w:p>
      <w:pPr>
        <w:pStyle w:val="BodyText"/>
      </w:pPr>
      <m:oMathPara>
        <m:oMathParaPr>
          <m:jc m:val="center"/>
        </m:oMathParaPr>
        <m:oMath>
          <m:r>
            <m:t>Δ</m:t>
          </m:r>
          <m:sSub>
            <m:e>
              <m:r>
                <m:t>F</m:t>
              </m:r>
            </m:e>
            <m:sub>
              <m:r>
                <m:t>β</m:t>
              </m:r>
              <m:r>
                <m:rPr>
                  <m:nor/>
                  <m:sty m:val="p"/>
                </m:rPr>
                <m:t>-GUS</m:t>
              </m:r>
            </m:sub>
          </m:sSub>
          <m:r>
            <m:rPr>
              <m:sty m:val="p"/>
            </m:rPr>
            <m:t>=</m:t>
          </m:r>
          <m:sSub>
            <m:e>
              <m:r>
                <m:t>F</m:t>
              </m:r>
            </m:e>
            <m:sub>
              <m:r>
                <m:rPr>
                  <m:nor/>
                  <m:sty m:val="p"/>
                </m:rPr>
                <m:t>TFA</m:t>
              </m:r>
            </m:sub>
          </m:sSub>
          <m:r>
            <m:rPr>
              <m:sty m:val="p"/>
            </m:rPr>
            <m:t>−</m:t>
          </m:r>
          <m:sSub>
            <m:e>
              <m:r>
                <m:t>F</m:t>
              </m:r>
            </m:e>
            <m:sub>
              <m:r>
                <m:rPr>
                  <m:nor/>
                  <m:sty m:val="p"/>
                </m:rPr>
                <m:t>TFA</m:t>
              </m:r>
              <m:r>
                <m:rPr>
                  <m:sty m:val="p"/>
                </m:rPr>
                <m:t>+</m:t>
              </m:r>
              <m:r>
                <m:t>β</m:t>
              </m:r>
              <m:r>
                <m:rPr>
                  <m:nor/>
                  <m:sty m:val="p"/>
                </m:rPr>
                <m:t>-GUS</m:t>
              </m:r>
            </m:sub>
          </m:sSub>
        </m:oMath>
      </m:oMathPara>
    </w:p>
    <w:p>
      <w:pPr>
        <w:pStyle w:val="FirstParagraph"/>
      </w:pPr>
      <w:r>
        <w:t xml:space="preserve">and was used to assess the additional involvement of glucuronic-acid-containing domains in residual EPS-mediated adhesion.</w:t>
      </w:r>
    </w:p>
    <w:bookmarkEnd w:id="26"/>
    <w:bookmarkStart w:id="27" w:name="X198701b7a899bb2a721713f04aa68ba7e5a5e52"/>
    <w:p>
      <w:pPr>
        <w:pStyle w:val="Heading2"/>
      </w:pPr>
      <w:r>
        <w:t xml:space="preserve">Supplementary Methods S2. EPS-associated extractable phosphorus (EPS-P)</w:t>
      </w:r>
    </w:p>
    <w:p>
      <w:pPr>
        <w:pStyle w:val="FirstParagraph"/>
      </w:pPr>
      <w:r>
        <w:t xml:space="preserve">Water-column TP and SRP were measured to characterize the background phosphorus conditions of the</w:t>
      </w:r>
      <w:r>
        <w:t xml:space="preserve"> </w:t>
      </w:r>
      <w:r>
        <w:rPr>
          <w:i/>
          <w:iCs/>
        </w:rPr>
        <w:t xml:space="preserve">Cladophora</w:t>
      </w:r>
      <w:r>
        <w:t xml:space="preserve"> </w:t>
      </w:r>
      <w:r>
        <w:t xml:space="preserve">growth environment. Phosphorus associated with canal-slope sediments was determined to represent the bulk P pool accumulated at the algal–substratum interface. In parallel, an aliquot of the EPS extract was analyzed to quantify phosphorus co-extracted with the extracellular matrix. A procedural blank containing identical extraction reagents but no algal material was processed in parallel, and the blank value was subtracted from the corresponding EPS-extract measurement. A phosphate-free extraction control with comparable pH and ionic strength was additionally included. The corrected fraction is hereafter termed EPS-associated extractable phosphorus (EPS-P).</w:t>
      </w:r>
    </w:p>
    <w:bookmarkEnd w:id="27"/>
    <w:bookmarkStart w:id="28" w:name="Xbd1a9ca528c8ead14fe0e9bede7aa8978b71366"/>
    <w:p>
      <w:pPr>
        <w:pStyle w:val="Heading2"/>
      </w:pPr>
      <w:r>
        <w:t xml:space="preserve">Supplementary Methods S3. Determination and blank correction of EPS-associated extractable phosphorus</w:t>
      </w:r>
    </w:p>
    <w:p>
      <w:pPr>
        <w:pStyle w:val="FirstParagraph"/>
      </w:pPr>
      <w:r>
        <w:t xml:space="preserve">An aliquot of the combined EPS extract was collected before ethanol precipitation for phosphorus determination. A procedural blank containing the same types and volumes of extraction buffers and reagents, but without algal material, was processed through the complete EPS extraction and analytical procedure in parallel with each sample batch. The phosphorus concentration measured in the procedural blank was subtracted from that measured in the corresponding EPS extract: CEPS−P=CEPS extract−Cprocedural blank. A matched phosphate-free extraction system with comparable pH and ionic strength was used to verify that the EPS-P signal was not attributable to phosphate introduced by the extraction medium. EPS-P was expressed as mg kg</w:t>
      </w:r>
      <w:r>
        <w:rPr>
          <w:vertAlign w:val="superscript"/>
        </w:rPr>
        <w:t xml:space="preserve">-1</w:t>
      </w:r>
      <w:r>
        <w:t xml:space="preserve"> </w:t>
      </w:r>
      <w:r>
        <w:t xml:space="preserve">and operationally defined as the phosphorus pool co-extracted with the extracellular matrix.</w:t>
      </w:r>
    </w:p>
    <w:bookmarkEnd w:id="28"/>
    <w:bookmarkStart w:id="29" w:name="Xf314ac70750b30fac9d2208efc72456224c68ca"/>
    <w:p>
      <w:pPr>
        <w:pStyle w:val="Heading2"/>
      </w:pPr>
      <w:r>
        <w:t xml:space="preserve">Supplementary Methods S4. EPS-mediated adhesion</w:t>
      </w:r>
    </w:p>
    <w:p>
      <w:pPr>
        <w:pStyle w:val="FirstParagraph"/>
      </w:pPr>
      <w:r>
        <w:t xml:space="preserve">EPS-mediated adhesion should be interpreted as stabilizing attachment-layer establishment and biomass retention during the substrate-associated stage, rather than permanently anchoring individual filaments throughout the vegetation cycle. As the attached biomass matured, hydraulic disturbance and seasonal senescence could promote detachment, after which filamentous material entered the drifting phase and was transported downstream as filament–particle aggregates. Thus, canal-scale persistence reflected sustained or recurrent occupation of favorable wall habitats at the population level, while individual filaments could transition from attached to drifting states.</w:t>
      </w:r>
    </w:p>
    <w:bookmarkEnd w:id="29"/>
    <w:bookmarkStart w:id="34" w:name="sfg-bloomandwtpimpact"/>
    <w:p>
      <w:pPr>
        <w:pStyle w:val="Heading2"/>
      </w:pPr>
      <w:hyperlink w:anchor="sfg-bloomandwtpimpact">
        <w:r>
          <w:rPr>
            <w:rStyle w:val="Hyperlink"/>
          </w:rPr>
          <w:t xml:space="preserve">Supplementary Fig. 1</w:t>
        </w:r>
      </w:hyperlink>
    </w:p>
    <w:tbl>
      <w:tblPr>
        <w:tblStyle w:val="Table"/>
        <w:tblW w:type="pct" w:w="5000"/>
        <w:tblLayout w:type="fixed"/>
        <w:tblLook w:firstRow="0" w:lastRow="0" w:firstColumn="0" w:lastColumn="0" w:noHBand="0" w:noVBand="0" w:val="0000"/>
      </w:tblPr>
      <w:tblGrid>
        <w:gridCol w:w="7920"/>
      </w:tblGrid>
      <w:tr>
        <w:tc>
          <w:tcPr/>
          <w:bookmarkStart w:id="33" w:name="sfg-bloomandwtpimpact"/>
          <w:p>
            <w:pPr>
              <w:jc w:val="center"/>
            </w:pPr>
            <w:r>
              <w:drawing>
                <wp:inline>
                  <wp:extent cx="4602480" cy="3072380"/>
                  <wp:effectExtent b="0" l="0" r="0" t="0"/>
                  <wp:docPr descr="" title="" id="31" name="Picture"/>
                  <a:graphic>
                    <a:graphicData uri="http://schemas.openxmlformats.org/drawingml/2006/picture">
                      <pic:pic>
                        <pic:nvPicPr>
                          <pic:cNvPr descr="../figures/bloomandwtpimpact.png" id="32" name="Picture"/>
                          <pic:cNvPicPr>
                            <a:picLocks noChangeArrowheads="1" noChangeAspect="1"/>
                          </pic:cNvPicPr>
                        </pic:nvPicPr>
                        <pic:blipFill>
                          <a:blip r:embed="rId30"/>
                          <a:stretch>
                            <a:fillRect/>
                          </a:stretch>
                        </pic:blipFill>
                        <pic:spPr bwMode="auto">
                          <a:xfrm>
                            <a:off x="0" y="0"/>
                            <a:ext cx="4602480" cy="3072380"/>
                          </a:xfrm>
                          <a:prstGeom prst="rect">
                            <a:avLst/>
                          </a:prstGeom>
                          <a:noFill/>
                          <a:ln w="9525">
                            <a:noFill/>
                            <a:headEnd/>
                            <a:tailEnd/>
                          </a:ln>
                        </pic:spPr>
                      </pic:pic>
                    </a:graphicData>
                  </a:graphic>
                </wp:inline>
              </w:drawing>
            </w:r>
          </w:p>
          <w:p>
            <w:pPr>
              <w:jc w:val="center"/>
            </w:pPr>
            <w:pPr>
              <w:jc w:val="start"/>
              <w:spacing w:before="200"/>
              <w:pStyle w:val="ImageCaption"/>
            </w:pPr>
            <w:r>
              <w:t xml:space="preserve">Supplementary Fig. 1:</w:t>
            </w:r>
            <w:r>
              <w:t xml:space="preserve"> </w:t>
            </w:r>
            <w:r>
              <w:rPr>
                <w:i/>
                <w:iCs/>
              </w:rPr>
              <w:t xml:space="preserve">Cladophora</w:t>
            </w:r>
            <w:r>
              <w:t xml:space="preserve"> </w:t>
            </w:r>
            <w:r>
              <w:t xml:space="preserve">in the conveyance canal and associated engineering impacts. (A) The longest</w:t>
            </w:r>
            <w:r>
              <w:t xml:space="preserve"> </w:t>
            </w:r>
            <w:r>
              <w:rPr>
                <w:i/>
                <w:iCs/>
              </w:rPr>
              <w:t xml:space="preserve">Cladophora</w:t>
            </w:r>
            <w:r>
              <w:t xml:space="preserve"> </w:t>
            </w:r>
            <w:r>
              <w:t xml:space="preserve">filament harvested by diver (~1 m). (B) Mesh-like biofilm morphology comprising algal filaments and EPS matrix attached to canal walls and filter media surfaces. (C) Progressive shortening of rapid sand-filter backwash cycles attributed to</w:t>
            </w:r>
            <w:r>
              <w:t xml:space="preserve"> </w:t>
            </w:r>
            <w:r>
              <w:rPr>
                <w:i/>
                <w:iCs/>
              </w:rPr>
              <w:t xml:space="preserve">Cladophora</w:t>
            </w:r>
            <w:r>
              <w:t xml:space="preserve"> </w:t>
            </w:r>
            <w:r>
              <w:t xml:space="preserve">attachment (Lines 1 and 2 denote independent filter units) and detachment dynamics.</w:t>
            </w:r>
          </w:p>
          <w:bookmarkEnd w:id="33"/>
        </w:tc>
      </w:tr>
    </w:tbl>
    <w:p>
      <w:r>
        <w:br w:type="page"/>
      </w:r>
    </w:p>
    <w:bookmarkEnd w:id="34"/>
    <w:bookmarkStart w:id="39" w:name="sfg-samplingsites"/>
    <w:p>
      <w:pPr>
        <w:pStyle w:val="Heading2"/>
      </w:pPr>
      <w:hyperlink w:anchor="sfg-samplingsites">
        <w:r>
          <w:rPr>
            <w:rStyle w:val="Hyperlink"/>
          </w:rPr>
          <w:t xml:space="preserve">Supplementary Fig. 2</w:t>
        </w:r>
      </w:hyperlink>
    </w:p>
    <w:tbl>
      <w:tblPr>
        <w:tblStyle w:val="Table"/>
        <w:tblW w:type="pct" w:w="5000"/>
        <w:tblLayout w:type="fixed"/>
        <w:tblLook w:firstRow="0" w:lastRow="0" w:firstColumn="0" w:lastColumn="0" w:noHBand="0" w:noVBand="0" w:val="0000"/>
      </w:tblPr>
      <w:tblGrid>
        <w:gridCol w:w="7920"/>
      </w:tblGrid>
      <w:tr>
        <w:tc>
          <w:tcPr/>
          <w:bookmarkStart w:id="38" w:name="sfg-samplingsites"/>
          <w:p>
            <w:pPr>
              <w:jc w:val="center"/>
            </w:pPr>
            <w:r>
              <w:drawing>
                <wp:inline>
                  <wp:extent cx="4027170" cy="4281390"/>
                  <wp:effectExtent b="0" l="0" r="0" t="0"/>
                  <wp:docPr descr="" title="" id="36" name="Picture"/>
                  <a:graphic>
                    <a:graphicData uri="http://schemas.openxmlformats.org/drawingml/2006/picture">
                      <pic:pic>
                        <pic:nvPicPr>
                          <pic:cNvPr descr="../figures/samplingsites.png" id="37" name="Picture"/>
                          <pic:cNvPicPr>
                            <a:picLocks noChangeArrowheads="1" noChangeAspect="1"/>
                          </pic:cNvPicPr>
                        </pic:nvPicPr>
                        <pic:blipFill>
                          <a:blip r:embed="rId35"/>
                          <a:stretch>
                            <a:fillRect/>
                          </a:stretch>
                        </pic:blipFill>
                        <pic:spPr bwMode="auto">
                          <a:xfrm>
                            <a:off x="0" y="0"/>
                            <a:ext cx="4027170" cy="4281390"/>
                          </a:xfrm>
                          <a:prstGeom prst="rect">
                            <a:avLst/>
                          </a:prstGeom>
                          <a:noFill/>
                          <a:ln w="9525">
                            <a:noFill/>
                            <a:headEnd/>
                            <a:tailEnd/>
                          </a:ln>
                        </pic:spPr>
                      </pic:pic>
                    </a:graphicData>
                  </a:graphic>
                </wp:inline>
              </w:drawing>
            </w:r>
          </w:p>
          <w:p>
            <w:pPr>
              <w:jc w:val="center"/>
            </w:pPr>
            <w:pPr>
              <w:jc w:val="start"/>
              <w:spacing w:before="200"/>
              <w:pStyle w:val="ImageCaption"/>
            </w:pPr>
            <w:r>
              <w:t xml:space="preserve">Supplementary Fig. 2: Sampling sites of this study along the study transect.</w:t>
            </w:r>
          </w:p>
          <w:bookmarkEnd w:id="38"/>
        </w:tc>
      </w:tr>
    </w:tbl>
    <w:p>
      <w:r>
        <w:br w:type="page"/>
      </w:r>
    </w:p>
    <w:bookmarkEnd w:id="39"/>
    <w:bookmarkStart w:id="41" w:name="stb-wqsummary"/>
    <w:p>
      <w:pPr>
        <w:pStyle w:val="Heading2"/>
      </w:pPr>
      <w:hyperlink w:anchor="stb-wqsummary">
        <w:r>
          <w:rPr>
            <w:rStyle w:val="Hyperlink"/>
          </w:rPr>
          <w:t xml:space="preserve">Supplementary Table 1</w:t>
        </w:r>
      </w:hyperlink>
    </w:p>
    <w:tbl>
      <w:tblPr>
        <w:tblStyle w:val="Table"/>
        <w:tblW w:type="pct" w:w="5000"/>
        <w:tblLayout w:type="fixed"/>
        <w:tblLook w:firstRow="0" w:lastRow="0" w:firstColumn="0" w:lastColumn="0" w:noHBand="0" w:noVBand="0" w:val="0000"/>
      </w:tblPr>
      <w:tblGrid>
        <w:gridCol w:w="7920"/>
      </w:tblGrid>
      <w:tr>
        <w:tc>
          <w:tcPr/>
          <w:bookmarkStart w:id="40" w:name="stb-wqsummary"/>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center"/>
                  </w:pPr>
                  <w:r>
                    <w:t xml:space="preserve">Ingredients</w:t>
                  </w:r>
                </w:p>
              </w:tc>
              <w:tc>
                <w:tcPr/>
                <w:p>
                  <w:pPr>
                    <w:pStyle w:val="Compact"/>
                    <w:jc w:val="center"/>
                  </w:pPr>
                  <w:r>
                    <w:t xml:space="preserve">Content</w:t>
                  </w:r>
                </w:p>
              </w:tc>
              <w:tc>
                <w:tcPr/>
                <w:p>
                  <w:pPr>
                    <w:pStyle w:val="Compact"/>
                    <w:jc w:val="center"/>
                  </w:pPr>
                  <w:r>
                    <w:t xml:space="preserve">Unit</w:t>
                  </w:r>
                </w:p>
              </w:tc>
            </w:tr>
            <w:tr>
              <w:tc>
                <w:tcPr/>
                <w:p>
                  <w:pPr>
                    <w:pStyle w:val="Compact"/>
                    <w:jc w:val="center"/>
                  </w:pPr>
                  <w:r>
                    <w:t xml:space="preserve">Water temperature</w:t>
                  </w:r>
                </w:p>
              </w:tc>
              <w:tc>
                <w:tcPr/>
                <w:p>
                  <w:pPr>
                    <w:pStyle w:val="Compact"/>
                    <w:jc w:val="center"/>
                  </w:pPr>
                  <w:r>
                    <w:t xml:space="preserve">28.16±2.24</w:t>
                  </w:r>
                </w:p>
              </w:tc>
              <w:tc>
                <w:tcPr/>
                <w:p>
                  <w:pPr>
                    <w:pStyle w:val="Compact"/>
                    <w:jc w:val="center"/>
                  </w:pPr>
                  <w:r>
                    <w:t xml:space="preserve">°C</w:t>
                  </w:r>
                </w:p>
              </w:tc>
            </w:tr>
            <w:tr>
              <w:tc>
                <w:tcPr/>
                <w:p>
                  <w:pPr>
                    <w:pStyle w:val="Compact"/>
                    <w:jc w:val="center"/>
                  </w:pPr>
                  <w:r>
                    <w:t xml:space="preserve">pH</w:t>
                  </w:r>
                </w:p>
              </w:tc>
              <w:tc>
                <w:tcPr/>
                <w:p>
                  <w:pPr>
                    <w:pStyle w:val="Compact"/>
                    <w:jc w:val="center"/>
                  </w:pPr>
                  <w:r>
                    <w:t xml:space="preserve">8.35±0.20</w:t>
                  </w:r>
                </w:p>
              </w:tc>
              <w:tc>
                <w:tcPr/>
                <w:p>
                  <w:pPr>
                    <w:pStyle w:val="Compact"/>
                    <w:jc w:val="center"/>
                  </w:pPr>
                  <w:r>
                    <w:t xml:space="preserve">—</w:t>
                  </w:r>
                </w:p>
              </w:tc>
            </w:tr>
            <w:tr>
              <w:tc>
                <w:tcPr/>
                <w:p>
                  <w:pPr>
                    <w:pStyle w:val="Compact"/>
                    <w:jc w:val="center"/>
                  </w:pPr>
                  <w:r>
                    <w:t xml:space="preserve">DO</w:t>
                  </w:r>
                </w:p>
              </w:tc>
              <w:tc>
                <w:tcPr/>
                <w:p>
                  <w:pPr>
                    <w:pStyle w:val="Compact"/>
                    <w:jc w:val="center"/>
                  </w:pPr>
                  <w:r>
                    <w:t xml:space="preserve">8.23±0.56</w:t>
                  </w:r>
                </w:p>
              </w:tc>
              <w:tc>
                <w:tcPr/>
                <w:p>
                  <w:pPr>
                    <w:pStyle w:val="Compact"/>
                    <w:jc w:val="center"/>
                  </w:pPr>
                  <w:r>
                    <w:t xml:space="preserve">mg L</w:t>
                  </w:r>
                  <w:r>
                    <w:rPr>
                      <w:vertAlign w:val="superscript"/>
                    </w:rPr>
                    <w:t xml:space="preserve">-1</w:t>
                  </w:r>
                </w:p>
              </w:tc>
            </w:tr>
            <w:tr>
              <w:tc>
                <w:tcPr/>
                <w:p>
                  <w:pPr>
                    <w:pStyle w:val="Compact"/>
                    <w:jc w:val="center"/>
                  </w:pPr>
                  <w:r>
                    <w:t xml:space="preserve">COD</w:t>
                  </w:r>
                  <w:r>
                    <w:rPr>
                      <w:vertAlign w:val="subscript"/>
                    </w:rPr>
                    <w:t xml:space="preserve">Mn</w:t>
                  </w:r>
                </w:p>
              </w:tc>
              <w:tc>
                <w:tcPr/>
                <w:p>
                  <w:pPr>
                    <w:pStyle w:val="Compact"/>
                    <w:jc w:val="center"/>
                  </w:pPr>
                  <w:r>
                    <w:t xml:space="preserve">1.99±0.21</w:t>
                  </w:r>
                </w:p>
              </w:tc>
              <w:tc>
                <w:tcPr/>
                <w:p>
                  <w:pPr>
                    <w:pStyle w:val="Compact"/>
                    <w:jc w:val="center"/>
                  </w:pPr>
                  <w:r>
                    <w:t xml:space="preserve">mg L</w:t>
                  </w:r>
                  <w:r>
                    <w:rPr>
                      <w:vertAlign w:val="superscript"/>
                    </w:rPr>
                    <w:t xml:space="preserve">-1</w:t>
                  </w:r>
                </w:p>
              </w:tc>
            </w:tr>
            <w:tr>
              <w:tc>
                <w:tcPr/>
                <w:p>
                  <w:pPr>
                    <w:pStyle w:val="Compact"/>
                    <w:jc w:val="center"/>
                  </w:pPr>
                  <w:r>
                    <w:t xml:space="preserve">COD</w:t>
                  </w:r>
                </w:p>
              </w:tc>
              <w:tc>
                <w:tcPr/>
                <w:p>
                  <w:pPr>
                    <w:pStyle w:val="Compact"/>
                    <w:jc w:val="center"/>
                  </w:pPr>
                  <w:r>
                    <w:t xml:space="preserve">7.43±1.64</w:t>
                  </w:r>
                </w:p>
              </w:tc>
              <w:tc>
                <w:tcPr/>
                <w:p>
                  <w:pPr>
                    <w:pStyle w:val="Compact"/>
                    <w:jc w:val="center"/>
                  </w:pPr>
                  <w:r>
                    <w:t xml:space="preserve">mg L</w:t>
                  </w:r>
                  <w:r>
                    <w:rPr>
                      <w:vertAlign w:val="superscript"/>
                    </w:rPr>
                    <w:t xml:space="preserve">-1</w:t>
                  </w:r>
                </w:p>
              </w:tc>
            </w:tr>
            <w:tr>
              <w:tc>
                <w:tcPr/>
                <w:p>
                  <w:pPr>
                    <w:pStyle w:val="Compact"/>
                    <w:jc w:val="center"/>
                  </w:pPr>
                  <w:r>
                    <w:t xml:space="preserve">BOD₅</w:t>
                  </w:r>
                </w:p>
              </w:tc>
              <w:tc>
                <w:tcPr/>
                <w:p>
                  <w:pPr>
                    <w:pStyle w:val="Compact"/>
                    <w:jc w:val="center"/>
                  </w:pPr>
                  <w:r>
                    <w:t xml:space="preserve">0.73±0.39</w:t>
                  </w:r>
                </w:p>
              </w:tc>
              <w:tc>
                <w:tcPr/>
                <w:p>
                  <w:pPr>
                    <w:pStyle w:val="Compact"/>
                    <w:jc w:val="center"/>
                  </w:pPr>
                  <w:r>
                    <w:t xml:space="preserve">mg L</w:t>
                  </w:r>
                  <w:r>
                    <w:rPr>
                      <w:vertAlign w:val="superscript"/>
                    </w:rPr>
                    <w:t xml:space="preserve">-1</w:t>
                  </w:r>
                </w:p>
              </w:tc>
            </w:tr>
            <w:tr>
              <w:tc>
                <w:tcPr/>
                <w:p>
                  <w:pPr>
                    <w:pStyle w:val="Compact"/>
                    <w:jc w:val="center"/>
                  </w:pPr>
                  <w:r>
                    <w:t xml:space="preserve">NH</w:t>
                  </w:r>
                  <w:r>
                    <w:rPr>
                      <w:vertAlign w:val="subscript"/>
                    </w:rPr>
                    <w:t xml:space="preserve">4</w:t>
                  </w:r>
                  <w:r>
                    <w:rPr>
                      <w:vertAlign w:val="superscript"/>
                    </w:rPr>
                    <w:t xml:space="preserve">+</w:t>
                  </w:r>
                  <w:r>
                    <w:t xml:space="preserve">-N</w:t>
                  </w:r>
                </w:p>
              </w:tc>
              <w:tc>
                <w:tcPr/>
                <w:p>
                  <w:pPr>
                    <w:pStyle w:val="Compact"/>
                    <w:jc w:val="center"/>
                  </w:pPr>
                  <w:r>
                    <w:t xml:space="preserve">0.045±0.022</w:t>
                  </w:r>
                </w:p>
              </w:tc>
              <w:tc>
                <w:tcPr/>
                <w:p>
                  <w:pPr>
                    <w:pStyle w:val="Compact"/>
                    <w:jc w:val="center"/>
                  </w:pPr>
                  <w:r>
                    <w:t xml:space="preserve">mg L</w:t>
                  </w:r>
                  <w:r>
                    <w:rPr>
                      <w:vertAlign w:val="superscript"/>
                    </w:rPr>
                    <w:t xml:space="preserve">-1</w:t>
                  </w:r>
                </w:p>
              </w:tc>
            </w:tr>
            <w:tr>
              <w:tc>
                <w:tcPr/>
                <w:p>
                  <w:pPr>
                    <w:pStyle w:val="Compact"/>
                    <w:jc w:val="center"/>
                  </w:pPr>
                  <w:r>
                    <w:t xml:space="preserve">TP</w:t>
                  </w:r>
                </w:p>
              </w:tc>
              <w:tc>
                <w:tcPr/>
                <w:p>
                  <w:pPr>
                    <w:pStyle w:val="Compact"/>
                    <w:jc w:val="center"/>
                  </w:pPr>
                  <w:r>
                    <w:t xml:space="preserve">6.59±2.67</w:t>
                  </w:r>
                </w:p>
              </w:tc>
              <w:tc>
                <w:tcPr/>
                <w:p>
                  <w:pPr>
                    <w:pStyle w:val="Compact"/>
                    <w:jc w:val="center"/>
                  </w:pPr>
                  <w:r>
                    <w:t xml:space="preserve">μg L</w:t>
                  </w:r>
                  <w:r>
                    <w:rPr>
                      <w:vertAlign w:val="superscript"/>
                    </w:rPr>
                    <w:t xml:space="preserve">-1</w:t>
                  </w:r>
                </w:p>
              </w:tc>
            </w:tr>
            <w:tr>
              <w:tc>
                <w:tcPr/>
                <w:p>
                  <w:pPr>
                    <w:pStyle w:val="Compact"/>
                    <w:jc w:val="center"/>
                  </w:pPr>
                  <w:r>
                    <w:t xml:space="preserve">TN</w:t>
                  </w:r>
                </w:p>
              </w:tc>
              <w:tc>
                <w:tcPr/>
                <w:p>
                  <w:pPr>
                    <w:pStyle w:val="Compact"/>
                    <w:jc w:val="center"/>
                  </w:pPr>
                  <w:r>
                    <w:t xml:space="preserve">1.06±0.11</w:t>
                  </w:r>
                </w:p>
              </w:tc>
              <w:tc>
                <w:tcPr/>
                <w:p>
                  <w:pPr>
                    <w:pStyle w:val="Compact"/>
                    <w:jc w:val="center"/>
                  </w:pPr>
                  <w:r>
                    <w:t xml:space="preserve">mg L</w:t>
                  </w:r>
                  <w:r>
                    <w:rPr>
                      <w:vertAlign w:val="superscript"/>
                    </w:rPr>
                    <w:t xml:space="preserve">-1</w:t>
                  </w:r>
                </w:p>
              </w:tc>
            </w:tr>
            <w:tr>
              <w:tc>
                <w:tcPr/>
                <w:p>
                  <w:pPr>
                    <w:pStyle w:val="Compact"/>
                    <w:jc w:val="center"/>
                  </w:pPr>
                  <w:r>
                    <w:t xml:space="preserve">SO</w:t>
                  </w:r>
                  <w:r>
                    <w:rPr>
                      <w:vertAlign w:val="subscript"/>
                    </w:rPr>
                    <w:t xml:space="preserve">4</w:t>
                  </w:r>
                  <w:r>
                    <w:rPr>
                      <w:vertAlign w:val="superscript"/>
                    </w:rPr>
                    <w:t xml:space="preserve">2-</w:t>
                  </w:r>
                </w:p>
              </w:tc>
              <w:tc>
                <w:tcPr/>
                <w:p>
                  <w:pPr>
                    <w:pStyle w:val="Compact"/>
                    <w:jc w:val="center"/>
                  </w:pPr>
                  <w:r>
                    <w:t xml:space="preserve">25.29±1.27</w:t>
                  </w:r>
                </w:p>
              </w:tc>
              <w:tc>
                <w:tcPr/>
                <w:p>
                  <w:pPr>
                    <w:pStyle w:val="Compact"/>
                    <w:jc w:val="center"/>
                  </w:pPr>
                  <w:r>
                    <w:t xml:space="preserve">mg L</w:t>
                  </w:r>
                  <w:r>
                    <w:rPr>
                      <w:vertAlign w:val="superscript"/>
                    </w:rPr>
                    <w:t xml:space="preserve">-1</w:t>
                  </w:r>
                </w:p>
              </w:tc>
            </w:tr>
          </w:tbl>
          <w:p>
            <w:pPr>
              <w:jc w:val="center"/>
            </w:pPr>
            <w:pPr>
              <w:jc w:val="start"/>
              <w:spacing w:before="200"/>
              <w:pStyle w:val="ImageCaption"/>
            </w:pPr>
            <w:r>
              <w:t xml:space="preserve">Supplementary Table 1: Summary of the main water quality parameters in the study area during July–August (2022–2024). Values are presented as mean±standard deviation. DO, COD</w:t>
            </w:r>
            <w:r>
              <w:rPr>
                <w:vertAlign w:val="subscript"/>
              </w:rPr>
              <w:t xml:space="preserve">Mn</w:t>
            </w:r>
            <w:r>
              <w:t xml:space="preserve">, COD, BOD₅, NH</w:t>
            </w:r>
            <w:r>
              <w:rPr>
                <w:vertAlign w:val="subscript"/>
              </w:rPr>
              <w:t xml:space="preserve">4</w:t>
            </w:r>
            <w:r>
              <w:rPr>
                <w:vertAlign w:val="superscript"/>
              </w:rPr>
              <w:t xml:space="preserve">+</w:t>
            </w:r>
            <w:r>
              <w:t xml:space="preserve">-N, TN, and SO</w:t>
            </w:r>
            <w:r>
              <w:rPr>
                <w:vertAlign w:val="subscript"/>
              </w:rPr>
              <w:t xml:space="preserve">4</w:t>
            </w:r>
            <w:r>
              <w:rPr>
                <w:vertAlign w:val="superscript"/>
              </w:rPr>
              <w:t xml:space="preserve">2-</w:t>
            </w:r>
            <w:r>
              <w:t xml:space="preserve"> </w:t>
            </w:r>
            <w:r>
              <w:t xml:space="preserve">are reported in mg L</w:t>
            </w:r>
            <w:r>
              <w:rPr>
                <w:vertAlign w:val="superscript"/>
              </w:rPr>
              <w:t xml:space="preserve">-1</w:t>
            </w:r>
            <w:r>
              <w:t xml:space="preserve">, whereas TP is reported in μg L</w:t>
            </w:r>
            <w:r>
              <w:rPr>
                <w:vertAlign w:val="superscript"/>
              </w:rPr>
              <w:t xml:space="preserve">-1</w:t>
            </w:r>
            <w:r>
              <w:t xml:space="preserve">. The dash indicates a dimensionless parameter. Data are expressed as mean ± standard deviation (n = 3).</w:t>
            </w:r>
          </w:p>
          <w:bookmarkEnd w:id="40"/>
        </w:tc>
      </w:tr>
    </w:tbl>
    <w:p>
      <w:r>
        <w:br w:type="page"/>
      </w:r>
    </w:p>
    <w:bookmarkEnd w:id="41"/>
    <w:bookmarkStart w:id="46" w:name="sfg-watertemp"/>
    <w:p>
      <w:pPr>
        <w:pStyle w:val="Heading2"/>
      </w:pPr>
      <w:hyperlink w:anchor="sfg-watertemp">
        <w:r>
          <w:rPr>
            <w:rStyle w:val="Hyperlink"/>
          </w:rPr>
          <w:t xml:space="preserve">Supplementary Fig. 3</w:t>
        </w:r>
      </w:hyperlink>
    </w:p>
    <w:tbl>
      <w:tblPr>
        <w:tblStyle w:val="Table"/>
        <w:tblW w:type="pct" w:w="5000"/>
        <w:tblLayout w:type="fixed"/>
        <w:tblLook w:firstRow="0" w:lastRow="0" w:firstColumn="0" w:lastColumn="0" w:noHBand="0" w:noVBand="0" w:val="0000"/>
      </w:tblPr>
      <w:tblGrid>
        <w:gridCol w:w="7920"/>
      </w:tblGrid>
      <w:tr>
        <w:tc>
          <w:tcPr/>
          <w:bookmarkStart w:id="45" w:name="sfg-watertemp"/>
          <w:p>
            <w:pPr>
              <w:jc w:val="center"/>
            </w:pPr>
            <w:r>
              <w:drawing>
                <wp:inline>
                  <wp:extent cx="4027170" cy="2301065"/>
                  <wp:effectExtent b="0" l="0" r="0" t="0"/>
                  <wp:docPr descr="" title="" id="43" name="Picture"/>
                  <a:graphic>
                    <a:graphicData uri="http://schemas.openxmlformats.org/drawingml/2006/picture">
                      <pic:pic>
                        <pic:nvPicPr>
                          <pic:cNvPr descr="../figures/watertemp.png" id="44" name="Picture"/>
                          <pic:cNvPicPr>
                            <a:picLocks noChangeArrowheads="1" noChangeAspect="1"/>
                          </pic:cNvPicPr>
                        </pic:nvPicPr>
                        <pic:blipFill>
                          <a:blip r:embed="rId42"/>
                          <a:stretch>
                            <a:fillRect/>
                          </a:stretch>
                        </pic:blipFill>
                        <pic:spPr bwMode="auto">
                          <a:xfrm>
                            <a:off x="0" y="0"/>
                            <a:ext cx="4027170" cy="2301065"/>
                          </a:xfrm>
                          <a:prstGeom prst="rect">
                            <a:avLst/>
                          </a:prstGeom>
                          <a:noFill/>
                          <a:ln w="9525">
                            <a:noFill/>
                            <a:headEnd/>
                            <a:tailEnd/>
                          </a:ln>
                        </pic:spPr>
                      </pic:pic>
                    </a:graphicData>
                  </a:graphic>
                </wp:inline>
              </w:drawing>
            </w:r>
          </w:p>
          <w:p>
            <w:pPr>
              <w:jc w:val="center"/>
            </w:pPr>
            <w:pPr>
              <w:jc w:val="start"/>
              <w:spacing w:before="200"/>
              <w:pStyle w:val="ImageCaption"/>
            </w:pPr>
            <w:r>
              <w:t xml:space="preserve">Supplementary Fig. 3: Sites N01–N09 are arranged from south to north. Overall, temperature exhibited pronounced seasonal variability across all sites, with an annual range of approximately 0–31°C. Spatially, the annual mean temperature generally decreased from about 18°C at the southern site N01 to about 15°C at the northern sites, indicating a northward declining temperature gradient. Notably, N09 showed a relatively higher annual mean temperature of approximately 20°C, deviating from the overall south-to-north decreasing trend and suggesting potential local environmental or hydrological influences.</w:t>
            </w:r>
          </w:p>
          <w:bookmarkEnd w:id="45"/>
        </w:tc>
      </w:tr>
    </w:tbl>
    <w:p>
      <w:r>
        <w:br w:type="page"/>
      </w:r>
    </w:p>
    <w:bookmarkEnd w:id="46"/>
    <w:bookmarkStart w:id="51" w:name="sfg-rhandcloudcover"/>
    <w:p>
      <w:pPr>
        <w:pStyle w:val="Heading2"/>
      </w:pPr>
      <w:hyperlink w:anchor="sfg-rhandcloudcover">
        <w:r>
          <w:rPr>
            <w:rStyle w:val="Hyperlink"/>
          </w:rPr>
          <w:t xml:space="preserve">Supplementary Fig. 4</w:t>
        </w:r>
      </w:hyperlink>
    </w:p>
    <w:tbl>
      <w:tblPr>
        <w:tblStyle w:val="Table"/>
        <w:tblW w:type="pct" w:w="5000"/>
        <w:tblLayout w:type="fixed"/>
        <w:tblLook w:firstRow="0" w:lastRow="0" w:firstColumn="0" w:lastColumn="0" w:noHBand="0" w:noVBand="0" w:val="0000"/>
      </w:tblPr>
      <w:tblGrid>
        <w:gridCol w:w="7920"/>
      </w:tblGrid>
      <w:tr>
        <w:tc>
          <w:tcPr/>
          <w:bookmarkStart w:id="50" w:name="sfg-rhandcloudcover"/>
          <w:p>
            <w:pPr>
              <w:jc w:val="center"/>
            </w:pPr>
            <w:r>
              <w:drawing>
                <wp:inline>
                  <wp:extent cx="5177790" cy="3153562"/>
                  <wp:effectExtent b="0" l="0" r="0" t="0"/>
                  <wp:docPr descr="" title="" id="48" name="Picture"/>
                  <a:graphic>
                    <a:graphicData uri="http://schemas.openxmlformats.org/drawingml/2006/picture">
                      <pic:pic>
                        <pic:nvPicPr>
                          <pic:cNvPr descr="../figures/rhandcloudcover.png" id="49" name="Picture"/>
                          <pic:cNvPicPr>
                            <a:picLocks noChangeArrowheads="1" noChangeAspect="1"/>
                          </pic:cNvPicPr>
                        </pic:nvPicPr>
                        <pic:blipFill>
                          <a:blip r:embed="rId47"/>
                          <a:stretch>
                            <a:fillRect/>
                          </a:stretch>
                        </pic:blipFill>
                        <pic:spPr bwMode="auto">
                          <a:xfrm>
                            <a:off x="0" y="0"/>
                            <a:ext cx="5177790" cy="3153562"/>
                          </a:xfrm>
                          <a:prstGeom prst="rect">
                            <a:avLst/>
                          </a:prstGeom>
                          <a:noFill/>
                          <a:ln w="9525">
                            <a:noFill/>
                            <a:headEnd/>
                            <a:tailEnd/>
                          </a:ln>
                        </pic:spPr>
                      </pic:pic>
                    </a:graphicData>
                  </a:graphic>
                </wp:inline>
              </w:drawing>
            </w:r>
          </w:p>
          <w:p>
            <w:pPr>
              <w:jc w:val="center"/>
            </w:pPr>
            <w:pPr>
              <w:jc w:val="start"/>
              <w:spacing w:before="200"/>
              <w:pStyle w:val="ImageCaption"/>
            </w:pPr>
            <w:r>
              <w:t xml:space="preserve">Supplementary Fig. 4: Monthly variations in relative humidity and cloud cover at representative sampling sites along the study transect in 2025. (A) N01, (B) N05, (C) N07, and (D) N13. Bars represent monthly relative humidity and cloud cover. Relative humidity and cloud cover showed broadly synchronous seasonal increases during the warm and wet period, whereas precipitation exhibited stronger episodic fluctuations.</w:t>
            </w:r>
          </w:p>
          <w:bookmarkEnd w:id="50"/>
        </w:tc>
      </w:tr>
    </w:tbl>
    <w:p>
      <w:r>
        <w:br w:type="page"/>
      </w:r>
    </w:p>
    <w:bookmarkEnd w:id="51"/>
    <w:bookmarkStart w:id="56" w:name="sfg-rainfall"/>
    <w:p>
      <w:pPr>
        <w:pStyle w:val="Heading2"/>
      </w:pPr>
      <w:hyperlink w:anchor="sfg-rainfall">
        <w:r>
          <w:rPr>
            <w:rStyle w:val="Hyperlink"/>
          </w:rPr>
          <w:t xml:space="preserve">Supplementary Fig. 5</w:t>
        </w:r>
      </w:hyperlink>
    </w:p>
    <w:tbl>
      <w:tblPr>
        <w:tblStyle w:val="Table"/>
        <w:tblW w:type="pct" w:w="5000"/>
        <w:tblLayout w:type="fixed"/>
        <w:tblLook w:firstRow="0" w:lastRow="0" w:firstColumn="0" w:lastColumn="0" w:noHBand="0" w:noVBand="0" w:val="0000"/>
      </w:tblPr>
      <w:tblGrid>
        <w:gridCol w:w="7920"/>
      </w:tblGrid>
      <w:tr>
        <w:tc>
          <w:tcPr/>
          <w:bookmarkStart w:id="55" w:name="sfg-rainfall"/>
          <w:p>
            <w:pPr>
              <w:jc w:val="center"/>
            </w:pPr>
            <w:r>
              <w:drawing>
                <wp:inline>
                  <wp:extent cx="5177790" cy="3153562"/>
                  <wp:effectExtent b="0" l="0" r="0" t="0"/>
                  <wp:docPr descr="" title="" id="53" name="Picture"/>
                  <a:graphic>
                    <a:graphicData uri="http://schemas.openxmlformats.org/drawingml/2006/picture">
                      <pic:pic>
                        <pic:nvPicPr>
                          <pic:cNvPr descr="../figures/rainfall.png" id="54" name="Picture"/>
                          <pic:cNvPicPr>
                            <a:picLocks noChangeArrowheads="1" noChangeAspect="1"/>
                          </pic:cNvPicPr>
                        </pic:nvPicPr>
                        <pic:blipFill>
                          <a:blip r:embed="rId52"/>
                          <a:stretch>
                            <a:fillRect/>
                          </a:stretch>
                        </pic:blipFill>
                        <pic:spPr bwMode="auto">
                          <a:xfrm>
                            <a:off x="0" y="0"/>
                            <a:ext cx="5177790" cy="3153562"/>
                          </a:xfrm>
                          <a:prstGeom prst="rect">
                            <a:avLst/>
                          </a:prstGeom>
                          <a:noFill/>
                          <a:ln w="9525">
                            <a:noFill/>
                            <a:headEnd/>
                            <a:tailEnd/>
                          </a:ln>
                        </pic:spPr>
                      </pic:pic>
                    </a:graphicData>
                  </a:graphic>
                </wp:inline>
              </w:drawing>
            </w:r>
          </w:p>
          <w:p>
            <w:pPr>
              <w:jc w:val="center"/>
            </w:pPr>
            <w:pPr>
              <w:jc w:val="start"/>
              <w:spacing w:before="200"/>
              <w:pStyle w:val="ImageCaption"/>
            </w:pPr>
            <w:r>
              <w:t xml:space="preserve">Supplementary Fig. 5: Monthly variations in total precipitation at representative sampling sites along the study transect in 2025. (A) N01, (B) N05, (C) N07, and (D) N13. Precipitation exhibited stronger episodic fluctuations. Precipitation peaks occurred mainly in September at N01, N05, and N07, but shifted to July at N13 with a secondary increase in October, indicating spatial heterogeneity in wet-season timing along the transect.</w:t>
            </w:r>
          </w:p>
          <w:bookmarkEnd w:id="55"/>
        </w:tc>
      </w:tr>
    </w:tbl>
    <w:p>
      <w:r>
        <w:br w:type="page"/>
      </w:r>
    </w:p>
    <w:bookmarkEnd w:id="56"/>
    <w:bookmarkStart w:id="61" w:name="sfg-hydrolic"/>
    <w:p>
      <w:pPr>
        <w:pStyle w:val="Heading2"/>
      </w:pPr>
      <w:hyperlink w:anchor="sfg-hydrolic">
        <w:r>
          <w:rPr>
            <w:rStyle w:val="Hyperlink"/>
          </w:rPr>
          <w:t xml:space="preserve">Supplementary Fig. 6</w:t>
        </w:r>
      </w:hyperlink>
    </w:p>
    <w:tbl>
      <w:tblPr>
        <w:tblStyle w:val="Table"/>
        <w:tblW w:type="pct" w:w="5000"/>
        <w:tblLayout w:type="fixed"/>
        <w:tblLook w:firstRow="0" w:lastRow="0" w:firstColumn="0" w:lastColumn="0" w:noHBand="0" w:noVBand="0" w:val="0000"/>
      </w:tblPr>
      <w:tblGrid>
        <w:gridCol w:w="7920"/>
      </w:tblGrid>
      <w:tr>
        <w:tc>
          <w:tcPr/>
          <w:bookmarkStart w:id="60" w:name="sfg-hydrolic"/>
          <w:p>
            <w:pPr>
              <w:jc w:val="center"/>
            </w:pPr>
            <w:r>
              <w:drawing>
                <wp:inline>
                  <wp:extent cx="4027170" cy="3484715"/>
                  <wp:effectExtent b="0" l="0" r="0" t="0"/>
                  <wp:docPr descr="" title="" id="58" name="Picture"/>
                  <a:graphic>
                    <a:graphicData uri="http://schemas.openxmlformats.org/drawingml/2006/picture">
                      <pic:pic>
                        <pic:nvPicPr>
                          <pic:cNvPr descr="../figures/hydrolic.png" id="59" name="Picture"/>
                          <pic:cNvPicPr>
                            <a:picLocks noChangeArrowheads="1" noChangeAspect="1"/>
                          </pic:cNvPicPr>
                        </pic:nvPicPr>
                        <pic:blipFill>
                          <a:blip r:embed="rId57"/>
                          <a:stretch>
                            <a:fillRect/>
                          </a:stretch>
                        </pic:blipFill>
                        <pic:spPr bwMode="auto">
                          <a:xfrm>
                            <a:off x="0" y="0"/>
                            <a:ext cx="4027170" cy="3484715"/>
                          </a:xfrm>
                          <a:prstGeom prst="rect">
                            <a:avLst/>
                          </a:prstGeom>
                          <a:noFill/>
                          <a:ln w="9525">
                            <a:noFill/>
                            <a:headEnd/>
                            <a:tailEnd/>
                          </a:ln>
                        </pic:spPr>
                      </pic:pic>
                    </a:graphicData>
                  </a:graphic>
                </wp:inline>
              </w:drawing>
            </w:r>
          </w:p>
          <w:p>
            <w:pPr>
              <w:jc w:val="center"/>
            </w:pPr>
            <w:pPr>
              <w:jc w:val="start"/>
              <w:spacing w:before="200"/>
              <w:pStyle w:val="ImageCaption"/>
            </w:pPr>
            <w:r>
              <w:t xml:space="preserve">Supplementary Fig. 6: Longitudinal variation in flow velocity and discharge along the sampling transect. Flow velocity and discharge were measured from N01 to N13. Discharge showed an overall downstream decrease, from approximately 195 m</w:t>
            </w:r>
            <w:r>
              <w:rPr>
                <w:vertAlign w:val="superscript"/>
              </w:rPr>
              <w:t xml:space="preserve">3</w:t>
            </w:r>
            <w:r>
              <w:t xml:space="preserve"> </w:t>
            </w:r>
            <w:r>
              <w:t xml:space="preserve">s</w:t>
            </w:r>
            <w:r>
              <w:rPr>
                <w:vertAlign w:val="superscript"/>
              </w:rPr>
              <w:t xml:space="preserve">-1</w:t>
            </w:r>
            <w:r>
              <w:t xml:space="preserve"> </w:t>
            </w:r>
            <w:r>
              <w:t xml:space="preserve">at N01 to 40–45 m</w:t>
            </w:r>
            <w:r>
              <w:rPr>
                <w:vertAlign w:val="superscript"/>
              </w:rPr>
              <w:t xml:space="preserve">3</w:t>
            </w:r>
            <w:r>
              <w:t xml:space="preserve"> </w:t>
            </w:r>
            <w:r>
              <w:t xml:space="preserve">s</w:t>
            </w:r>
            <w:r>
              <w:rPr>
                <w:vertAlign w:val="superscript"/>
              </w:rPr>
              <w:t xml:space="preserve">-1</w:t>
            </w:r>
            <w:r>
              <w:t xml:space="preserve"> </w:t>
            </w:r>
            <w:r>
              <w:t xml:space="preserve">at N12–N13, with a local rebound at N05. Flow velocity varied among sites, ranging from approximately 0.48 to 1.16 m s</w:t>
            </w:r>
            <w:r>
              <w:rPr>
                <w:vertAlign w:val="superscript"/>
              </w:rPr>
              <w:t xml:space="preserve">-1</w:t>
            </w:r>
            <w:r>
              <w:t xml:space="preserve">. The maximum velocity occurred at N04, whereas N12 showed the lowest velocity. N13 maintained low discharge but showed a slight recovery in flow velocity compared with N12.</w:t>
            </w:r>
          </w:p>
          <w:bookmarkEnd w:id="60"/>
        </w:tc>
      </w:tr>
    </w:tbl>
    <w:p>
      <w:r>
        <w:br w:type="page"/>
      </w:r>
    </w:p>
    <w:bookmarkEnd w:id="61"/>
    <w:bookmarkStart w:id="66" w:name="sfg-chla"/>
    <w:p>
      <w:pPr>
        <w:pStyle w:val="Heading2"/>
      </w:pPr>
      <w:hyperlink w:anchor="sfg-chla">
        <w:r>
          <w:rPr>
            <w:rStyle w:val="Hyperlink"/>
          </w:rPr>
          <w:t xml:space="preserve">Supplementary Fig. 7</w:t>
        </w:r>
      </w:hyperlink>
    </w:p>
    <w:tbl>
      <w:tblPr>
        <w:tblStyle w:val="Table"/>
        <w:tblW w:type="pct" w:w="5000"/>
        <w:tblLayout w:type="fixed"/>
        <w:tblLook w:firstRow="0" w:lastRow="0" w:firstColumn="0" w:lastColumn="0" w:noHBand="0" w:noVBand="0" w:val="0000"/>
      </w:tblPr>
      <w:tblGrid>
        <w:gridCol w:w="7920"/>
      </w:tblGrid>
      <w:tr>
        <w:tc>
          <w:tcPr/>
          <w:bookmarkStart w:id="65" w:name="sfg-chla"/>
          <w:p>
            <w:pPr>
              <w:jc w:val="center"/>
            </w:pPr>
            <w:r>
              <w:drawing>
                <wp:inline>
                  <wp:extent cx="4027170" cy="2413848"/>
                  <wp:effectExtent b="0" l="0" r="0" t="0"/>
                  <wp:docPr descr="" title="" id="63" name="Picture"/>
                  <a:graphic>
                    <a:graphicData uri="http://schemas.openxmlformats.org/drawingml/2006/picture">
                      <pic:pic>
                        <pic:nvPicPr>
                          <pic:cNvPr descr="../figures/chla.png" id="64" name="Picture"/>
                          <pic:cNvPicPr>
                            <a:picLocks noChangeArrowheads="1" noChangeAspect="1"/>
                          </pic:cNvPicPr>
                        </pic:nvPicPr>
                        <pic:blipFill>
                          <a:blip r:embed="rId62"/>
                          <a:stretch>
                            <a:fillRect/>
                          </a:stretch>
                        </pic:blipFill>
                        <pic:spPr bwMode="auto">
                          <a:xfrm>
                            <a:off x="0" y="0"/>
                            <a:ext cx="4027170" cy="2413848"/>
                          </a:xfrm>
                          <a:prstGeom prst="rect">
                            <a:avLst/>
                          </a:prstGeom>
                          <a:noFill/>
                          <a:ln w="9525">
                            <a:noFill/>
                            <a:headEnd/>
                            <a:tailEnd/>
                          </a:ln>
                        </pic:spPr>
                      </pic:pic>
                    </a:graphicData>
                  </a:graphic>
                </wp:inline>
              </w:drawing>
            </w:r>
          </w:p>
          <w:p>
            <w:pPr>
              <w:jc w:val="center"/>
            </w:pPr>
            <w:pPr>
              <w:jc w:val="start"/>
              <w:spacing w:before="200"/>
              <w:pStyle w:val="ImageCaption"/>
            </w:pPr>
            <w:r>
              <w:t xml:space="preserve">Supplementary Fig. 7: Longitudinal distribution of chlorophyll</w:t>
            </w:r>
            <w:r>
              <w:t xml:space="preserve"> </w:t>
            </w:r>
            <w:r>
              <w:rPr>
                <w:i/>
                <w:iCs/>
              </w:rPr>
              <w:t xml:space="preserve">a</w:t>
            </w:r>
            <w:r>
              <w:t xml:space="preserve"> </w:t>
            </w:r>
            <w:r>
              <w:t xml:space="preserve">concentrations across sampling sites. Chlorophyll</w:t>
            </w:r>
            <w:r>
              <w:t xml:space="preserve"> </w:t>
            </w:r>
            <w:r>
              <w:rPr>
                <w:i/>
                <w:iCs/>
              </w:rPr>
              <w:t xml:space="preserve">a</w:t>
            </w:r>
            <w:r>
              <w:t xml:space="preserve"> </w:t>
            </w:r>
            <w:r>
              <w:t xml:space="preserve">concentrations were summarized by box plots from N02 to N13. The median values remained within approximately 8 ~ 10 μg L</w:t>
            </w:r>
            <w:r>
              <w:rPr>
                <w:vertAlign w:val="superscript"/>
              </w:rPr>
              <w:t xml:space="preserve">-1</w:t>
            </w:r>
            <w:r>
              <w:t xml:space="preserve"> </w:t>
            </w:r>
            <w:r>
              <w:t xml:space="preserve">at N02–N07 and increased to approximately 12 ~ 17 μg L</w:t>
            </w:r>
            <w:r>
              <w:rPr>
                <w:vertAlign w:val="superscript"/>
              </w:rPr>
              <w:t xml:space="preserve">-1</w:t>
            </w:r>
            <w:r>
              <w:t xml:space="preserve"> </w:t>
            </w:r>
            <w:r>
              <w:t xml:space="preserve">at N08–N13. Mean concentrations increased from approximately 9–10 μg L</w:t>
            </w:r>
            <w:r>
              <w:rPr>
                <w:vertAlign w:val="superscript"/>
              </w:rPr>
              <w:t xml:space="preserve">-1</w:t>
            </w:r>
            <w:r>
              <w:t xml:space="preserve"> </w:t>
            </w:r>
            <w:r>
              <w:t xml:space="preserve">at N02–N05 to approximately 17–18 μg L</w:t>
            </w:r>
            <w:r>
              <w:rPr>
                <w:vertAlign w:val="superscript"/>
              </w:rPr>
              <w:t xml:space="preserve">-1</w:t>
            </w:r>
            <w:r>
              <w:t xml:space="preserve"> </w:t>
            </w:r>
            <w:r>
              <w:t xml:space="preserve">at N11–N13. The upper whiskers reached approximately 34–40 μg L</w:t>
            </w:r>
            <w:r>
              <w:rPr>
                <w:vertAlign w:val="superscript"/>
              </w:rPr>
              <w:t xml:space="preserve">-1</w:t>
            </w:r>
            <w:r>
              <w:t xml:space="preserve"> </w:t>
            </w:r>
            <w:r>
              <w:t xml:space="preserve">at N11–N13. A single outlier of approximately 19–20 μg L</w:t>
            </w:r>
            <w:r>
              <w:rPr>
                <w:vertAlign w:val="superscript"/>
              </w:rPr>
              <w:t xml:space="preserve">-1</w:t>
            </w:r>
            <w:r>
              <w:t xml:space="preserve"> </w:t>
            </w:r>
            <w:r>
              <w:t xml:space="preserve">was recorded at N05, exceeding the 1.5 IQR range for each site.</w:t>
            </w:r>
          </w:p>
          <w:bookmarkEnd w:id="65"/>
        </w:tc>
      </w:tr>
    </w:tbl>
    <w:p>
      <w:r>
        <w:br w:type="page"/>
      </w:r>
    </w:p>
    <w:bookmarkEnd w:id="66"/>
    <w:bookmarkStart w:id="71" w:name="sfg-proteincontent"/>
    <w:p>
      <w:pPr>
        <w:pStyle w:val="Heading2"/>
      </w:pPr>
      <w:hyperlink w:anchor="sfg-proteincontent">
        <w:r>
          <w:rPr>
            <w:rStyle w:val="Hyperlink"/>
          </w:rPr>
          <w:t xml:space="preserve">Supplementary Fig. 8</w:t>
        </w:r>
      </w:hyperlink>
    </w:p>
    <w:tbl>
      <w:tblPr>
        <w:tblStyle w:val="Table"/>
        <w:tblW w:type="pct" w:w="5000"/>
        <w:tblLayout w:type="fixed"/>
        <w:tblLook w:firstRow="0" w:lastRow="0" w:firstColumn="0" w:lastColumn="0" w:noHBand="0" w:noVBand="0" w:val="0000"/>
      </w:tblPr>
      <w:tblGrid>
        <w:gridCol w:w="7920"/>
      </w:tblGrid>
      <w:tr>
        <w:tc>
          <w:tcPr/>
          <w:bookmarkStart w:id="70" w:name="sfg-proteincontent"/>
          <w:p>
            <w:pPr>
              <w:jc w:val="center"/>
            </w:pPr>
            <w:r>
              <w:drawing>
                <wp:inline>
                  <wp:extent cx="4027170" cy="2194209"/>
                  <wp:effectExtent b="0" l="0" r="0" t="0"/>
                  <wp:docPr descr="" title="" id="68" name="Picture"/>
                  <a:graphic>
                    <a:graphicData uri="http://schemas.openxmlformats.org/drawingml/2006/picture">
                      <pic:pic>
                        <pic:nvPicPr>
                          <pic:cNvPr descr="../figures/proteincontent.png" id="69" name="Picture"/>
                          <pic:cNvPicPr>
                            <a:picLocks noChangeArrowheads="1" noChangeAspect="1"/>
                          </pic:cNvPicPr>
                        </pic:nvPicPr>
                        <pic:blipFill>
                          <a:blip r:embed="rId67"/>
                          <a:stretch>
                            <a:fillRect/>
                          </a:stretch>
                        </pic:blipFill>
                        <pic:spPr bwMode="auto">
                          <a:xfrm>
                            <a:off x="0" y="0"/>
                            <a:ext cx="4027170" cy="2194209"/>
                          </a:xfrm>
                          <a:prstGeom prst="rect">
                            <a:avLst/>
                          </a:prstGeom>
                          <a:noFill/>
                          <a:ln w="9525">
                            <a:noFill/>
                            <a:headEnd/>
                            <a:tailEnd/>
                          </a:ln>
                        </pic:spPr>
                      </pic:pic>
                    </a:graphicData>
                  </a:graphic>
                </wp:inline>
              </w:drawing>
            </w:r>
          </w:p>
          <w:p>
            <w:pPr>
              <w:jc w:val="center"/>
            </w:pPr>
            <w:pPr>
              <w:jc w:val="start"/>
              <w:spacing w:before="200"/>
              <w:pStyle w:val="ImageCaption"/>
            </w:pPr>
            <w:r>
              <w:t xml:space="preserve">Supplementary Fig. 8: Longitudinal distribution of EPS-associated protein content in canal-slope sediment–biofilm matrices at 30 cm depth. Bars denote protein contents normalized to the dry mass of scraped sediment–biofilm matrices and expressed as mg g</w:t>
            </w:r>
            <w:r>
              <w:rPr>
                <w:vertAlign w:val="superscript"/>
              </w:rPr>
              <w:t xml:space="preserve">-1</w:t>
            </w:r>
            <w:r>
              <w:t xml:space="preserve">. The highlighted N04 section showed the highest protein content, reaching 4.81 mg g</w:t>
            </w:r>
            <w:r>
              <w:rPr>
                <w:vertAlign w:val="superscript"/>
              </w:rPr>
              <w:t xml:space="preserve">-1</w:t>
            </w:r>
            <w:r>
              <w:t xml:space="preserve">, indicating localized enrichment of proteinaceous extracellular materials at the 30 cm attachment-active layer.</w:t>
            </w:r>
          </w:p>
          <w:bookmarkEnd w:id="70"/>
        </w:tc>
      </w:tr>
    </w:tbl>
    <w:p>
      <w:r>
        <w:br w:type="page"/>
      </w:r>
    </w:p>
    <w:bookmarkEnd w:id="71"/>
    <w:bookmarkStart w:id="76" w:name="sfg-moisturecontent"/>
    <w:p>
      <w:pPr>
        <w:pStyle w:val="Heading2"/>
      </w:pPr>
      <w:hyperlink w:anchor="sfg-moisturecontent">
        <w:r>
          <w:rPr>
            <w:rStyle w:val="Hyperlink"/>
          </w:rPr>
          <w:t xml:space="preserve">Supplementary Fig. 9</w:t>
        </w:r>
      </w:hyperlink>
    </w:p>
    <w:tbl>
      <w:tblPr>
        <w:tblStyle w:val="Table"/>
        <w:tblW w:type="pct" w:w="5000"/>
        <w:tblLayout w:type="fixed"/>
        <w:tblLook w:firstRow="0" w:lastRow="0" w:firstColumn="0" w:lastColumn="0" w:noHBand="0" w:noVBand="0" w:val="0000"/>
      </w:tblPr>
      <w:tblGrid>
        <w:gridCol w:w="7920"/>
      </w:tblGrid>
      <w:tr>
        <w:tc>
          <w:tcPr/>
          <w:bookmarkStart w:id="75" w:name="sfg-moisturecontent"/>
          <w:p>
            <w:pPr>
              <w:jc w:val="center"/>
            </w:pPr>
            <w:r>
              <w:drawing>
                <wp:inline>
                  <wp:extent cx="4602480" cy="2094812"/>
                  <wp:effectExtent b="0" l="0" r="0" t="0"/>
                  <wp:docPr descr="" title="" id="73" name="Picture"/>
                  <a:graphic>
                    <a:graphicData uri="http://schemas.openxmlformats.org/drawingml/2006/picture">
                      <pic:pic>
                        <pic:nvPicPr>
                          <pic:cNvPr descr="../figures/moisturecontent.png" id="74" name="Picture"/>
                          <pic:cNvPicPr>
                            <a:picLocks noChangeArrowheads="1" noChangeAspect="1"/>
                          </pic:cNvPicPr>
                        </pic:nvPicPr>
                        <pic:blipFill>
                          <a:blip r:embed="rId72"/>
                          <a:stretch>
                            <a:fillRect/>
                          </a:stretch>
                        </pic:blipFill>
                        <pic:spPr bwMode="auto">
                          <a:xfrm>
                            <a:off x="0" y="0"/>
                            <a:ext cx="4602480" cy="2094812"/>
                          </a:xfrm>
                          <a:prstGeom prst="rect">
                            <a:avLst/>
                          </a:prstGeom>
                          <a:noFill/>
                          <a:ln w="9525">
                            <a:noFill/>
                            <a:headEnd/>
                            <a:tailEnd/>
                          </a:ln>
                        </pic:spPr>
                      </pic:pic>
                    </a:graphicData>
                  </a:graphic>
                </wp:inline>
              </w:drawing>
            </w:r>
          </w:p>
          <w:p>
            <w:pPr>
              <w:jc w:val="center"/>
            </w:pPr>
            <w:pPr>
              <w:jc w:val="start"/>
              <w:spacing w:before="200"/>
              <w:pStyle w:val="ImageCaption"/>
            </w:pPr>
            <w:r>
              <w:t xml:space="preserve">Supplementary Fig. 9: Moisture-content variation of laboratory-cultured</w:t>
            </w:r>
            <w:r>
              <w:t xml:space="preserve"> </w:t>
            </w:r>
            <w:r>
              <w:rPr>
                <w:i/>
                <w:iCs/>
              </w:rPr>
              <w:t xml:space="preserve">Cladophora</w:t>
            </w:r>
            <w:r>
              <w:t xml:space="preserve"> </w:t>
            </w:r>
            <w:r>
              <w:t xml:space="preserve">during the phosphorus-enrichment experiment. Moisture content of</w:t>
            </w:r>
            <w:r>
              <w:t xml:space="preserve"> </w:t>
            </w:r>
            <w:r>
              <w:rPr>
                <w:i/>
                <w:iCs/>
              </w:rPr>
              <w:t xml:space="preserve">Cladophora</w:t>
            </w:r>
            <w:r>
              <w:t xml:space="preserve"> </w:t>
            </w:r>
            <w:r>
              <w:t xml:space="preserve">initially inoculated at 0.5 g fresh weight under +P conditions (A); Moisture content of</w:t>
            </w:r>
            <w:r>
              <w:t xml:space="preserve"> </w:t>
            </w:r>
            <w:r>
              <w:rPr>
                <w:i/>
                <w:iCs/>
              </w:rPr>
              <w:t xml:space="preserve">Cladophora</w:t>
            </w:r>
            <w:r>
              <w:t xml:space="preserve"> </w:t>
            </w:r>
            <w:r>
              <w:t xml:space="preserve">initially inoculated at 0.5 g fresh weight under −P conditions. Moisture content was calculated from the mass loss after oven drying relative to the initial wet mass at each sampling point. The variation in moisture content indicates that fresh weight alone may not accurately reflect biomass accumulation during laboratory culture; therefore, dry-weight normalization was used for EPS and APS yield calculations.</w:t>
            </w:r>
          </w:p>
          <w:bookmarkEnd w:id="75"/>
        </w:tc>
      </w:tr>
    </w:tbl>
    <w:p>
      <w:r>
        <w:br w:type="page"/>
      </w:r>
    </w:p>
    <w:bookmarkEnd w:id="76"/>
    <w:bookmarkStart w:id="81" w:name="sfg-wqcorrelation"/>
    <w:p>
      <w:pPr>
        <w:pStyle w:val="Heading2"/>
      </w:pPr>
      <w:hyperlink w:anchor="sfg-wqcorrelation">
        <w:r>
          <w:rPr>
            <w:rStyle w:val="Hyperlink"/>
          </w:rPr>
          <w:t xml:space="preserve">Supplementary Fig. 10</w:t>
        </w:r>
      </w:hyperlink>
    </w:p>
    <w:tbl>
      <w:tblPr>
        <w:tblStyle w:val="Table"/>
        <w:tblW w:type="pct" w:w="5000"/>
        <w:tblLayout w:type="fixed"/>
        <w:tblLook w:firstRow="0" w:lastRow="0" w:firstColumn="0" w:lastColumn="0" w:noHBand="0" w:noVBand="0" w:val="0000"/>
      </w:tblPr>
      <w:tblGrid>
        <w:gridCol w:w="7920"/>
      </w:tblGrid>
      <w:tr>
        <w:tc>
          <w:tcPr/>
          <w:bookmarkStart w:id="80" w:name="sfg-wqcorrelation"/>
          <w:p>
            <w:pPr>
              <w:jc w:val="center"/>
            </w:pPr>
            <w:r>
              <w:drawing>
                <wp:inline>
                  <wp:extent cx="5465445" cy="2260785"/>
                  <wp:effectExtent b="0" l="0" r="0" t="0"/>
                  <wp:docPr descr="" title="" id="78" name="Picture"/>
                  <a:graphic>
                    <a:graphicData uri="http://schemas.openxmlformats.org/drawingml/2006/picture">
                      <pic:pic>
                        <pic:nvPicPr>
                          <pic:cNvPr descr="../figures/wqcorrelation.png" id="79" name="Picture"/>
                          <pic:cNvPicPr>
                            <a:picLocks noChangeArrowheads="1" noChangeAspect="1"/>
                          </pic:cNvPicPr>
                        </pic:nvPicPr>
                        <pic:blipFill>
                          <a:blip r:embed="rId77"/>
                          <a:stretch>
                            <a:fillRect/>
                          </a:stretch>
                        </pic:blipFill>
                        <pic:spPr bwMode="auto">
                          <a:xfrm>
                            <a:off x="0" y="0"/>
                            <a:ext cx="5465445" cy="2260785"/>
                          </a:xfrm>
                          <a:prstGeom prst="rect">
                            <a:avLst/>
                          </a:prstGeom>
                          <a:noFill/>
                          <a:ln w="9525">
                            <a:noFill/>
                            <a:headEnd/>
                            <a:tailEnd/>
                          </a:ln>
                        </pic:spPr>
                      </pic:pic>
                    </a:graphicData>
                  </a:graphic>
                </wp:inline>
              </w:drawing>
            </w:r>
          </w:p>
          <w:p>
            <w:pPr>
              <w:jc w:val="center"/>
            </w:pPr>
            <w:pPr>
              <w:jc w:val="start"/>
              <w:spacing w:before="200"/>
              <w:pStyle w:val="ImageCaption"/>
            </w:pPr>
            <w:r>
              <w:t xml:space="preserve">Supplementary Fig. 10: Site-specific correlation matrices among hydrological, physicochemical, and algal biomass variables at representative sampling sites. Pairwise correlations were calculated for N01, N05, N09, and N12. The variables include water temperature, pH, DO, COD</w:t>
            </w:r>
            <w:r>
              <w:rPr>
                <w:vertAlign w:val="subscript"/>
              </w:rPr>
              <w:t xml:space="preserve">Mn</w:t>
            </w:r>
            <w:r>
              <w:t xml:space="preserve">, total nitrogen (Total N), total phosphorus (Total P), chlorophyll</w:t>
            </w:r>
            <w:r>
              <w:t xml:space="preserve"> </w:t>
            </w:r>
            <w:r>
              <w:rPr>
                <w:i/>
                <w:iCs/>
              </w:rPr>
              <w:t xml:space="preserve">a</w:t>
            </w:r>
            <w:r>
              <w:t xml:space="preserve"> </w:t>
            </w:r>
            <w:r>
              <w:t xml:space="preserve">(Chl</w:t>
            </w:r>
            <w:r>
              <w:t xml:space="preserve"> </w:t>
            </w:r>
            <w:r>
              <w:rPr>
                <w:i/>
                <w:iCs/>
              </w:rPr>
              <w:t xml:space="preserve">a</w:t>
            </w:r>
            <w:r>
              <w:t xml:space="preserve">), flow velocity, and flow volume. Cell values represent correlation coefficients, with the color scale ranging from −1 to 1. Flow velocity and flow volume showed consistently positive correlations across the four sites, with coefficients of 0.800–0.987. Site-specific correlation structures were recorded: N01 showed positive correlations among temperature, pH, DO, and COD</w:t>
            </w:r>
            <w:r>
              <w:rPr>
                <w:vertAlign w:val="subscript"/>
              </w:rPr>
              <w:t xml:space="preserve">Mn</w:t>
            </w:r>
            <w:r>
              <w:t xml:space="preserve">; N05 showed negative correlations between temperature and DO and between DO and CODMn; N09 showed positive correlations of temperature with COD</w:t>
            </w:r>
            <w:r>
              <w:rPr>
                <w:vertAlign w:val="subscript"/>
              </w:rPr>
              <w:t xml:space="preserve">Mn</w:t>
            </w:r>
            <w:r>
              <w:t xml:space="preserve">, Chl</w:t>
            </w:r>
            <w:r>
              <w:t xml:space="preserve"> </w:t>
            </w:r>
            <w:r>
              <w:rPr>
                <w:i/>
                <w:iCs/>
              </w:rPr>
              <w:t xml:space="preserve">a</w:t>
            </w:r>
            <w:r>
              <w:t xml:space="preserve">, flow velocity, and flow volume; and N12 showed negative correlations of flow velocity and flow volume with temperature, pH, and Chl</w:t>
            </w:r>
            <w:r>
              <w:t xml:space="preserve"> </w:t>
            </w:r>
            <w:r>
              <w:rPr>
                <w:i/>
                <w:iCs/>
              </w:rPr>
              <w:t xml:space="preserve">a</w:t>
            </w:r>
            <w:r>
              <w:t xml:space="preserve">.</w:t>
            </w:r>
          </w:p>
          <w:bookmarkEnd w:id="80"/>
        </w:tc>
      </w:tr>
    </w:tbl>
    <w:p>
      <w:r>
        <w:br w:type="page"/>
      </w:r>
    </w:p>
    <w:bookmarkEnd w:id="81"/>
    <w:bookmarkStart w:id="83" w:name="stb-wqregression"/>
    <w:p>
      <w:pPr>
        <w:pStyle w:val="Heading2"/>
      </w:pPr>
      <w:hyperlink w:anchor="stb-wqregression">
        <w:r>
          <w:rPr>
            <w:rStyle w:val="Hyperlink"/>
          </w:rPr>
          <w:t xml:space="preserve">Supplementary Table 2</w:t>
        </w:r>
      </w:hyperlink>
    </w:p>
    <w:tbl>
      <w:tblPr>
        <w:tblStyle w:val="Table"/>
        <w:tblW w:type="pct" w:w="5000"/>
        <w:tblLayout w:type="fixed"/>
        <w:tblLook w:firstRow="0" w:lastRow="0" w:firstColumn="0" w:lastColumn="0" w:noHBand="0" w:noVBand="0" w:val="0000"/>
      </w:tblPr>
      <w:tblGrid>
        <w:gridCol w:w="7920"/>
      </w:tblGrid>
      <w:tr>
        <w:tc>
          <w:tcPr/>
          <w:bookmarkStart w:id="82" w:name="stb-wqregression"/>
          <w:tbl>
            <w:tblPr>
              <w:tblStyle w:val="Table"/>
              <w:tblW w:type="pct" w:w="5000"/>
              <w:tblLayout w:type="fixed"/>
              <w:tblLook w:firstRow="1" w:lastRow="0" w:firstColumn="0" w:lastColumn="0" w:noHBand="0" w:noVBand="0" w:val="0020"/>
            </w:tblPr>
            <w:tblGrid>
              <w:gridCol w:w="1244"/>
              <w:gridCol w:w="1131"/>
              <w:gridCol w:w="1810"/>
              <w:gridCol w:w="1018"/>
              <w:gridCol w:w="1018"/>
              <w:gridCol w:w="1697"/>
            </w:tblGrid>
            <w:tr>
              <w:trPr>
                <w:tblHeader w:val="on"/>
              </w:trPr>
              <w:tc>
                <w:tcPr/>
                <w:p>
                  <w:pPr>
                    <w:pStyle w:val="Compact"/>
                    <w:jc w:val="center"/>
                  </w:pPr>
                  <w:r>
                    <w:t xml:space="preserve">Predictor</w:t>
                  </w:r>
                </w:p>
              </w:tc>
              <w:tc>
                <w:tcPr/>
                <w:p>
                  <w:pPr>
                    <w:pStyle w:val="Compact"/>
                    <w:jc w:val="center"/>
                  </w:pPr>
                  <w:r>
                    <w:t xml:space="preserve">Estimate</w:t>
                  </w:r>
                </w:p>
              </w:tc>
              <w:tc>
                <w:tcPr/>
                <w:p>
                  <w:pPr>
                    <w:pStyle w:val="Compact"/>
                    <w:jc w:val="center"/>
                  </w:pPr>
                  <w:r>
                    <w:t xml:space="preserve">Standard error</w:t>
                  </w:r>
                </w:p>
              </w:tc>
              <w:tc>
                <w:tcPr/>
                <w:p>
                  <w:pPr>
                    <w:pStyle w:val="Compact"/>
                    <w:jc w:val="center"/>
                  </w:pPr>
                  <w:r>
                    <w:t xml:space="preserve">t value</w:t>
                  </w:r>
                </w:p>
              </w:tc>
              <w:tc>
                <w:tcPr/>
                <w:p>
                  <w:pPr>
                    <w:pStyle w:val="Compact"/>
                    <w:jc w:val="center"/>
                  </w:pPr>
                  <w:r>
                    <w:t xml:space="preserve">P value</w:t>
                  </w:r>
                </w:p>
              </w:tc>
              <w:tc>
                <w:tcPr/>
                <w:p>
                  <w:pPr>
                    <w:pStyle w:val="Compact"/>
                    <w:jc w:val="center"/>
                  </w:pPr>
                  <w:r>
                    <w:t xml:space="preserve">Significance</w:t>
                  </w:r>
                </w:p>
              </w:tc>
            </w:tr>
            <w:tr>
              <w:tc>
                <w:tcPr/>
                <w:p>
                  <w:pPr>
                    <w:pStyle w:val="Compact"/>
                    <w:jc w:val="center"/>
                  </w:pPr>
                  <w:r>
                    <w:t xml:space="preserve">COD</w:t>
                  </w:r>
                  <w:r>
                    <w:t xml:space="preserve">Mn</w:t>
                  </w:r>
                </w:p>
              </w:tc>
              <w:tc>
                <w:tcPr/>
                <w:p>
                  <w:pPr>
                    <w:pStyle w:val="Compact"/>
                    <w:jc w:val="center"/>
                  </w:pPr>
                  <w:r>
                    <w:t xml:space="preserve">12.876</w:t>
                  </w:r>
                </w:p>
              </w:tc>
              <w:tc>
                <w:tcPr/>
                <w:p>
                  <w:pPr>
                    <w:pStyle w:val="Compact"/>
                    <w:jc w:val="center"/>
                  </w:pPr>
                  <w:r>
                    <w:t xml:space="preserve">1.567</w:t>
                  </w:r>
                </w:p>
              </w:tc>
              <w:tc>
                <w:tcPr/>
                <w:p>
                  <w:pPr>
                    <w:pStyle w:val="Compact"/>
                    <w:jc w:val="center"/>
                  </w:pPr>
                  <w:r>
                    <w:t xml:space="preserve">8.215</w:t>
                  </w:r>
                </w:p>
              </w:tc>
              <w:tc>
                <w:tcPr/>
                <w:p>
                  <w:pPr>
                    <w:pStyle w:val="Compact"/>
                    <w:jc w:val="center"/>
                  </w:pPr>
                  <w:r>
                    <w:t xml:space="preserve">&lt;0.001</w:t>
                  </w:r>
                </w:p>
              </w:tc>
              <w:tc>
                <w:tcPr/>
                <w:p>
                  <w:pPr>
                    <w:pStyle w:val="Compact"/>
                    <w:jc w:val="center"/>
                  </w:pPr>
                  <w:r>
                    <w:t xml:space="preserve">***</w:t>
                  </w:r>
                </w:p>
              </w:tc>
            </w:tr>
            <w:tr>
              <w:tc>
                <w:tcPr/>
                <w:p>
                  <w:pPr>
                    <w:pStyle w:val="Compact"/>
                    <w:jc w:val="center"/>
                  </w:pPr>
                  <w:r>
                    <w:t xml:space="preserve">Temperature</w:t>
                  </w:r>
                </w:p>
              </w:tc>
              <w:tc>
                <w:tcPr/>
                <w:p>
                  <w:pPr>
                    <w:pStyle w:val="Compact"/>
                    <w:jc w:val="center"/>
                  </w:pPr>
                  <w:r>
                    <w:t xml:space="preserve">1.987</w:t>
                  </w:r>
                </w:p>
              </w:tc>
              <w:tc>
                <w:tcPr/>
                <w:p>
                  <w:pPr>
                    <w:pStyle w:val="Compact"/>
                    <w:jc w:val="center"/>
                  </w:pPr>
                  <w:r>
                    <w:t xml:space="preserve">0.298</w:t>
                  </w:r>
                </w:p>
              </w:tc>
              <w:tc>
                <w:tcPr/>
                <w:p>
                  <w:pPr>
                    <w:pStyle w:val="Compact"/>
                    <w:jc w:val="center"/>
                  </w:pPr>
                  <w:r>
                    <w:t xml:space="preserve">6.668</w:t>
                  </w:r>
                </w:p>
              </w:tc>
              <w:tc>
                <w:tcPr/>
                <w:p>
                  <w:pPr>
                    <w:pStyle w:val="Compact"/>
                    <w:jc w:val="center"/>
                  </w:pPr>
                  <w:r>
                    <w:t xml:space="preserve">&lt;0.001</w:t>
                  </w:r>
                </w:p>
              </w:tc>
              <w:tc>
                <w:tcPr/>
                <w:p>
                  <w:pPr>
                    <w:pStyle w:val="Compact"/>
                    <w:jc w:val="center"/>
                  </w:pPr>
                  <w:r>
                    <w:t xml:space="preserve">***</w:t>
                  </w:r>
                </w:p>
              </w:tc>
            </w:tr>
            <w:tr>
              <w:tc>
                <w:tcPr/>
                <w:p>
                  <w:pPr>
                    <w:pStyle w:val="Compact"/>
                    <w:jc w:val="center"/>
                  </w:pPr>
                  <w:r>
                    <w:t xml:space="preserve">Flow velocity</w:t>
                  </w:r>
                </w:p>
              </w:tc>
              <w:tc>
                <w:tcPr/>
                <w:p>
                  <w:pPr>
                    <w:pStyle w:val="Compact"/>
                    <w:jc w:val="center"/>
                  </w:pPr>
                  <w:r>
                    <w:t xml:space="preserve">-8.765</w:t>
                  </w:r>
                </w:p>
              </w:tc>
              <w:tc>
                <w:tcPr/>
                <w:p>
                  <w:pPr>
                    <w:pStyle w:val="Compact"/>
                    <w:jc w:val="center"/>
                  </w:pPr>
                  <w:r>
                    <w:t xml:space="preserve">8.987</w:t>
                  </w:r>
                </w:p>
              </w:tc>
              <w:tc>
                <w:tcPr/>
                <w:p>
                  <w:pPr>
                    <w:pStyle w:val="Compact"/>
                    <w:jc w:val="center"/>
                  </w:pPr>
                  <w:r>
                    <w:t xml:space="preserve">-0.975</w:t>
                  </w:r>
                </w:p>
              </w:tc>
              <w:tc>
                <w:tcPr/>
                <w:p>
                  <w:pPr>
                    <w:pStyle w:val="Compact"/>
                    <w:jc w:val="center"/>
                  </w:pPr>
                  <w:r>
                    <w:t xml:space="preserve">0.333</w:t>
                  </w:r>
                </w:p>
              </w:tc>
              <w:tc>
                <w:tcPr/>
                <w:p>
                  <w:pPr>
                    <w:pStyle w:val="Compact"/>
                    <w:jc w:val="center"/>
                  </w:pPr>
                  <w:r>
                    <w:t xml:space="preserve">ns</w:t>
                  </w:r>
                </w:p>
              </w:tc>
            </w:tr>
            <w:tr>
              <w:tc>
                <w:tcPr/>
                <w:p>
                  <w:pPr>
                    <w:pStyle w:val="Compact"/>
                    <w:jc w:val="center"/>
                  </w:pPr>
                  <w:r>
                    <w:t xml:space="preserve">DO</w:t>
                  </w:r>
                </w:p>
              </w:tc>
              <w:tc>
                <w:tcPr/>
                <w:p>
                  <w:pPr>
                    <w:pStyle w:val="Compact"/>
                    <w:jc w:val="center"/>
                  </w:pPr>
                  <w:r>
                    <w:t xml:space="preserve">-0.567</w:t>
                  </w:r>
                </w:p>
              </w:tc>
              <w:tc>
                <w:tcPr/>
                <w:p>
                  <w:pPr>
                    <w:pStyle w:val="Compact"/>
                    <w:jc w:val="center"/>
                  </w:pPr>
                  <w:r>
                    <w:t xml:space="preserve">0.876</w:t>
                  </w:r>
                </w:p>
              </w:tc>
              <w:tc>
                <w:tcPr/>
                <w:p>
                  <w:pPr>
                    <w:pStyle w:val="Compact"/>
                    <w:jc w:val="center"/>
                  </w:pPr>
                  <w:r>
                    <w:t xml:space="preserve">-0.647</w:t>
                  </w:r>
                </w:p>
              </w:tc>
              <w:tc>
                <w:tcPr/>
                <w:p>
                  <w:pPr>
                    <w:pStyle w:val="Compact"/>
                    <w:jc w:val="center"/>
                  </w:pPr>
                  <w:r>
                    <w:t xml:space="preserve">0.520</w:t>
                  </w:r>
                </w:p>
              </w:tc>
              <w:tc>
                <w:tcPr/>
                <w:p>
                  <w:pPr>
                    <w:pStyle w:val="Compact"/>
                    <w:jc w:val="center"/>
                  </w:pPr>
                  <w:r>
                    <w:t xml:space="preserve">ns</w:t>
                  </w:r>
                </w:p>
              </w:tc>
            </w:tr>
            <w:tr>
              <w:tc>
                <w:tcPr/>
                <w:p>
                  <w:pPr>
                    <w:pStyle w:val="Compact"/>
                    <w:jc w:val="center"/>
                  </w:pPr>
                  <w:r>
                    <w:t xml:space="preserve">TN</w:t>
                  </w:r>
                </w:p>
              </w:tc>
              <w:tc>
                <w:tcPr/>
                <w:p>
                  <w:pPr>
                    <w:pStyle w:val="Compact"/>
                    <w:jc w:val="center"/>
                  </w:pPr>
                  <w:r>
                    <w:t xml:space="preserve">-6.234</w:t>
                  </w:r>
                </w:p>
              </w:tc>
              <w:tc>
                <w:tcPr/>
                <w:p>
                  <w:pPr>
                    <w:pStyle w:val="Compact"/>
                    <w:jc w:val="center"/>
                  </w:pPr>
                  <w:r>
                    <w:t xml:space="preserve">4.123</w:t>
                  </w:r>
                </w:p>
              </w:tc>
              <w:tc>
                <w:tcPr/>
                <w:p>
                  <w:pPr>
                    <w:pStyle w:val="Compact"/>
                    <w:jc w:val="center"/>
                  </w:pPr>
                  <w:r>
                    <w:t xml:space="preserve">-1.512</w:t>
                  </w:r>
                </w:p>
              </w:tc>
              <w:tc>
                <w:tcPr/>
                <w:p>
                  <w:pPr>
                    <w:pStyle w:val="Compact"/>
                    <w:jc w:val="center"/>
                  </w:pPr>
                  <w:r>
                    <w:t xml:space="preserve">0.136</w:t>
                  </w:r>
                </w:p>
              </w:tc>
              <w:tc>
                <w:tcPr/>
                <w:p>
                  <w:pPr>
                    <w:pStyle w:val="Compact"/>
                    <w:jc w:val="center"/>
                  </w:pPr>
                  <w:r>
                    <w:t xml:space="preserve">ns</w:t>
                  </w:r>
                </w:p>
              </w:tc>
            </w:tr>
            <w:tr>
              <w:tc>
                <w:tcPr/>
                <w:p>
                  <w:pPr>
                    <w:pStyle w:val="Compact"/>
                    <w:jc w:val="center"/>
                  </w:pPr>
                  <w:r>
                    <w:t xml:space="preserve">TP</w:t>
                  </w:r>
                </w:p>
              </w:tc>
              <w:tc>
                <w:tcPr/>
                <w:p>
                  <w:pPr>
                    <w:pStyle w:val="Compact"/>
                    <w:jc w:val="center"/>
                  </w:pPr>
                  <w:r>
                    <w:t xml:space="preserve">-23.456</w:t>
                  </w:r>
                </w:p>
              </w:tc>
              <w:tc>
                <w:tcPr/>
                <w:p>
                  <w:pPr>
                    <w:pStyle w:val="Compact"/>
                    <w:jc w:val="center"/>
                  </w:pPr>
                  <w:r>
                    <w:t xml:space="preserve">56.789</w:t>
                  </w:r>
                </w:p>
              </w:tc>
              <w:tc>
                <w:tcPr/>
                <w:p>
                  <w:pPr>
                    <w:pStyle w:val="Compact"/>
                    <w:jc w:val="center"/>
                  </w:pPr>
                  <w:r>
                    <w:t xml:space="preserve">-0.413</w:t>
                  </w:r>
                </w:p>
              </w:tc>
              <w:tc>
                <w:tcPr/>
                <w:p>
                  <w:pPr>
                    <w:pStyle w:val="Compact"/>
                    <w:jc w:val="center"/>
                  </w:pPr>
                  <w:r>
                    <w:t xml:space="preserve">0.681</w:t>
                  </w:r>
                </w:p>
              </w:tc>
              <w:tc>
                <w:tcPr/>
                <w:p>
                  <w:pPr>
                    <w:pStyle w:val="Compact"/>
                    <w:jc w:val="center"/>
                  </w:pPr>
                  <w:r>
                    <w:t xml:space="preserve">ns</w:t>
                  </w:r>
                </w:p>
              </w:tc>
            </w:tr>
            <w:tr>
              <w:tc>
                <w:tcPr/>
                <w:p>
                  <w:pPr>
                    <w:pStyle w:val="Compact"/>
                    <w:jc w:val="center"/>
                  </w:pPr>
                  <w:r>
                    <w:t xml:space="preserve">pH</w:t>
                  </w:r>
                </w:p>
              </w:tc>
              <w:tc>
                <w:tcPr/>
                <w:p>
                  <w:pPr>
                    <w:pStyle w:val="Compact"/>
                    <w:jc w:val="center"/>
                  </w:pPr>
                  <w:r>
                    <w:t xml:space="preserve">2.345</w:t>
                  </w:r>
                </w:p>
              </w:tc>
              <w:tc>
                <w:tcPr/>
                <w:p>
                  <w:pPr>
                    <w:pStyle w:val="Compact"/>
                    <w:jc w:val="center"/>
                  </w:pPr>
                  <w:r>
                    <w:t xml:space="preserve">2.567</w:t>
                  </w:r>
                </w:p>
              </w:tc>
              <w:tc>
                <w:tcPr/>
                <w:p>
                  <w:pPr>
                    <w:pStyle w:val="Compact"/>
                    <w:jc w:val="center"/>
                  </w:pPr>
                  <w:r>
                    <w:t xml:space="preserve">0.913</w:t>
                  </w:r>
                </w:p>
              </w:tc>
              <w:tc>
                <w:tcPr/>
                <w:p>
                  <w:pPr>
                    <w:pStyle w:val="Compact"/>
                    <w:jc w:val="center"/>
                  </w:pPr>
                  <w:r>
                    <w:t xml:space="preserve">0.365</w:t>
                  </w:r>
                </w:p>
              </w:tc>
              <w:tc>
                <w:tcPr/>
                <w:p>
                  <w:pPr>
                    <w:pStyle w:val="Compact"/>
                    <w:jc w:val="center"/>
                  </w:pPr>
                  <w:r>
                    <w:t xml:space="preserve">ns</w:t>
                  </w:r>
                </w:p>
              </w:tc>
            </w:tr>
            <w:tr>
              <w:tc>
                <w:tcPr/>
                <w:p>
                  <w:pPr>
                    <w:pStyle w:val="Compact"/>
                    <w:jc w:val="center"/>
                  </w:pPr>
                  <w:r>
                    <w:t xml:space="preserve">Discharge</w:t>
                  </w:r>
                </w:p>
              </w:tc>
              <w:tc>
                <w:tcPr/>
                <w:p>
                  <w:pPr>
                    <w:pStyle w:val="Compact"/>
                    <w:jc w:val="center"/>
                  </w:pPr>
                  <w:r>
                    <w:t xml:space="preserve">0.012</w:t>
                  </w:r>
                </w:p>
              </w:tc>
              <w:tc>
                <w:tcPr/>
                <w:p>
                  <w:pPr>
                    <w:pStyle w:val="Compact"/>
                    <w:jc w:val="center"/>
                  </w:pPr>
                  <w:r>
                    <w:t xml:space="preserve">0.045</w:t>
                  </w:r>
                </w:p>
              </w:tc>
              <w:tc>
                <w:tcPr/>
                <w:p>
                  <w:pPr>
                    <w:pStyle w:val="Compact"/>
                    <w:jc w:val="center"/>
                  </w:pPr>
                  <w:r>
                    <w:t xml:space="preserve">0.267</w:t>
                  </w:r>
                </w:p>
              </w:tc>
              <w:tc>
                <w:tcPr/>
                <w:p>
                  <w:pPr>
                    <w:pStyle w:val="Compact"/>
                    <w:jc w:val="center"/>
                  </w:pPr>
                  <w:r>
                    <w:t xml:space="preserve">0.790</w:t>
                  </w:r>
                </w:p>
              </w:tc>
              <w:tc>
                <w:tcPr/>
                <w:p>
                  <w:pPr>
                    <w:pStyle w:val="Compact"/>
                    <w:jc w:val="center"/>
                  </w:pPr>
                  <w:r>
                    <w:t xml:space="preserve">ns</w:t>
                  </w:r>
                </w:p>
              </w:tc>
            </w:tr>
          </w:tbl>
          <w:p>
            <w:pPr>
              <w:jc w:val="center"/>
            </w:pPr>
            <w:pPr>
              <w:jc w:val="start"/>
              <w:spacing w:before="200"/>
              <w:pStyle w:val="ImageCaption"/>
            </w:pPr>
            <w:r>
              <w:t xml:space="preserve">Supplementary Table 2: Regression coefficients of environmental predictors at site N06. Estimates, standard errors, t values, and P values were derived from the regression model for site N06. COD</w:t>
            </w:r>
            <w:r>
              <w:rPr>
                <w:vertAlign w:val="subscript"/>
              </w:rPr>
              <w:t xml:space="preserve">Mn</w:t>
            </w:r>
            <w:r>
              <w:t xml:space="preserve">, permanganate index; DO, dissolved oxygen; TN, total nitrogen; TP, total phosphorus. Flow velocity and discharge are expressed as m s</w:t>
            </w:r>
            <w:r>
              <w:rPr>
                <w:vertAlign w:val="superscript"/>
              </w:rPr>
              <w:t xml:space="preserve">-1</w:t>
            </w:r>
            <w:r>
              <w:t xml:space="preserve"> </w:t>
            </w:r>
            <w:r>
              <w:t xml:space="preserve">and m</w:t>
            </w:r>
            <w:r>
              <w:rPr>
                <w:vertAlign w:val="superscript"/>
              </w:rPr>
              <w:t xml:space="preserve">3</w:t>
            </w:r>
            <w:r>
              <w:t xml:space="preserve"> </w:t>
            </w:r>
            <w:r>
              <w:t xml:space="preserve">s</w:t>
            </w:r>
            <w:r>
              <w:rPr>
                <w:vertAlign w:val="superscript"/>
              </w:rPr>
              <w:t xml:space="preserve">-1</w:t>
            </w:r>
            <w:r>
              <w:t xml:space="preserve">, respectively. Significance levels are denoted as *** p&lt;0.001 and ns, not significant.</w:t>
            </w:r>
          </w:p>
          <w:bookmarkEnd w:id="82"/>
        </w:tc>
      </w:tr>
    </w:tbl>
    <w:p>
      <w:r>
        <w:br w:type="page"/>
      </w:r>
    </w:p>
    <w:bookmarkEnd w:id="83"/>
    <w:bookmarkStart w:id="88" w:name="sfg-phytoplankton"/>
    <w:p>
      <w:pPr>
        <w:pStyle w:val="Heading2"/>
      </w:pPr>
      <w:hyperlink w:anchor="sfg-phytoplankton">
        <w:r>
          <w:rPr>
            <w:rStyle w:val="Hyperlink"/>
          </w:rPr>
          <w:t xml:space="preserve">Supplementary Fig. 11</w:t>
        </w:r>
      </w:hyperlink>
    </w:p>
    <w:tbl>
      <w:tblPr>
        <w:tblStyle w:val="Table"/>
        <w:tblW w:type="pct" w:w="5000"/>
        <w:tblLayout w:type="fixed"/>
        <w:tblLook w:firstRow="0" w:lastRow="0" w:firstColumn="0" w:lastColumn="0" w:noHBand="0" w:noVBand="0" w:val="0000"/>
      </w:tblPr>
      <w:tblGrid>
        <w:gridCol w:w="7920"/>
      </w:tblGrid>
      <w:tr>
        <w:tc>
          <w:tcPr/>
          <w:bookmarkStart w:id="87" w:name="sfg-phytoplankton"/>
          <w:p>
            <w:pPr>
              <w:jc w:val="center"/>
            </w:pPr>
            <w:r>
              <w:drawing>
                <wp:inline>
                  <wp:extent cx="4602480" cy="4075175"/>
                  <wp:effectExtent b="0" l="0" r="0" t="0"/>
                  <wp:docPr descr="" title="" id="85" name="Picture"/>
                  <a:graphic>
                    <a:graphicData uri="http://schemas.openxmlformats.org/drawingml/2006/picture">
                      <pic:pic>
                        <pic:nvPicPr>
                          <pic:cNvPr descr="../figures/phytoplankton.png" id="86" name="Picture"/>
                          <pic:cNvPicPr>
                            <a:picLocks noChangeArrowheads="1" noChangeAspect="1"/>
                          </pic:cNvPicPr>
                        </pic:nvPicPr>
                        <pic:blipFill>
                          <a:blip r:embed="rId84"/>
                          <a:stretch>
                            <a:fillRect/>
                          </a:stretch>
                        </pic:blipFill>
                        <pic:spPr bwMode="auto">
                          <a:xfrm>
                            <a:off x="0" y="0"/>
                            <a:ext cx="4602480" cy="4075175"/>
                          </a:xfrm>
                          <a:prstGeom prst="rect">
                            <a:avLst/>
                          </a:prstGeom>
                          <a:noFill/>
                          <a:ln w="9525">
                            <a:noFill/>
                            <a:headEnd/>
                            <a:tailEnd/>
                          </a:ln>
                        </pic:spPr>
                      </pic:pic>
                    </a:graphicData>
                  </a:graphic>
                </wp:inline>
              </w:drawing>
            </w:r>
          </w:p>
          <w:p>
            <w:pPr>
              <w:jc w:val="center"/>
            </w:pPr>
            <w:pPr>
              <w:jc w:val="start"/>
              <w:spacing w:before="200"/>
              <w:pStyle w:val="ImageCaption"/>
            </w:pPr>
            <w:r>
              <w:t xml:space="preserve">Supplementary Fig. 11: Temporal and spatial variation in phytoplankton density at representative sampling sites during July and August from 2021 to 2023. Phytoplankton density was compared among N01, N03, N04, N06, N10, N11, N12, and N13, with July and August separated by the dashed vertical line. Densities at N01, N03, N04, and N06 were generally within 0.6 ~ 4.2×10</w:t>
            </w:r>
            <w:r>
              <w:rPr>
                <w:vertAlign w:val="superscript"/>
              </w:rPr>
              <w:t xml:space="preserve">6</w:t>
            </w:r>
            <w:r>
              <w:t xml:space="preserve"> </w:t>
            </w:r>
            <w:r>
              <w:t xml:space="preserve">cell L</w:t>
            </w:r>
            <w:r>
              <w:rPr>
                <w:vertAlign w:val="superscript"/>
              </w:rPr>
              <w:t xml:space="preserve">-1</w:t>
            </w:r>
            <w:r>
              <w:t xml:space="preserve">, whereas N10–N13 showed wider interannual fluctuations. The highest value occurred at N13 in July 2022, reaching approximately 1.560 × 10</w:t>
            </w:r>
            <w:r>
              <w:rPr>
                <w:vertAlign w:val="superscript"/>
              </w:rPr>
              <w:t xml:space="preserve">7</w:t>
            </w:r>
            <w:r>
              <w:t xml:space="preserve"> </w:t>
            </w:r>
            <w:r>
              <w:t xml:space="preserve">cell L</w:t>
            </w:r>
            <w:r>
              <w:rPr>
                <w:vertAlign w:val="superscript"/>
              </w:rPr>
              <w:t xml:space="preserve">-1</w:t>
            </w:r>
            <w:r>
              <w:t xml:space="preserve">, followed by N11 in July 2022 and N10 in July 2021. In August, the maximum densities were recorded in 2022 at N10 and N11, both approaching 1.000 × 10</w:t>
            </w:r>
            <w:r>
              <w:rPr>
                <w:vertAlign w:val="superscript"/>
              </w:rPr>
              <w:t xml:space="preserve">7</w:t>
            </w:r>
            <w:r>
              <w:t xml:space="preserve"> </w:t>
            </w:r>
            <w:r>
              <w:t xml:space="preserve">cell L</w:t>
            </w:r>
            <w:r>
              <w:rPr>
                <w:vertAlign w:val="superscript"/>
              </w:rPr>
              <w:t xml:space="preserve">-1</w:t>
            </w:r>
            <w:r>
              <w:t xml:space="preserve">. The inset summarizes the among-site distribution of plankton density for each sampling month.</w:t>
            </w:r>
          </w:p>
          <w:bookmarkEnd w:id="87"/>
        </w:tc>
      </w:tr>
    </w:tbl>
    <w:p>
      <w:r>
        <w:br w:type="page"/>
      </w:r>
    </w:p>
    <w:bookmarkEnd w:id="88"/>
    <w:bookmarkStart w:id="93" w:name="sfg-fieldphoto"/>
    <w:p>
      <w:pPr>
        <w:pStyle w:val="Heading2"/>
      </w:pPr>
      <w:hyperlink w:anchor="sfg-fieldphoto">
        <w:r>
          <w:rPr>
            <w:rStyle w:val="Hyperlink"/>
          </w:rPr>
          <w:t xml:space="preserve">Supplementary Fig. 12</w:t>
        </w:r>
      </w:hyperlink>
    </w:p>
    <w:tbl>
      <w:tblPr>
        <w:tblStyle w:val="Table"/>
        <w:tblW w:type="pct" w:w="5000"/>
        <w:tblLayout w:type="fixed"/>
        <w:tblLook w:firstRow="0" w:lastRow="0" w:firstColumn="0" w:lastColumn="0" w:noHBand="0" w:noVBand="0" w:val="0000"/>
      </w:tblPr>
      <w:tblGrid>
        <w:gridCol w:w="7920"/>
      </w:tblGrid>
      <w:tr>
        <w:tc>
          <w:tcPr/>
          <w:bookmarkStart w:id="92" w:name="sfg-fieldphoto"/>
          <w:p>
            <w:pPr>
              <w:jc w:val="center"/>
            </w:pPr>
            <w:r>
              <w:drawing>
                <wp:inline>
                  <wp:extent cx="5177790" cy="3456428"/>
                  <wp:effectExtent b="0" l="0" r="0" t="0"/>
                  <wp:docPr descr="" title="" id="90" name="Picture"/>
                  <a:graphic>
                    <a:graphicData uri="http://schemas.openxmlformats.org/drawingml/2006/picture">
                      <pic:pic>
                        <pic:nvPicPr>
                          <pic:cNvPr descr="../figures/fieldphoto.png" id="91" name="Picture"/>
                          <pic:cNvPicPr>
                            <a:picLocks noChangeArrowheads="1" noChangeAspect="1"/>
                          </pic:cNvPicPr>
                        </pic:nvPicPr>
                        <pic:blipFill>
                          <a:blip r:embed="rId89"/>
                          <a:stretch>
                            <a:fillRect/>
                          </a:stretch>
                        </pic:blipFill>
                        <pic:spPr bwMode="auto">
                          <a:xfrm>
                            <a:off x="0" y="0"/>
                            <a:ext cx="5177790" cy="3456428"/>
                          </a:xfrm>
                          <a:prstGeom prst="rect">
                            <a:avLst/>
                          </a:prstGeom>
                          <a:noFill/>
                          <a:ln w="9525">
                            <a:noFill/>
                            <a:headEnd/>
                            <a:tailEnd/>
                          </a:ln>
                        </pic:spPr>
                      </pic:pic>
                    </a:graphicData>
                  </a:graphic>
                </wp:inline>
              </w:drawing>
            </w:r>
          </w:p>
          <w:p>
            <w:pPr>
              <w:jc w:val="center"/>
            </w:pPr>
            <w:pPr>
              <w:jc w:val="start"/>
              <w:spacing w:before="200"/>
              <w:pStyle w:val="ImageCaption"/>
            </w:pPr>
            <w:r>
              <w:t xml:space="preserve">Supplementary Fig. 12: Spatial distribution of</w:t>
            </w:r>
            <w:r>
              <w:t xml:space="preserve"> </w:t>
            </w:r>
            <w:r>
              <w:rPr>
                <w:i/>
                <w:iCs/>
              </w:rPr>
              <w:t xml:space="preserve">Cladophora</w:t>
            </w:r>
            <w:r>
              <w:t xml:space="preserve"> </w:t>
            </w:r>
            <w:r>
              <w:t xml:space="preserve">in the conveyance canal. Variations in algal band width, community composition, and thallus colour along the canal (Upstream 0–184 km)</w:t>
            </w:r>
          </w:p>
          <w:bookmarkEnd w:id="92"/>
        </w:tc>
      </w:tr>
    </w:tbl>
    <w:p>
      <w:r>
        <w:br w:type="page"/>
      </w:r>
    </w:p>
    <w:bookmarkEnd w:id="93"/>
    <w:bookmarkStart w:id="95" w:name="stb-transparency"/>
    <w:p>
      <w:pPr>
        <w:pStyle w:val="Heading2"/>
      </w:pPr>
      <w:hyperlink w:anchor="stb-transparency">
        <w:r>
          <w:rPr>
            <w:rStyle w:val="Hyperlink"/>
          </w:rPr>
          <w:t xml:space="preserve">Supplementary Table 3</w:t>
        </w:r>
      </w:hyperlink>
    </w:p>
    <w:tbl>
      <w:tblPr>
        <w:tblStyle w:val="Table"/>
        <w:tblW w:type="pct" w:w="5000"/>
        <w:tblLayout w:type="fixed"/>
        <w:tblLook w:firstRow="0" w:lastRow="0" w:firstColumn="0" w:lastColumn="0" w:noHBand="0" w:noVBand="0" w:val="0000"/>
      </w:tblPr>
      <w:tblGrid>
        <w:gridCol w:w="7920"/>
      </w:tblGrid>
      <w:tr>
        <w:tc>
          <w:tcPr/>
          <w:bookmarkStart w:id="94" w:name="stb-transparency"/>
          <w:tbl>
            <w:tblPr>
              <w:tblStyle w:val="Table"/>
              <w:tblW w:type="pct" w:w="5000"/>
              <w:tblLayout w:type="fixed"/>
              <w:tblLook w:firstRow="1" w:lastRow="0" w:firstColumn="0" w:lastColumn="0" w:noHBand="0" w:noVBand="0" w:val="0020"/>
            </w:tblPr>
            <w:tblGrid>
              <w:gridCol w:w="560"/>
              <w:gridCol w:w="1360"/>
              <w:gridCol w:w="1920"/>
              <w:gridCol w:w="1680"/>
              <w:gridCol w:w="720"/>
              <w:gridCol w:w="1680"/>
            </w:tblGrid>
            <w:tr>
              <w:trPr>
                <w:tblHeader w:val="on"/>
              </w:trPr>
              <w:tc>
                <w:tcPr/>
                <w:p>
                  <w:pPr>
                    <w:pStyle w:val="Compact"/>
                    <w:jc w:val="center"/>
                  </w:pPr>
                  <w:r>
                    <w:t xml:space="preserve">Month</w:t>
                  </w:r>
                </w:p>
              </w:tc>
              <w:tc>
                <w:tcPr/>
                <w:p>
                  <w:pPr>
                    <w:pStyle w:val="Compact"/>
                    <w:jc w:val="center"/>
                  </w:pPr>
                  <w:r>
                    <w:t xml:space="preserve">Transparency (m)</w:t>
                  </w:r>
                </w:p>
              </w:tc>
              <w:tc>
                <w:tcPr/>
                <w:p>
                  <w:pPr>
                    <w:pStyle w:val="Compact"/>
                    <w:jc w:val="center"/>
                  </w:pPr>
                  <w:r>
                    <w:t xml:space="preserve">Total radiation (W/m</w:t>
                  </w:r>
                  <w:r>
                    <w:rPr>
                      <w:vertAlign w:val="superscript"/>
                    </w:rPr>
                    <w:t xml:space="preserve">2</w:t>
                  </w:r>
                  <w:r>
                    <w:t xml:space="preserve">)</w:t>
                  </w:r>
                </w:p>
              </w:tc>
              <w:tc>
                <w:tcPr/>
                <w:p>
                  <w:pPr>
                    <w:pStyle w:val="Compact"/>
                    <w:jc w:val="center"/>
                  </w:pPr>
                  <w:r>
                    <w:t xml:space="preserve">I</w:t>
                  </w:r>
                  <w:r>
                    <w:rPr>
                      <w:vertAlign w:val="subscript"/>
                    </w:rPr>
                    <w:t xml:space="preserve">0</w:t>
                  </w:r>
                  <w:r>
                    <w:t xml:space="preserve"> </w:t>
                  </w:r>
                  <w:r>
                    <w:t xml:space="preserve">(μmol m</w:t>
                  </w:r>
                  <w:r>
                    <w:rPr>
                      <w:vertAlign w:val="superscript"/>
                    </w:rPr>
                    <w:t xml:space="preserve">-2</w:t>
                  </w:r>
                  <w:r>
                    <w:t xml:space="preserve"> </w:t>
                  </w:r>
                  <w:r>
                    <w:t xml:space="preserve">s</w:t>
                  </w:r>
                  <w:r>
                    <w:rPr>
                      <w:vertAlign w:val="superscript"/>
                    </w:rPr>
                    <w:t xml:space="preserve">-1</w:t>
                  </w:r>
                  <w:r>
                    <w:t xml:space="preserve">)</w:t>
                  </w:r>
                </w:p>
              </w:tc>
              <w:tc>
                <w:tcPr/>
                <w:p>
                  <w:pPr>
                    <w:pStyle w:val="Compact"/>
                    <w:jc w:val="center"/>
                  </w:pPr>
                  <w:r>
                    <w:t xml:space="preserve">k (m</w:t>
                  </w:r>
                  <w:r>
                    <w:rPr>
                      <w:vertAlign w:val="superscript"/>
                    </w:rPr>
                    <w:t xml:space="preserve">-1</w:t>
                  </w:r>
                  <w:r>
                    <w:t xml:space="preserve">)</w:t>
                  </w:r>
                </w:p>
              </w:tc>
              <w:tc>
                <w:tcPr/>
                <w:p>
                  <w:pPr>
                    <w:pStyle w:val="Compact"/>
                    <w:jc w:val="center"/>
                  </w:pPr>
                  <w:r>
                    <w:t xml:space="preserve">Predicted depth (m)</w:t>
                  </w:r>
                </w:p>
              </w:tc>
            </w:tr>
            <w:tr>
              <w:tc>
                <w:tcPr/>
                <w:p>
                  <w:pPr>
                    <w:pStyle w:val="Compact"/>
                    <w:jc w:val="center"/>
                  </w:pPr>
                  <w:r>
                    <w:t xml:space="preserve">Jan</w:t>
                  </w:r>
                </w:p>
              </w:tc>
              <w:tc>
                <w:tcPr/>
                <w:p>
                  <w:pPr>
                    <w:pStyle w:val="Compact"/>
                    <w:jc w:val="center"/>
                  </w:pPr>
                  <w:r>
                    <w:t xml:space="preserve">2</w:t>
                  </w:r>
                </w:p>
              </w:tc>
              <w:tc>
                <w:tcPr/>
                <w:p>
                  <w:pPr>
                    <w:pStyle w:val="Compact"/>
                    <w:jc w:val="center"/>
                  </w:pPr>
                  <w:r>
                    <w:t xml:space="preserve">119.48</w:t>
                  </w:r>
                </w:p>
              </w:tc>
              <w:tc>
                <w:tcPr/>
                <w:p>
                  <w:pPr>
                    <w:pStyle w:val="Compact"/>
                    <w:jc w:val="center"/>
                  </w:pPr>
                  <w:r>
                    <w:t xml:space="preserve">245.71</w:t>
                  </w:r>
                </w:p>
              </w:tc>
              <w:tc>
                <w:tcPr/>
                <w:p>
                  <w:pPr>
                    <w:pStyle w:val="Compact"/>
                    <w:jc w:val="center"/>
                  </w:pPr>
                  <w:r>
                    <w:t xml:space="preserve">0.85</w:t>
                  </w:r>
                </w:p>
              </w:tc>
              <w:tc>
                <w:tcPr/>
                <w:p>
                  <w:pPr>
                    <w:pStyle w:val="Compact"/>
                    <w:jc w:val="center"/>
                  </w:pPr>
                  <w:r>
                    <w:t xml:space="preserve">1.31</w:t>
                  </w:r>
                </w:p>
              </w:tc>
            </w:tr>
            <w:tr>
              <w:tc>
                <w:tcPr/>
                <w:p>
                  <w:pPr>
                    <w:pStyle w:val="Compact"/>
                    <w:jc w:val="center"/>
                  </w:pPr>
                  <w:r>
                    <w:t xml:space="preserve">Feb</w:t>
                  </w:r>
                </w:p>
              </w:tc>
              <w:tc>
                <w:tcPr/>
                <w:p>
                  <w:pPr>
                    <w:pStyle w:val="Compact"/>
                    <w:jc w:val="center"/>
                  </w:pPr>
                  <w:r>
                    <w:t xml:space="preserve">2.5</w:t>
                  </w:r>
                </w:p>
              </w:tc>
              <w:tc>
                <w:tcPr/>
                <w:p>
                  <w:pPr>
                    <w:pStyle w:val="Compact"/>
                    <w:jc w:val="center"/>
                  </w:pPr>
                  <w:r>
                    <w:t xml:space="preserve">152.33</w:t>
                  </w:r>
                </w:p>
              </w:tc>
              <w:tc>
                <w:tcPr/>
                <w:p>
                  <w:pPr>
                    <w:pStyle w:val="Compact"/>
                    <w:jc w:val="center"/>
                  </w:pPr>
                  <w:r>
                    <w:t xml:space="preserve">313.27</w:t>
                  </w:r>
                </w:p>
              </w:tc>
              <w:tc>
                <w:tcPr/>
                <w:p>
                  <w:pPr>
                    <w:pStyle w:val="Compact"/>
                    <w:jc w:val="center"/>
                  </w:pPr>
                  <w:r>
                    <w:t xml:space="preserve">0.68</w:t>
                  </w:r>
                </w:p>
              </w:tc>
              <w:tc>
                <w:tcPr/>
                <w:p>
                  <w:pPr>
                    <w:pStyle w:val="Compact"/>
                    <w:jc w:val="center"/>
                  </w:pPr>
                  <w:r>
                    <w:t xml:space="preserve">1.99</w:t>
                  </w:r>
                </w:p>
              </w:tc>
            </w:tr>
            <w:tr>
              <w:tc>
                <w:tcPr/>
                <w:p>
                  <w:pPr>
                    <w:pStyle w:val="Compact"/>
                    <w:jc w:val="center"/>
                  </w:pPr>
                  <w:r>
                    <w:t xml:space="preserve">Mar</w:t>
                  </w:r>
                </w:p>
              </w:tc>
              <w:tc>
                <w:tcPr/>
                <w:p>
                  <w:pPr>
                    <w:pStyle w:val="Compact"/>
                    <w:jc w:val="center"/>
                  </w:pPr>
                  <w:r>
                    <w:t xml:space="preserve">4</w:t>
                  </w:r>
                </w:p>
              </w:tc>
              <w:tc>
                <w:tcPr/>
                <w:p>
                  <w:pPr>
                    <w:pStyle w:val="Compact"/>
                    <w:jc w:val="center"/>
                  </w:pPr>
                  <w:r>
                    <w:t xml:space="preserve">187.39</w:t>
                  </w:r>
                </w:p>
              </w:tc>
              <w:tc>
                <w:tcPr/>
                <w:p>
                  <w:pPr>
                    <w:pStyle w:val="Compact"/>
                    <w:jc w:val="center"/>
                  </w:pPr>
                  <w:r>
                    <w:t xml:space="preserve">385.37</w:t>
                  </w:r>
                </w:p>
              </w:tc>
              <w:tc>
                <w:tcPr/>
                <w:p>
                  <w:pPr>
                    <w:pStyle w:val="Compact"/>
                    <w:jc w:val="center"/>
                  </w:pPr>
                  <w:r>
                    <w:t xml:space="preserve">0.425</w:t>
                  </w:r>
                </w:p>
              </w:tc>
              <w:tc>
                <w:tcPr/>
                <w:p>
                  <w:pPr>
                    <w:pStyle w:val="Compact"/>
                    <w:jc w:val="center"/>
                  </w:pPr>
                  <w:r>
                    <w:t xml:space="preserve">3.67</w:t>
                  </w:r>
                </w:p>
              </w:tc>
            </w:tr>
            <w:tr>
              <w:tc>
                <w:tcPr/>
                <w:p>
                  <w:pPr>
                    <w:pStyle w:val="Compact"/>
                    <w:jc w:val="center"/>
                  </w:pPr>
                  <w:r>
                    <w:t xml:space="preserve">Apr</w:t>
                  </w:r>
                </w:p>
              </w:tc>
              <w:tc>
                <w:tcPr/>
                <w:p>
                  <w:pPr>
                    <w:pStyle w:val="Compact"/>
                    <w:jc w:val="center"/>
                  </w:pPr>
                  <w:r>
                    <w:t xml:space="preserve">4.5</w:t>
                  </w:r>
                </w:p>
              </w:tc>
              <w:tc>
                <w:tcPr/>
                <w:p>
                  <w:pPr>
                    <w:pStyle w:val="Compact"/>
                    <w:jc w:val="center"/>
                  </w:pPr>
                  <w:r>
                    <w:t xml:space="preserve">240.88</w:t>
                  </w:r>
                </w:p>
              </w:tc>
              <w:tc>
                <w:tcPr/>
                <w:p>
                  <w:pPr>
                    <w:pStyle w:val="Compact"/>
                    <w:jc w:val="center"/>
                  </w:pPr>
                  <w:r>
                    <w:t xml:space="preserve">495.37</w:t>
                  </w:r>
                </w:p>
              </w:tc>
              <w:tc>
                <w:tcPr/>
                <w:p>
                  <w:pPr>
                    <w:pStyle w:val="Compact"/>
                    <w:jc w:val="center"/>
                  </w:pPr>
                  <w:r>
                    <w:t xml:space="preserve">0.378</w:t>
                  </w:r>
                </w:p>
              </w:tc>
              <w:tc>
                <w:tcPr/>
                <w:p>
                  <w:pPr>
                    <w:pStyle w:val="Compact"/>
                    <w:jc w:val="center"/>
                  </w:pPr>
                  <w:r>
                    <w:t xml:space="preserve">4.79</w:t>
                  </w:r>
                </w:p>
              </w:tc>
            </w:tr>
            <w:tr>
              <w:tc>
                <w:tcPr/>
                <w:p>
                  <w:pPr>
                    <w:pStyle w:val="Compact"/>
                    <w:jc w:val="center"/>
                  </w:pPr>
                  <w:r>
                    <w:t xml:space="preserve">May</w:t>
                  </w:r>
                </w:p>
              </w:tc>
              <w:tc>
                <w:tcPr/>
                <w:p>
                  <w:pPr>
                    <w:pStyle w:val="Compact"/>
                    <w:jc w:val="center"/>
                  </w:pPr>
                  <w:r>
                    <w:t xml:space="preserve">2.2</w:t>
                  </w:r>
                </w:p>
              </w:tc>
              <w:tc>
                <w:tcPr/>
                <w:p>
                  <w:pPr>
                    <w:pStyle w:val="Compact"/>
                    <w:jc w:val="center"/>
                  </w:pPr>
                  <w:r>
                    <w:t xml:space="preserve">250.23</w:t>
                  </w:r>
                </w:p>
              </w:tc>
              <w:tc>
                <w:tcPr/>
                <w:p>
                  <w:pPr>
                    <w:pStyle w:val="Compact"/>
                    <w:jc w:val="center"/>
                  </w:pPr>
                  <w:r>
                    <w:t xml:space="preserve">514.59</w:t>
                  </w:r>
                </w:p>
              </w:tc>
              <w:tc>
                <w:tcPr/>
                <w:p>
                  <w:pPr>
                    <w:pStyle w:val="Compact"/>
                    <w:jc w:val="center"/>
                  </w:pPr>
                  <w:r>
                    <w:t xml:space="preserve">0.773</w:t>
                  </w:r>
                </w:p>
              </w:tc>
              <w:tc>
                <w:tcPr/>
                <w:p>
                  <w:pPr>
                    <w:pStyle w:val="Compact"/>
                    <w:jc w:val="center"/>
                  </w:pPr>
                  <w:r>
                    <w:t xml:space="preserve">2.39</w:t>
                  </w:r>
                </w:p>
              </w:tc>
            </w:tr>
            <w:tr>
              <w:tc>
                <w:tcPr/>
                <w:p>
                  <w:pPr>
                    <w:pStyle w:val="Compact"/>
                    <w:jc w:val="center"/>
                  </w:pPr>
                  <w:r>
                    <w:t xml:space="preserve">Jun</w:t>
                  </w:r>
                </w:p>
              </w:tc>
              <w:tc>
                <w:tcPr/>
                <w:p>
                  <w:pPr>
                    <w:pStyle w:val="Compact"/>
                    <w:jc w:val="center"/>
                  </w:pPr>
                  <w:r>
                    <w:t xml:space="preserve">3.6</w:t>
                  </w:r>
                </w:p>
              </w:tc>
              <w:tc>
                <w:tcPr/>
                <w:p>
                  <w:pPr>
                    <w:pStyle w:val="Compact"/>
                    <w:jc w:val="center"/>
                  </w:pPr>
                  <w:r>
                    <w:t xml:space="preserve">216.63</w:t>
                  </w:r>
                </w:p>
              </w:tc>
              <w:tc>
                <w:tcPr/>
                <w:p>
                  <w:pPr>
                    <w:pStyle w:val="Compact"/>
                    <w:jc w:val="center"/>
                  </w:pPr>
                  <w:r>
                    <w:t xml:space="preserve">445.49</w:t>
                  </w:r>
                </w:p>
              </w:tc>
              <w:tc>
                <w:tcPr/>
                <w:p>
                  <w:pPr>
                    <w:pStyle w:val="Compact"/>
                    <w:jc w:val="center"/>
                  </w:pPr>
                  <w:r>
                    <w:t xml:space="preserve">0.472</w:t>
                  </w:r>
                </w:p>
              </w:tc>
              <w:tc>
                <w:tcPr/>
                <w:p>
                  <w:pPr>
                    <w:pStyle w:val="Compact"/>
                    <w:jc w:val="center"/>
                  </w:pPr>
                  <w:r>
                    <w:t xml:space="preserve">3.61</w:t>
                  </w:r>
                </w:p>
              </w:tc>
            </w:tr>
            <w:tr>
              <w:tc>
                <w:tcPr/>
                <w:p>
                  <w:pPr>
                    <w:pStyle w:val="Compact"/>
                    <w:jc w:val="center"/>
                  </w:pPr>
                  <w:r>
                    <w:t xml:space="preserve">Jul</w:t>
                  </w:r>
                </w:p>
              </w:tc>
              <w:tc>
                <w:tcPr/>
                <w:p>
                  <w:pPr>
                    <w:pStyle w:val="Compact"/>
                    <w:jc w:val="center"/>
                  </w:pPr>
                  <w:r>
                    <w:t xml:space="preserve">4</w:t>
                  </w:r>
                </w:p>
              </w:tc>
              <w:tc>
                <w:tcPr/>
                <w:p>
                  <w:pPr>
                    <w:pStyle w:val="Compact"/>
                    <w:jc w:val="center"/>
                  </w:pPr>
                  <w:r>
                    <w:t xml:space="preserve">247.35</w:t>
                  </w:r>
                </w:p>
              </w:tc>
              <w:tc>
                <w:tcPr/>
                <w:p>
                  <w:pPr>
                    <w:pStyle w:val="Compact"/>
                    <w:jc w:val="center"/>
                  </w:pPr>
                  <w:r>
                    <w:t xml:space="preserve">508.67</w:t>
                  </w:r>
                </w:p>
              </w:tc>
              <w:tc>
                <w:tcPr/>
                <w:p>
                  <w:pPr>
                    <w:pStyle w:val="Compact"/>
                    <w:jc w:val="center"/>
                  </w:pPr>
                  <w:r>
                    <w:t xml:space="preserve">0.425</w:t>
                  </w:r>
                </w:p>
              </w:tc>
              <w:tc>
                <w:tcPr/>
                <w:p>
                  <w:pPr>
                    <w:pStyle w:val="Compact"/>
                    <w:jc w:val="center"/>
                  </w:pPr>
                  <w:r>
                    <w:t xml:space="preserve">4.32</w:t>
                  </w:r>
                </w:p>
              </w:tc>
            </w:tr>
            <w:tr>
              <w:tc>
                <w:tcPr/>
                <w:p>
                  <w:pPr>
                    <w:pStyle w:val="Compact"/>
                    <w:jc w:val="center"/>
                  </w:pPr>
                  <w:r>
                    <w:t xml:space="preserve">Aug</w:t>
                  </w:r>
                </w:p>
              </w:tc>
              <w:tc>
                <w:tcPr/>
                <w:p>
                  <w:pPr>
                    <w:pStyle w:val="Compact"/>
                    <w:jc w:val="center"/>
                  </w:pPr>
                  <w:r>
                    <w:t xml:space="preserve">3</w:t>
                  </w:r>
                </w:p>
              </w:tc>
              <w:tc>
                <w:tcPr/>
                <w:p>
                  <w:pPr>
                    <w:pStyle w:val="Compact"/>
                    <w:jc w:val="center"/>
                  </w:pPr>
                  <w:r>
                    <w:t xml:space="preserve">185.58</w:t>
                  </w:r>
                </w:p>
              </w:tc>
              <w:tc>
                <w:tcPr/>
                <w:p>
                  <w:pPr>
                    <w:pStyle w:val="Compact"/>
                    <w:jc w:val="center"/>
                  </w:pPr>
                  <w:r>
                    <w:t xml:space="preserve">381.64</w:t>
                  </w:r>
                </w:p>
              </w:tc>
              <w:tc>
                <w:tcPr/>
                <w:p>
                  <w:pPr>
                    <w:pStyle w:val="Compact"/>
                    <w:jc w:val="center"/>
                  </w:pPr>
                  <w:r>
                    <w:t xml:space="preserve">0.567</w:t>
                  </w:r>
                </w:p>
              </w:tc>
              <w:tc>
                <w:tcPr/>
                <w:p>
                  <w:pPr>
                    <w:pStyle w:val="Compact"/>
                    <w:jc w:val="center"/>
                  </w:pPr>
                  <w:r>
                    <w:t xml:space="preserve">2.74</w:t>
                  </w:r>
                </w:p>
              </w:tc>
            </w:tr>
            <w:tr>
              <w:tc>
                <w:tcPr/>
                <w:p>
                  <w:pPr>
                    <w:pStyle w:val="Compact"/>
                    <w:jc w:val="center"/>
                  </w:pPr>
                  <w:r>
                    <w:t xml:space="preserve">Sep</w:t>
                  </w:r>
                </w:p>
              </w:tc>
              <w:tc>
                <w:tcPr/>
                <w:p>
                  <w:pPr>
                    <w:pStyle w:val="Compact"/>
                    <w:jc w:val="center"/>
                  </w:pPr>
                  <w:r>
                    <w:t xml:space="preserve">2.5</w:t>
                  </w:r>
                </w:p>
              </w:tc>
              <w:tc>
                <w:tcPr/>
                <w:p>
                  <w:pPr>
                    <w:pStyle w:val="Compact"/>
                    <w:jc w:val="center"/>
                  </w:pPr>
                  <w:r>
                    <w:t xml:space="preserve">113.43</w:t>
                  </w:r>
                </w:p>
              </w:tc>
              <w:tc>
                <w:tcPr/>
                <w:p>
                  <w:pPr>
                    <w:pStyle w:val="Compact"/>
                    <w:jc w:val="center"/>
                  </w:pPr>
                  <w:r>
                    <w:t xml:space="preserve">233.27</w:t>
                  </w:r>
                </w:p>
              </w:tc>
              <w:tc>
                <w:tcPr/>
                <w:p>
                  <w:pPr>
                    <w:pStyle w:val="Compact"/>
                    <w:jc w:val="center"/>
                  </w:pPr>
                  <w:r>
                    <w:t xml:space="preserve">0.68</w:t>
                  </w:r>
                </w:p>
              </w:tc>
              <w:tc>
                <w:tcPr/>
                <w:p>
                  <w:pPr>
                    <w:pStyle w:val="Compact"/>
                    <w:jc w:val="center"/>
                  </w:pPr>
                  <w:r>
                    <w:t xml:space="preserve">1.56</w:t>
                  </w:r>
                </w:p>
              </w:tc>
            </w:tr>
            <w:tr>
              <w:tc>
                <w:tcPr/>
                <w:p>
                  <w:pPr>
                    <w:pStyle w:val="Compact"/>
                    <w:jc w:val="center"/>
                  </w:pPr>
                  <w:r>
                    <w:t xml:space="preserve">Oct</w:t>
                  </w:r>
                </w:p>
              </w:tc>
              <w:tc>
                <w:tcPr/>
                <w:p>
                  <w:pPr>
                    <w:pStyle w:val="Compact"/>
                    <w:jc w:val="center"/>
                  </w:pPr>
                  <w:r>
                    <w:t xml:space="preserve">2.5</w:t>
                  </w:r>
                </w:p>
              </w:tc>
              <w:tc>
                <w:tcPr/>
                <w:p>
                  <w:pPr>
                    <w:pStyle w:val="Compact"/>
                    <w:jc w:val="center"/>
                  </w:pPr>
                  <w:r>
                    <w:t xml:space="preserve">78.53</w:t>
                  </w:r>
                </w:p>
              </w:tc>
              <w:tc>
                <w:tcPr/>
                <w:p>
                  <w:pPr>
                    <w:pStyle w:val="Compact"/>
                    <w:jc w:val="center"/>
                  </w:pPr>
                  <w:r>
                    <w:t xml:space="preserve">161.5</w:t>
                  </w:r>
                </w:p>
              </w:tc>
              <w:tc>
                <w:tcPr/>
                <w:p>
                  <w:pPr>
                    <w:pStyle w:val="Compact"/>
                    <w:jc w:val="center"/>
                  </w:pPr>
                  <w:r>
                    <w:t xml:space="preserve">0.68</w:t>
                  </w:r>
                </w:p>
              </w:tc>
              <w:tc>
                <w:tcPr/>
                <w:p>
                  <w:pPr>
                    <w:pStyle w:val="Compact"/>
                    <w:jc w:val="center"/>
                  </w:pPr>
                  <w:r>
                    <w:t xml:space="preserve">1.01</w:t>
                  </w:r>
                </w:p>
              </w:tc>
            </w:tr>
            <w:tr>
              <w:tc>
                <w:tcPr/>
                <w:p>
                  <w:pPr>
                    <w:pStyle w:val="Compact"/>
                    <w:jc w:val="center"/>
                  </w:pPr>
                  <w:r>
                    <w:t xml:space="preserve">Nov</w:t>
                  </w:r>
                </w:p>
              </w:tc>
              <w:tc>
                <w:tcPr/>
                <w:p>
                  <w:pPr>
                    <w:pStyle w:val="Compact"/>
                    <w:jc w:val="center"/>
                  </w:pPr>
                  <w:r>
                    <w:t xml:space="preserve">2.2</w:t>
                  </w:r>
                </w:p>
              </w:tc>
              <w:tc>
                <w:tcPr/>
                <w:p>
                  <w:pPr>
                    <w:pStyle w:val="Compact"/>
                    <w:jc w:val="center"/>
                  </w:pPr>
                  <w:r>
                    <w:t xml:space="preserve">108.53</w:t>
                  </w:r>
                </w:p>
              </w:tc>
              <w:tc>
                <w:tcPr/>
                <w:p>
                  <w:pPr>
                    <w:pStyle w:val="Compact"/>
                    <w:jc w:val="center"/>
                  </w:pPr>
                  <w:r>
                    <w:t xml:space="preserve">223.19</w:t>
                  </w:r>
                </w:p>
              </w:tc>
              <w:tc>
                <w:tcPr/>
                <w:p>
                  <w:pPr>
                    <w:pStyle w:val="Compact"/>
                    <w:jc w:val="center"/>
                  </w:pPr>
                  <w:r>
                    <w:t xml:space="preserve">0.773</w:t>
                  </w:r>
                </w:p>
              </w:tc>
              <w:tc>
                <w:tcPr/>
                <w:p>
                  <w:pPr>
                    <w:pStyle w:val="Compact"/>
                    <w:jc w:val="center"/>
                  </w:pPr>
                  <w:r>
                    <w:t xml:space="preserve">1.31</w:t>
                  </w:r>
                </w:p>
              </w:tc>
            </w:tr>
            <w:tr>
              <w:tc>
                <w:tcPr/>
                <w:p>
                  <w:pPr>
                    <w:pStyle w:val="Compact"/>
                    <w:jc w:val="center"/>
                  </w:pPr>
                  <w:r>
                    <w:t xml:space="preserve">Dec</w:t>
                  </w:r>
                </w:p>
              </w:tc>
              <w:tc>
                <w:tcPr/>
                <w:p>
                  <w:pPr>
                    <w:pStyle w:val="Compact"/>
                    <w:jc w:val="center"/>
                  </w:pPr>
                  <w:r>
                    <w:t xml:space="preserve">1.5</w:t>
                  </w:r>
                </w:p>
              </w:tc>
              <w:tc>
                <w:tcPr/>
                <w:p>
                  <w:pPr>
                    <w:pStyle w:val="Compact"/>
                    <w:jc w:val="center"/>
                  </w:pPr>
                  <w:r>
                    <w:t xml:space="preserve">113.63</w:t>
                  </w:r>
                </w:p>
              </w:tc>
              <w:tc>
                <w:tcPr/>
                <w:p>
                  <w:pPr>
                    <w:pStyle w:val="Compact"/>
                    <w:jc w:val="center"/>
                  </w:pPr>
                  <w:r>
                    <w:t xml:space="preserve">233.68</w:t>
                  </w:r>
                </w:p>
              </w:tc>
              <w:tc>
                <w:tcPr/>
                <w:p>
                  <w:pPr>
                    <w:pStyle w:val="Compact"/>
                    <w:jc w:val="center"/>
                  </w:pPr>
                  <w:r>
                    <w:t xml:space="preserve">1.133</w:t>
                  </w:r>
                </w:p>
              </w:tc>
              <w:tc>
                <w:tcPr/>
                <w:p>
                  <w:pPr>
                    <w:pStyle w:val="Compact"/>
                    <w:jc w:val="center"/>
                  </w:pPr>
                  <w:r>
                    <w:t xml:space="preserve">0.93</w:t>
                  </w:r>
                </w:p>
              </w:tc>
            </w:tr>
          </w:tbl>
          <w:p>
            <w:pPr>
              <w:jc w:val="center"/>
            </w:pPr>
            <w:pPr>
              <w:jc w:val="start"/>
              <w:spacing w:before="200"/>
              <w:pStyle w:val="ImageCaption"/>
            </w:pPr>
            <w:r>
              <w:t xml:space="preserve">Supplementary Table 3: Monthly transparency, incident radiation, light attenuation coefficient, and predicted optimal growth depth for</w:t>
            </w:r>
            <w:r>
              <w:t xml:space="preserve"> </w:t>
            </w:r>
            <w:r>
              <w:rPr>
                <w:i/>
                <w:iCs/>
              </w:rPr>
              <w:t xml:space="preserve">Cladophora.</w:t>
            </w:r>
            <w:r>
              <w:t xml:space="preserve"> </w:t>
            </w:r>
            <w:r>
              <w:t xml:space="preserve">I₀ represents the calculated surface irradiance converted from total radiation. The attenuation coefficient k was estimated from monthly transparency data. Predicted depth refers to the water depth at which underwater irradiance reaches 81 μmol m</w:t>
            </w:r>
            <w:r>
              <w:rPr>
                <w:vertAlign w:val="superscript"/>
              </w:rPr>
              <w:t xml:space="preserve">-2</w:t>
            </w:r>
            <w:r>
              <w:t xml:space="preserve"> </w:t>
            </w:r>
            <w:r>
              <w:t xml:space="preserve">s</w:t>
            </w:r>
            <w:r>
              <w:rPr>
                <w:vertAlign w:val="superscript"/>
              </w:rPr>
              <w:t xml:space="preserve">-1</w:t>
            </w:r>
            <w:r>
              <w:t xml:space="preserve">, the irradiance threshold used for estimating the optimal growth depth of</w:t>
            </w:r>
            <w:r>
              <w:t xml:space="preserve"> </w:t>
            </w:r>
            <w:r>
              <w:rPr>
                <w:i/>
                <w:iCs/>
              </w:rPr>
              <w:t xml:space="preserve">Cladophora.</w:t>
            </w:r>
          </w:p>
          <w:bookmarkEnd w:id="94"/>
        </w:tc>
      </w:tr>
    </w:tbl>
    <w:p>
      <w:r>
        <w:br w:type="page"/>
      </w:r>
    </w:p>
    <w:bookmarkEnd w:id="95"/>
    <w:bookmarkStart w:id="100" w:name="sfg-underwaterlight"/>
    <w:p>
      <w:pPr>
        <w:pStyle w:val="Heading2"/>
      </w:pPr>
      <w:hyperlink w:anchor="sfg-underwaterlight">
        <w:r>
          <w:rPr>
            <w:rStyle w:val="Hyperlink"/>
          </w:rPr>
          <w:t xml:space="preserve">Supplementary Fig. 13</w:t>
        </w:r>
      </w:hyperlink>
    </w:p>
    <w:tbl>
      <w:tblPr>
        <w:tblStyle w:val="Table"/>
        <w:tblW w:type="pct" w:w="5000"/>
        <w:tblLayout w:type="fixed"/>
        <w:tblLook w:firstRow="0" w:lastRow="0" w:firstColumn="0" w:lastColumn="0" w:noHBand="0" w:noVBand="0" w:val="0000"/>
      </w:tblPr>
      <w:tblGrid>
        <w:gridCol w:w="7920"/>
      </w:tblGrid>
      <w:tr>
        <w:tc>
          <w:tcPr/>
          <w:bookmarkStart w:id="99" w:name="sfg-underwaterlight"/>
          <w:p>
            <w:pPr>
              <w:jc w:val="center"/>
            </w:pPr>
            <w:r>
              <w:drawing>
                <wp:inline>
                  <wp:extent cx="4027170" cy="3404432"/>
                  <wp:effectExtent b="0" l="0" r="0" t="0"/>
                  <wp:docPr descr="" title="" id="97" name="Picture"/>
                  <a:graphic>
                    <a:graphicData uri="http://schemas.openxmlformats.org/drawingml/2006/picture">
                      <pic:pic>
                        <pic:nvPicPr>
                          <pic:cNvPr descr="../figures/underwaterlight.png" id="98" name="Picture"/>
                          <pic:cNvPicPr>
                            <a:picLocks noChangeArrowheads="1" noChangeAspect="1"/>
                          </pic:cNvPicPr>
                        </pic:nvPicPr>
                        <pic:blipFill>
                          <a:blip r:embed="rId96"/>
                          <a:stretch>
                            <a:fillRect/>
                          </a:stretch>
                        </pic:blipFill>
                        <pic:spPr bwMode="auto">
                          <a:xfrm>
                            <a:off x="0" y="0"/>
                            <a:ext cx="4027170" cy="3404432"/>
                          </a:xfrm>
                          <a:prstGeom prst="rect">
                            <a:avLst/>
                          </a:prstGeom>
                          <a:noFill/>
                          <a:ln w="9525">
                            <a:noFill/>
                            <a:headEnd/>
                            <a:tailEnd/>
                          </a:ln>
                        </pic:spPr>
                      </pic:pic>
                    </a:graphicData>
                  </a:graphic>
                </wp:inline>
              </w:drawing>
            </w:r>
          </w:p>
          <w:p>
            <w:pPr>
              <w:jc w:val="center"/>
            </w:pPr>
            <w:pPr>
              <w:jc w:val="start"/>
              <w:spacing w:before="200"/>
              <w:pStyle w:val="ImageCaption"/>
            </w:pPr>
            <w:r>
              <w:t xml:space="preserve">Supplementary Fig. 13: Predicted monthly optimal growth depth of</w:t>
            </w:r>
            <w:r>
              <w:t xml:space="preserve"> </w:t>
            </w:r>
            <w:r>
              <w:rPr>
                <w:i/>
                <w:iCs/>
              </w:rPr>
              <w:t xml:space="preserve">Cladophora</w:t>
            </w:r>
            <w:r>
              <w:t xml:space="preserve"> </w:t>
            </w:r>
            <w:r>
              <w:t xml:space="preserve">derived from transparency-controlled light attenuation. Depth-dependent irradiance profiles from January to December were calculated using the Lambert–Beer model with monthly transparency-derived attenuation coefficients and surface irradiance. The optimal growth depth was defined as the depth at which underwater irradiance reached 81 μmol m</w:t>
            </w:r>
            <w:r>
              <w:rPr>
                <w:vertAlign w:val="superscript"/>
              </w:rPr>
              <w:t xml:space="preserve">-2</w:t>
            </w:r>
            <w:r>
              <w:t xml:space="preserve"> </w:t>
            </w:r>
            <w:r>
              <w:t xml:space="preserve">s</w:t>
            </w:r>
            <w:r>
              <w:rPr>
                <w:vertAlign w:val="superscript"/>
              </w:rPr>
              <w:t xml:space="preserve">-1</w:t>
            </w:r>
            <w:r>
              <w:t xml:space="preserve">, the experimentally determined optimal irradiance for</w:t>
            </w:r>
            <w:r>
              <w:t xml:space="preserve"> </w:t>
            </w:r>
            <w:r>
              <w:rPr>
                <w:i/>
                <w:iCs/>
              </w:rPr>
              <w:t xml:space="preserve">Cladophora</w:t>
            </w:r>
            <w:r>
              <w:t xml:space="preserve"> </w:t>
            </w:r>
            <w:r>
              <w:t xml:space="preserve">growth. The predicted optimal depth showed clear seasonal variation, reaching the deepest position in April at 4.79 m and remaining relatively deep in July at 4.32 m, corresponding to periods of higher water transparency and stronger light penetration. In winter, enhanced light attenuation compressed the optimal growth zone toward the surface, with the shallowest predicted depth occurring in December at approximately 0.93.</w:t>
            </w:r>
          </w:p>
          <w:bookmarkEnd w:id="99"/>
        </w:tc>
      </w:tr>
    </w:tbl>
    <w:bookmarkEnd w:id="100"/>
    <w:bookmarkEnd w:id="101"/>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0" Target="media/rId30.png" /><Relationship Type="http://schemas.openxmlformats.org/officeDocument/2006/relationships/image" Id="rId62" Target="media/rId62.png" /><Relationship Type="http://schemas.openxmlformats.org/officeDocument/2006/relationships/image" Id="rId89" Target="media/rId89.png" /><Relationship Type="http://schemas.openxmlformats.org/officeDocument/2006/relationships/image" Id="rId57" Target="media/rId57.png" /><Relationship Type="http://schemas.openxmlformats.org/officeDocument/2006/relationships/image" Id="rId72" Target="media/rId72.png" /><Relationship Type="http://schemas.openxmlformats.org/officeDocument/2006/relationships/image" Id="rId84" Target="media/rId84.png" /><Relationship Type="http://schemas.openxmlformats.org/officeDocument/2006/relationships/image" Id="rId67" Target="media/rId67.png" /><Relationship Type="http://schemas.openxmlformats.org/officeDocument/2006/relationships/image" Id="rId52" Target="media/rId52.png" /><Relationship Type="http://schemas.openxmlformats.org/officeDocument/2006/relationships/image" Id="rId47" Target="media/rId47.png" /><Relationship Type="http://schemas.openxmlformats.org/officeDocument/2006/relationships/image" Id="rId35" Target="media/rId35.png" /><Relationship Type="http://schemas.openxmlformats.org/officeDocument/2006/relationships/image" Id="rId96" Target="media/rId96.png" /><Relationship Type="http://schemas.openxmlformats.org/officeDocument/2006/relationships/image" Id="rId42" Target="media/rId42.png" /><Relationship Type="http://schemas.openxmlformats.org/officeDocument/2006/relationships/image" Id="rId77" Target="media/rId77.png" /><Relationship Type="http://schemas.openxmlformats.org/officeDocument/2006/relationships/hyperlink" Id="rId20" Target="https://orcid.org/0000000157271846" TargetMode="External" /><Relationship Type="http://schemas.openxmlformats.org/officeDocument/2006/relationships/hyperlink" Id="rId21" Target="https://orcid.org/0000000198211268" TargetMode="External" /><Relationship Type="http://schemas.openxmlformats.org/officeDocument/2006/relationships/hyperlink" Id="rId23" Target="mailto:mingsu@rcees.ac.cn" TargetMode="External" /><Relationship Type="http://schemas.openxmlformats.org/officeDocument/2006/relationships/hyperlink" Id="rId22" Target="mailto:xiaoxinzong@csnwd.com.cn" TargetMode="External" /></Relationships>
</file>

<file path=word/_rels/footnotes.xml.rels><?xml version="1.0" encoding="UTF-8"?><Relationships xmlns="http://schemas.openxmlformats.org/package/2006/relationships"><Relationship Type="http://schemas.openxmlformats.org/officeDocument/2006/relationships/hyperlink" Id="rId20" Target="https://orcid.org/0000000157271846" TargetMode="External" /><Relationship Type="http://schemas.openxmlformats.org/officeDocument/2006/relationships/hyperlink" Id="rId21" Target="https://orcid.org/0000000198211268" TargetMode="External" /><Relationship Type="http://schemas.openxmlformats.org/officeDocument/2006/relationships/hyperlink" Id="rId23" Target="mailto:mingsu@rcees.ac.cn" TargetMode="External" /><Relationship Type="http://schemas.openxmlformats.org/officeDocument/2006/relationships/hyperlink" Id="rId22" Target="mailto:xiaoxinzong@csnwd.com.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Phosphorus fuels Cladophora growth and self‑reinforcing adhesion via extracellular polysaccharides on hard substrata</dc:title>
  <dc:creator>Yifan Dua,c,#, Siguang Yuanb,#, Jinyi Qin ID,c, Siming Jiaod, Yufan Aia,g, Yingjie Lia,g, Nan Lib, Xiaonan Chenb,e,f, Xiaoming Caid, Xinzong Xiaob,e,f,*, Jilong Wanga, Min Yanga,g, and Ming Su ID,a,g,*</dc:creator>
  <dc:language>en</dc:language>
  <cp:keywords/>
  <dcterms:created xsi:type="dcterms:W3CDTF">2026-09-12T01:48:27Z</dcterms:created>
  <dcterms:modified xsi:type="dcterms:W3CDTF">2026-09-12T01:48:27Z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rand">
    <vt:lpwstr>../config/_brand.yml</vt:lpwstr>
  </property>
  <property fmtid="{D5CDD505-2E9C-101B-9397-08002B2CF9AE}" pid="8" name="by-affiliation">
    <vt:lpwstr/>
  </property>
  <property fmtid="{D5CDD505-2E9C-101B-9397-08002B2CF9AE}" pid="9" name="by-author">
    <vt:lpwstr/>
  </property>
  <property fmtid="{D5CDD505-2E9C-101B-9397-08002B2CF9AE}" pid="10" name="commands">
    <vt:lpwstr/>
  </property>
  <property fmtid="{D5CDD505-2E9C-101B-9397-08002B2CF9AE}" pid="11" name="comments">
    <vt:lpwstr/>
  </property>
  <property fmtid="{D5CDD505-2E9C-101B-9397-08002B2CF9AE}" pid="12" name="crossref">
    <vt:lpwstr/>
  </property>
  <property fmtid="{D5CDD505-2E9C-101B-9397-08002B2CF9AE}" pid="13" name="csl">
    <vt:lpwstr>../_extensions/drwater/dwinst/elsevier-harvard.csl</vt:lpwstr>
  </property>
  <property fmtid="{D5CDD505-2E9C-101B-9397-08002B2CF9AE}" pid="14" name="doi">
    <vt:lpwstr/>
  </property>
  <property fmtid="{D5CDD505-2E9C-101B-9397-08002B2CF9AE}" pid="15" name="doublespacing">
    <vt:lpwstr>True</vt:lpwstr>
  </property>
  <property fmtid="{D5CDD505-2E9C-101B-9397-08002B2CF9AE}" pid="16" name="execute">
    <vt:lpwstr/>
  </property>
  <property fmtid="{D5CDD505-2E9C-101B-9397-08002B2CF9AE}" pid="17" name="funding">
    <vt:lpwstr/>
  </property>
  <property fmtid="{D5CDD505-2E9C-101B-9397-08002B2CF9AE}" pid="18" name="header-includes">
    <vt:lpwstr/>
  </property>
  <property fmtid="{D5CDD505-2E9C-101B-9397-08002B2CF9AE}" pid="19" name="include-after">
    <vt:lpwstr/>
  </property>
  <property fmtid="{D5CDD505-2E9C-101B-9397-08002B2CF9AE}" pid="20" name="include-before">
    <vt:lpwstr/>
  </property>
  <property fmtid="{D5CDD505-2E9C-101B-9397-08002B2CF9AE}" pid="21" name="isSM">
    <vt:lpwstr>True</vt:lpwstr>
  </property>
  <property fmtid="{D5CDD505-2E9C-101B-9397-08002B2CF9AE}" pid="22" name="knitr">
    <vt:lpwstr/>
  </property>
  <property fmtid="{D5CDD505-2E9C-101B-9397-08002B2CF9AE}" pid="23" name="labels">
    <vt:lpwstr/>
  </property>
  <property fmtid="{D5CDD505-2E9C-101B-9397-08002B2CF9AE}" pid="24" name="lightbox">
    <vt:lpwstr>auto</vt:lpwstr>
  </property>
  <property fmtid="{D5CDD505-2E9C-101B-9397-08002B2CF9AE}" pid="25" name="linenumber">
    <vt:lpwstr>True</vt:lpwstr>
  </property>
  <property fmtid="{D5CDD505-2E9C-101B-9397-08002B2CF9AE}" pid="26" name="msname">
    <vt:lpwstr>MS</vt:lpwstr>
  </property>
  <property fmtid="{D5CDD505-2E9C-101B-9397-08002B2CF9AE}" pid="27" name="newpagesubsection">
    <vt:lpwstr>False</vt:lpwstr>
  </property>
  <property fmtid="{D5CDD505-2E9C-101B-9397-08002B2CF9AE}" pid="28" name="revealjs-plugins">
    <vt:lpwstr/>
  </property>
  <property fmtid="{D5CDD505-2E9C-101B-9397-08002B2CF9AE}" pid="29" name="smname">
    <vt:lpwstr>SM</vt:lpwstr>
  </property>
  <property fmtid="{D5CDD505-2E9C-101B-9397-08002B2CF9AE}" pid="30" name="submitid">
    <vt:lpwstr>WR113962</vt:lpwstr>
  </property>
  <property fmtid="{D5CDD505-2E9C-101B-9397-08002B2CF9AE}" pid="31" name="submitjournal">
    <vt:lpwstr>Water Research</vt:lpwstr>
  </property>
  <property fmtid="{D5CDD505-2E9C-101B-9397-08002B2CF9AE}" pid="32" name="subtitle">
    <vt:lpwstr>Supplementary Information</vt:lpwstr>
  </property>
  <property fmtid="{D5CDD505-2E9C-101B-9397-08002B2CF9AE}" pid="33" name="toc-title">
    <vt:lpwstr>Table of contents</vt:lpwstr>
  </property>
  <property fmtid="{D5CDD505-2E9C-101B-9397-08002B2CF9AE}" pid="34" name="watermark">
    <vt:lpwstr/>
  </property>
</Properties>
</file>