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Spatiotemporal decoupling of littoral and lacustrine geosmin dynamics: Implications for early warning in drinking water reservoirs</w:t>
      </w:r>
    </w:p>
    <w:p>
      <w:pPr>
        <w:pStyle w:val="Author"/>
      </w:pPr>
      <w:r>
        <w:t xml:space="preserve">Yuying Gui</w:t>
      </w:r>
      <w:r>
        <w:rPr>
          <w:vertAlign w:val="superscript"/>
        </w:rPr>
        <w:t xml:space="preserve">a,b,#</w:t>
      </w:r>
      <w:r>
        <w:t xml:space="preserve">, Tengxin Cao</w:t>
      </w:r>
      <w:r>
        <w:rPr>
          <w:vertAlign w:val="superscript"/>
        </w:rPr>
        <w:t xml:space="preserve">b,f,#</w:t>
      </w:r>
      <w:r>
        <w:t xml:space="preserve">, Jie Yang</w:t>
      </w:r>
      <w:r>
        <w:rPr>
          <w:vertAlign w:val="superscript"/>
        </w:rPr>
        <w:t xml:space="preserve">c</w:t>
      </w:r>
      <w:r>
        <w:t xml:space="preserve">, Jihui Qin</w:t>
      </w:r>
      <w:r>
        <w:rPr>
          <w:vertAlign w:val="superscript"/>
        </w:rPr>
        <w:t xml:space="preserve">d</w:t>
      </w:r>
      <w:r>
        <w:t xml:space="preserve">, Ming Su</w:t>
      </w:r>
      <w:r>
        <w:rPr>
          <w:vertAlign w:val="superscript"/>
        </w:rPr>
        <w:t xml:space="preserve"> </w:t>
      </w:r>
      <w:hyperlink r:id="rId20">
        <w:r>
          <w:rPr>
            <w:rStyle w:val="Hyperlink"/>
            <w:vertAlign w:val="superscript"/>
          </w:rPr>
          <w:t xml:space="preserve">ID</w:t>
        </w:r>
      </w:hyperlink>
      <w:r>
        <w:rPr>
          <w:vertAlign w:val="superscript"/>
        </w:rPr>
        <w:t xml:space="preserve">,b,f,*</w:t>
      </w:r>
      <w:r>
        <w:t xml:space="preserve">, Ziyi Yang</w:t>
      </w:r>
      <w:r>
        <w:rPr>
          <w:vertAlign w:val="superscript"/>
        </w:rPr>
        <w:t xml:space="preserve">b,f</w:t>
      </w:r>
      <w:r>
        <w:t xml:space="preserve">, Qi Zhang</w:t>
      </w:r>
      <w:r>
        <w:rPr>
          <w:vertAlign w:val="superscript"/>
        </w:rPr>
        <w:t xml:space="preserve">e</w:t>
      </w:r>
      <w:r>
        <w:t xml:space="preserve">, Yufan Ai</w:t>
      </w:r>
      <w:r>
        <w:rPr>
          <w:vertAlign w:val="superscript"/>
        </w:rPr>
        <w:t xml:space="preserve">b,f</w:t>
      </w:r>
      <w:r>
        <w:t xml:space="preserve">, Jiao Fang</w:t>
      </w:r>
      <w:r>
        <w:rPr>
          <w:vertAlign w:val="superscript"/>
        </w:rPr>
        <w:t xml:space="preserve">b</w:t>
      </w:r>
      <w:r>
        <w:t xml:space="preserve">, Yingjie Li</w:t>
      </w:r>
      <w:r>
        <w:rPr>
          <w:vertAlign w:val="superscript"/>
        </w:rPr>
        <w:t xml:space="preserve">b,f</w:t>
      </w:r>
      <w:r>
        <w:t xml:space="preserve">, Yuanhong Xiao</w:t>
      </w:r>
      <w:r>
        <w:rPr>
          <w:vertAlign w:val="superscript"/>
        </w:rPr>
        <w:t xml:space="preserve">d</w:t>
      </w:r>
      <w:r>
        <w:t xml:space="preserve">, Zhixiang Hao</w:t>
      </w:r>
      <w:r>
        <w:rPr>
          <w:vertAlign w:val="superscript"/>
        </w:rPr>
        <w:t xml:space="preserve">c</w:t>
      </w:r>
      <w:r>
        <w:t xml:space="preserve">, Zhengyan Li</w:t>
      </w:r>
      <w:r>
        <w:rPr>
          <w:vertAlign w:val="superscript"/>
        </w:rPr>
        <w:t xml:space="preserve">a</w:t>
      </w:r>
      <w:r>
        <w:t xml:space="preserve">, and Min Yang</w:t>
      </w:r>
      <w:r>
        <w:rPr>
          <w:vertAlign w:val="superscript"/>
        </w:rPr>
        <w:t xml:space="preserve">b,f</w:t>
      </w:r>
    </w:p>
    <w:p>
      <w:pPr>
        <w:pStyle w:val="Date"/>
      </w:pPr>
      <w:r>
        <w:t xml:space="preserve">2026-01-02</w:t>
      </w:r>
    </w:p>
    <w:p>
      <w:pPr>
        <w:pStyle w:val="FirstParagraph"/>
      </w:pPr>
      <w:r>
        <w:rPr>
          <w:vertAlign w:val="superscript"/>
        </w:rPr>
        <w:t xml:space="preserve">#</w:t>
      </w:r>
      <w:r>
        <w:t xml:space="preserve"> </w:t>
      </w:r>
      <w:r>
        <w:t xml:space="preserve">These authors contributed equally to this work.</w:t>
      </w:r>
    </w:p>
    <w:p>
      <w:pPr>
        <w:pStyle w:val="BodyText"/>
      </w:pPr>
      <w:r>
        <w:rPr>
          <w:vertAlign w:val="superscript"/>
        </w:rPr>
        <w:t xml:space="preserve">a</w:t>
      </w:r>
      <w:r>
        <w:t xml:space="preserve"> </w:t>
      </w:r>
      <w:r>
        <w:t xml:space="preserve">College of Environmental Science and Engineering, Ocean University of China, Qingdao 266100, China.</w:t>
      </w:r>
      <w:r>
        <w:br/>
      </w:r>
      <w:r>
        <w:rPr>
          <w:vertAlign w:val="superscript"/>
        </w:rPr>
        <w:t xml:space="preserve">b</w:t>
      </w:r>
      <w:r>
        <w:t xml:space="preserve"> </w:t>
      </w:r>
      <w:r>
        <w:t xml:space="preserve">Key Laboratory of Environmental Aquatic Chemistry, State Key Laboratory of Regional Environment and Sustainability, Research Center for Eco-Environmental Sciences, Chinese Academy of Sciences, Beijing 100085, China.</w:t>
      </w:r>
      <w:r>
        <w:br/>
      </w:r>
      <w:r>
        <w:rPr>
          <w:vertAlign w:val="superscript"/>
        </w:rPr>
        <w:t xml:space="preserve">c</w:t>
      </w:r>
      <w:r>
        <w:t xml:space="preserve"> </w:t>
      </w:r>
      <w:r>
        <w:t xml:space="preserve">Tianjin Hydraulic Research Institute, Tianjin 300061, China.</w:t>
      </w:r>
      <w:r>
        <w:br/>
      </w:r>
      <w:r>
        <w:rPr>
          <w:vertAlign w:val="superscript"/>
        </w:rPr>
        <w:t xml:space="preserve">d</w:t>
      </w:r>
      <w:r>
        <w:t xml:space="preserve"> </w:t>
      </w:r>
      <w:r>
        <w:t xml:space="preserve">Tianjin Yuqiao Reservoir Authority, Tianjin 301900, China.</w:t>
      </w:r>
      <w:r>
        <w:br/>
      </w:r>
      <w:r>
        <w:rPr>
          <w:vertAlign w:val="superscript"/>
        </w:rPr>
        <w:t xml:space="preserve">e</w:t>
      </w:r>
      <w:r>
        <w:t xml:space="preserve"> </w:t>
      </w:r>
      <w:r>
        <w:t xml:space="preserve">Institute of Hydrobiology, Chinese Academy of Sciences, Wuhan 430070, China.</w:t>
      </w:r>
      <w:r>
        <w:br/>
      </w:r>
      <w:r>
        <w:rPr>
          <w:vertAlign w:val="superscript"/>
        </w:rPr>
        <w:t xml:space="preserve">f</w:t>
      </w:r>
      <w:r>
        <w:t xml:space="preserve"> </w:t>
      </w:r>
      <w:r>
        <w:t xml:space="preserve">University of Chinese Academy of Sciences, Beijing 100049, China.</w:t>
      </w:r>
    </w:p>
    <w:p>
      <w:pPr>
        <w:pStyle w:val="BodyText"/>
      </w:pPr>
      <w:r>
        <w:rPr>
          <w:vertAlign w:val="superscript"/>
        </w:rPr>
        <w:t xml:space="preserve">*</w:t>
      </w:r>
      <w:r>
        <w:t xml:space="preserve"> </w:t>
      </w:r>
      <w:r>
        <w:t xml:space="preserve">Corresponding to:</w:t>
      </w:r>
      <w:r>
        <w:t xml:space="preserve"> </w:t>
      </w:r>
      <w:hyperlink r:id="rId21">
        <w:r>
          <w:rPr>
            <w:rStyle w:val="Hyperlink"/>
          </w:rPr>
          <w:t xml:space="preserve">Ming Su (mingsu@rcees.ac.cn)</w:t>
        </w:r>
      </w:hyperlink>
    </w:p>
    <w:bookmarkStart w:id="22" w:name="credit-authorship-contribution-statement"/>
    <w:p>
      <w:pPr>
        <w:pStyle w:val="Heading1"/>
      </w:pPr>
      <w:r>
        <w:t xml:space="preserve">CRediT authorship contribution statement</w:t>
      </w:r>
    </w:p>
    <w:p>
      <w:pPr>
        <w:pStyle w:val="FirstParagraph"/>
      </w:pPr>
      <w:r>
        <w:t xml:space="preserve">Ming Su: Conceptualization, Methodology, Validation, Formal analysis, Writing - Original Draft, Writing - Review &amp; Editing, Visualization, Project administration, Funding acquisition. Yiping Zhu: Investigation, Resources, Project administration. Michael Burch: Writing - Review &amp; Editing. Jinping Lu, Tengxin Cao, Yufan Ai: Investigation. Jianwei Yu: Resources. Min Yang: Conceptualization, Validation, Formal analysis, Writing - Review &amp; Editing, Project administration, Resources, Funding acquisition, Supervision.</w:t>
      </w:r>
    </w:p>
    <w:bookmarkEnd w:id="22"/>
    <w:sectPr w:rsidR="00C83DEB" w:rsidRPr="009A350C" w:rsidSect="00D34A99">
      <w:type w:val="continuous"/>
      <w:pgSz w:h="16848" w:w="11952"/>
      <w:pgMar w:bottom="1440" w:footer="720" w:gutter="720" w:header="720" w:left="1440" w:right="1440" w:top="1440"/>
      <w:lnNumType w:countBy="1" w:restart="continuous"/>
      <w:cols w:space="720"/>
      <w:docGrid w:linePitch="326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7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 (Body CS)">
    <w:altName w:val="Times New Roman"/>
    <w:panose1 w:val="020B0604020202020204"/>
    <w:charset w:val="00"/>
    <w:family w:val="roman"/>
    <w:pitch w:val="default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sdtdh="http://schemas.microsoft.com/office/word/2020/wordml/sdtdatahash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p14">
  <w:abstractNum w15:restartNumberingAfterBreak="0" w:abstractNumId="0">
    <w:nsid w:val="EA454B4C"/>
    <w:multiLevelType w:val="multilevel"/>
    <w:tmpl w:val="17A2F78A"/>
    <w:lvl w:ilvl="0">
      <w:numFmt w:val="bullet"/>
      <w:lvlText w:val="•"/>
      <w:lvlJc w:val="left"/>
      <w:pPr>
        <w:tabs>
          <w:tab w:pos="0" w:val="num"/>
        </w:tabs>
        <w:ind w:hanging="480" w:left="480"/>
      </w:pPr>
    </w:lvl>
    <w:lvl w:ilvl="1">
      <w:numFmt w:val="bullet"/>
      <w:lvlText w:val="–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•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–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•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–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•"/>
      <w:lvlJc w:val="left"/>
      <w:pPr>
        <w:tabs>
          <w:tab w:pos="4320" w:val="num"/>
        </w:tabs>
        <w:ind w:hanging="480" w:left="4800"/>
      </w:pPr>
    </w:lvl>
    <w:lvl w:ilvl="7">
      <w:numFmt w:val="bullet"/>
      <w:lvlText w:val="–"/>
      <w:lvlJc w:val="left"/>
      <w:pPr>
        <w:tabs>
          <w:tab w:pos="5040" w:val="num"/>
        </w:tabs>
        <w:ind w:hanging="480" w:left="5520"/>
      </w:pPr>
    </w:lvl>
    <w:lvl w:ilvl="8">
      <w:numFmt w:val="bullet"/>
      <w:lvlText w:val="•"/>
      <w:lvlJc w:val="left"/>
      <w:pPr>
        <w:tabs>
          <w:tab w:pos="5760" w:val="num"/>
        </w:tabs>
        <w:ind w:hanging="480" w:left="6240"/>
      </w:pPr>
    </w:lvl>
  </w:abstractNum>
  <w:abstractNum w15:restartNumberingAfterBreak="0" w:abstractNumId="1">
    <w:nsid w:val="FFFFFF7C"/>
    <w:multiLevelType w:val="singleLevel"/>
    <w:tmpl w:val="35BCE13A"/>
    <w:lvl w:ilvl="0">
      <w:start w:val="1"/>
      <w:numFmt w:val="decimal"/>
      <w:lvlText w:val="%1."/>
      <w:lvlJc w:val="left"/>
      <w:pPr>
        <w:tabs>
          <w:tab w:pos="1492" w:val="num"/>
        </w:tabs>
        <w:ind w:hanging="360" w:left="1492"/>
      </w:pPr>
    </w:lvl>
  </w:abstractNum>
  <w:abstractNum w15:restartNumberingAfterBreak="0" w:abstractNumId="2">
    <w:nsid w:val="FFFFFF7D"/>
    <w:multiLevelType w:val="singleLevel"/>
    <w:tmpl w:val="17ACA35A"/>
    <w:lvl w:ilvl="0">
      <w:start w:val="1"/>
      <w:numFmt w:val="decimal"/>
      <w:lvlText w:val="%1."/>
      <w:lvlJc w:val="left"/>
      <w:pPr>
        <w:tabs>
          <w:tab w:pos="1209" w:val="num"/>
        </w:tabs>
        <w:ind w:hanging="360" w:left="1209"/>
      </w:pPr>
    </w:lvl>
  </w:abstractNum>
  <w:abstractNum w15:restartNumberingAfterBreak="0" w:abstractNumId="3">
    <w:nsid w:val="FFFFFF7E"/>
    <w:multiLevelType w:val="singleLevel"/>
    <w:tmpl w:val="305208BC"/>
    <w:lvl w:ilvl="0">
      <w:start w:val="1"/>
      <w:numFmt w:val="decimal"/>
      <w:lvlText w:val="%1."/>
      <w:lvlJc w:val="left"/>
      <w:pPr>
        <w:tabs>
          <w:tab w:pos="926" w:val="num"/>
        </w:tabs>
        <w:ind w:hanging="360" w:left="926"/>
      </w:pPr>
    </w:lvl>
  </w:abstractNum>
  <w:abstractNum w15:restartNumberingAfterBreak="0" w:abstractNumId="4">
    <w:nsid w:val="FFFFFF7F"/>
    <w:multiLevelType w:val="singleLevel"/>
    <w:tmpl w:val="538C7DB2"/>
    <w:lvl w:ilvl="0">
      <w:start w:val="1"/>
      <w:numFmt w:val="decimal"/>
      <w:lvlText w:val="%1."/>
      <w:lvlJc w:val="left"/>
      <w:pPr>
        <w:tabs>
          <w:tab w:pos="643" w:val="num"/>
        </w:tabs>
        <w:ind w:hanging="360" w:left="643"/>
      </w:pPr>
    </w:lvl>
  </w:abstractNum>
  <w:abstractNum w15:restartNumberingAfterBreak="0" w:abstractNumId="5">
    <w:nsid w:val="FFFFFF80"/>
    <w:multiLevelType w:val="singleLevel"/>
    <w:tmpl w:val="520CF04A"/>
    <w:lvl w:ilvl="0">
      <w:start w:val="1"/>
      <w:numFmt w:val="bullet"/>
      <w:lvlText w:val=""/>
      <w:lvlJc w:val="left"/>
      <w:pPr>
        <w:tabs>
          <w:tab w:pos="1492" w:val="num"/>
        </w:tabs>
        <w:ind w:hanging="360" w:left="1492"/>
      </w:pPr>
      <w:rPr>
        <w:rFonts w:ascii="Symbol" w:hAnsi="Symbol" w:hint="default"/>
      </w:rPr>
    </w:lvl>
  </w:abstractNum>
  <w:abstractNum w15:restartNumberingAfterBreak="0" w:abstractNumId="6">
    <w:nsid w:val="FFFFFF81"/>
    <w:multiLevelType w:val="singleLevel"/>
    <w:tmpl w:val="E05CA962"/>
    <w:lvl w:ilvl="0">
      <w:start w:val="1"/>
      <w:numFmt w:val="bullet"/>
      <w:lvlText w:val=""/>
      <w:lvlJc w:val="left"/>
      <w:pPr>
        <w:tabs>
          <w:tab w:pos="1209" w:val="num"/>
        </w:tabs>
        <w:ind w:hanging="360" w:left="1209"/>
      </w:pPr>
      <w:rPr>
        <w:rFonts w:ascii="Symbol" w:hAnsi="Symbol" w:hint="default"/>
      </w:rPr>
    </w:lvl>
  </w:abstractNum>
  <w:abstractNum w15:restartNumberingAfterBreak="0" w:abstractNumId="7">
    <w:nsid w:val="FFFFFF82"/>
    <w:multiLevelType w:val="singleLevel"/>
    <w:tmpl w:val="91027A62"/>
    <w:lvl w:ilvl="0">
      <w:start w:val="1"/>
      <w:numFmt w:val="bullet"/>
      <w:lvlText w:val=""/>
      <w:lvlJc w:val="left"/>
      <w:pPr>
        <w:tabs>
          <w:tab w:pos="926" w:val="num"/>
        </w:tabs>
        <w:ind w:hanging="360" w:left="926"/>
      </w:pPr>
      <w:rPr>
        <w:rFonts w:ascii="Symbol" w:hAnsi="Symbol" w:hint="default"/>
      </w:rPr>
    </w:lvl>
  </w:abstractNum>
  <w:abstractNum w15:restartNumberingAfterBreak="0" w:abstractNumId="8">
    <w:nsid w:val="FFFFFF83"/>
    <w:multiLevelType w:val="singleLevel"/>
    <w:tmpl w:val="6DB2BCF6"/>
    <w:lvl w:ilvl="0">
      <w:start w:val="1"/>
      <w:numFmt w:val="bullet"/>
      <w:lvlText w:val=""/>
      <w:lvlJc w:val="left"/>
      <w:pPr>
        <w:tabs>
          <w:tab w:pos="643" w:val="num"/>
        </w:tabs>
        <w:ind w:hanging="360" w:left="643"/>
      </w:pPr>
      <w:rPr>
        <w:rFonts w:ascii="Symbol" w:hAnsi="Symbol" w:hint="default"/>
      </w:rPr>
    </w:lvl>
  </w:abstractNum>
  <w:abstractNum w15:restartNumberingAfterBreak="0" w:abstractNumId="9">
    <w:nsid w:val="FFFFFF88"/>
    <w:multiLevelType w:val="singleLevel"/>
    <w:tmpl w:val="985C7762"/>
    <w:lvl w:ilvl="0">
      <w:start w:val="1"/>
      <w:numFmt w:val="decimal"/>
      <w:lvlText w:val="%1."/>
      <w:lvlJc w:val="left"/>
      <w:pPr>
        <w:tabs>
          <w:tab w:pos="360" w:val="num"/>
        </w:tabs>
        <w:ind w:hanging="360" w:left="360"/>
      </w:pPr>
    </w:lvl>
  </w:abstractNum>
  <w:abstractNum w15:restartNumberingAfterBreak="0" w:abstractNumId="10">
    <w:nsid w:val="FFFFFF89"/>
    <w:multiLevelType w:val="singleLevel"/>
    <w:tmpl w:val="D5CEBA96"/>
    <w:lvl w:ilvl="0">
      <w:start w:val="1"/>
      <w:numFmt w:val="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15:restartNumberingAfterBreak="0" w:abstractNumId="11">
    <w:nsid w:val="0000A990"/>
    <w:multiLevelType w:val="multilevel"/>
    <w:tmpl w:val="ECD0910E"/>
    <w:lvl w:ilvl="0">
      <w:numFmt w:val="bullet"/>
      <w:lvlText w:val=" "/>
      <w:lvlJc w:val="left"/>
      <w:pPr>
        <w:ind w:hanging="480" w:left="720"/>
      </w:pPr>
    </w:lvl>
    <w:lvl w:ilvl="1">
      <w:numFmt w:val="bullet"/>
      <w:lvlText w:val=" "/>
      <w:lvlJc w:val="left"/>
      <w:pPr>
        <w:ind w:hanging="480" w:left="1440"/>
      </w:pPr>
    </w:lvl>
    <w:lvl w:ilvl="2">
      <w:numFmt w:val="bullet"/>
      <w:lvlText w:val=" "/>
      <w:lvlJc w:val="left"/>
      <w:pPr>
        <w:ind w:hanging="480" w:left="2160"/>
      </w:pPr>
    </w:lvl>
    <w:lvl w:ilvl="3">
      <w:numFmt w:val="bullet"/>
      <w:lvlText w:val=" "/>
      <w:lvlJc w:val="left"/>
      <w:pPr>
        <w:ind w:hanging="480" w:left="2880"/>
      </w:pPr>
    </w:lvl>
    <w:lvl w:ilvl="4">
      <w:numFmt w:val="bullet"/>
      <w:lvlText w:val=" "/>
      <w:lvlJc w:val="left"/>
      <w:pPr>
        <w:ind w:hanging="480" w:left="3600"/>
      </w:pPr>
    </w:lvl>
    <w:lvl w:ilvl="5">
      <w:numFmt w:val="bullet"/>
      <w:lvlText w:val=" "/>
      <w:lvlJc w:val="left"/>
      <w:pPr>
        <w:ind w:hanging="480" w:left="4320"/>
      </w:pPr>
    </w:lvl>
    <w:lvl w:ilvl="6">
      <w:numFmt w:val="bullet"/>
      <w:lvlText w:val=" "/>
      <w:lvlJc w:val="left"/>
      <w:pPr>
        <w:ind w:hanging="480" w:left="5040"/>
      </w:pPr>
    </w:lvl>
    <w:lvl w:ilvl="7">
      <w:numFmt w:val="bullet"/>
      <w:lvlText w:val=" "/>
      <w:lvlJc w:val="left"/>
      <w:pPr>
        <w:ind w:hanging="480" w:left="5760"/>
      </w:pPr>
    </w:lvl>
    <w:lvl w:ilvl="8">
      <w:numFmt w:val="bullet"/>
      <w:lvlText w:val=" "/>
      <w:lvlJc w:val="left"/>
      <w:pPr>
        <w:ind w:hanging="480" w:left="6480"/>
      </w:pPr>
    </w:lvl>
  </w:abstractNum>
  <w:abstractNum w15:restartNumberingAfterBreak="0" w:abstractNumId="12">
    <w:nsid w:val="00A99421"/>
    <w:multiLevelType w:val="multilevel"/>
    <w:tmpl w:val="3592AE20"/>
    <w:lvl w:ilvl="0">
      <w:start w:val="1"/>
      <w:numFmt w:val="decimal"/>
      <w:lvlText w:val="%1)"/>
      <w:lvlJc w:val="left"/>
      <w:pPr>
        <w:ind w:hanging="480" w:left="720"/>
      </w:pPr>
    </w:lvl>
    <w:lvl w:ilvl="1">
      <w:start w:val="1"/>
      <w:numFmt w:val="decimal"/>
      <w:lvlText w:val="%2)"/>
      <w:lvlJc w:val="left"/>
      <w:pPr>
        <w:ind w:hanging="480" w:left="1440"/>
      </w:pPr>
    </w:lvl>
    <w:lvl w:ilvl="2">
      <w:start w:val="1"/>
      <w:numFmt w:val="decimal"/>
      <w:lvlText w:val="%3)"/>
      <w:lvlJc w:val="left"/>
      <w:pPr>
        <w:ind w:hanging="480" w:left="2160"/>
      </w:pPr>
    </w:lvl>
    <w:lvl w:ilvl="3">
      <w:start w:val="1"/>
      <w:numFmt w:val="decimal"/>
      <w:lvlText w:val="%4)"/>
      <w:lvlJc w:val="left"/>
      <w:pPr>
        <w:ind w:hanging="480" w:left="2880"/>
      </w:pPr>
    </w:lvl>
    <w:lvl w:ilvl="4">
      <w:start w:val="1"/>
      <w:numFmt w:val="decimal"/>
      <w:lvlText w:val="%5)"/>
      <w:lvlJc w:val="left"/>
      <w:pPr>
        <w:ind w:hanging="480" w:left="3600"/>
      </w:pPr>
    </w:lvl>
    <w:lvl w:ilvl="5">
      <w:start w:val="1"/>
      <w:numFmt w:val="decimal"/>
      <w:lvlText w:val="%6)"/>
      <w:lvlJc w:val="left"/>
      <w:pPr>
        <w:ind w:hanging="480" w:left="4320"/>
      </w:pPr>
    </w:lvl>
    <w:lvl w:ilvl="6">
      <w:start w:val="1"/>
      <w:numFmt w:val="decimal"/>
      <w:lvlText w:val="%7)"/>
      <w:lvlJc w:val="left"/>
      <w:pPr>
        <w:ind w:hanging="480" w:left="5040"/>
      </w:pPr>
    </w:lvl>
    <w:lvl w:ilvl="7">
      <w:start w:val="1"/>
      <w:numFmt w:val="decimal"/>
      <w:lvlText w:val="%8)"/>
      <w:lvlJc w:val="left"/>
      <w:pPr>
        <w:ind w:hanging="480" w:left="5760"/>
      </w:pPr>
    </w:lvl>
    <w:lvl w:ilvl="8">
      <w:start w:val="1"/>
      <w:numFmt w:val="decimal"/>
      <w:lvlText w:val="%9)"/>
      <w:lvlJc w:val="left"/>
      <w:pPr>
        <w:ind w:hanging="480" w:left="6480"/>
      </w:pPr>
    </w:lvl>
  </w:abstractNum>
  <w:abstractNum w15:restartNumberingAfterBreak="0" w:abstractNumId="13">
    <w:nsid w:val="2AAB1796"/>
    <w:multiLevelType w:val="multilevel"/>
    <w:tmpl w:val="F7E0EDFA"/>
    <w:lvl w:ilvl="0">
      <w:start w:val="1"/>
      <w:numFmt w:val="decimal"/>
      <w:pStyle w:val="Heading1"/>
      <w:lvlText w:val="%1"/>
      <w:lvlJc w:val="left"/>
      <w:pPr>
        <w:ind w:hanging="432" w:left="432"/>
      </w:pPr>
    </w:lvl>
    <w:lvl w:ilvl="1">
      <w:start w:val="1"/>
      <w:numFmt w:val="decimal"/>
      <w:pStyle w:val="Heading2"/>
      <w:lvlText w:val="%1.%2"/>
      <w:lvlJc w:val="left"/>
      <w:pPr>
        <w:ind w:hanging="576" w:left="576"/>
      </w:pPr>
    </w:lvl>
    <w:lvl w:ilvl="2">
      <w:start w:val="1"/>
      <w:numFmt w:val="decimal"/>
      <w:pStyle w:val="Heading3"/>
      <w:lvlText w:val="%1.%2.%3"/>
      <w:lvlJc w:val="left"/>
      <w:pPr>
        <w:ind w:hanging="720" w:left="720"/>
      </w:pPr>
    </w:lvl>
    <w:lvl w:ilvl="3">
      <w:start w:val="1"/>
      <w:numFmt w:val="decimal"/>
      <w:pStyle w:val="Heading4"/>
      <w:lvlText w:val="%1.%2.%3.%4"/>
      <w:lvlJc w:val="left"/>
      <w:pPr>
        <w:ind w:hanging="864" w:left="864"/>
      </w:pPr>
    </w:lvl>
    <w:lvl w:ilvl="4">
      <w:start w:val="1"/>
      <w:numFmt w:val="decimal"/>
      <w:pStyle w:val="Heading5"/>
      <w:lvlText w:val="%1.%2.%3.%4.%5"/>
      <w:lvlJc w:val="left"/>
      <w:pPr>
        <w:ind w:hanging="1008" w:left="1008"/>
      </w:pPr>
    </w:lvl>
    <w:lvl w:ilvl="5">
      <w:start w:val="1"/>
      <w:numFmt w:val="decimal"/>
      <w:pStyle w:val="Heading6"/>
      <w:lvlText w:val="%1.%2.%3.%4.%5.%6"/>
      <w:lvlJc w:val="left"/>
      <w:pPr>
        <w:ind w:hanging="1152" w:left="1152"/>
      </w:pPr>
    </w:lvl>
    <w:lvl w:ilvl="6">
      <w:start w:val="1"/>
      <w:numFmt w:val="decimal"/>
      <w:pStyle w:val="Heading7"/>
      <w:lvlText w:val="%1.%2.%3.%4.%5.%6.%7"/>
      <w:lvlJc w:val="left"/>
      <w:pPr>
        <w:ind w:hanging="1296" w:left="1296"/>
      </w:pPr>
    </w:lvl>
    <w:lvl w:ilvl="7">
      <w:start w:val="1"/>
      <w:numFmt w:val="decimal"/>
      <w:pStyle w:val="Heading8"/>
      <w:lvlText w:val="%1.%2.%3.%4.%5.%6.%7.%8"/>
      <w:lvlJc w:val="left"/>
      <w:pPr>
        <w:ind w:hanging="1440" w:left="1440"/>
      </w:pPr>
    </w:lvl>
    <w:lvl w:ilvl="8">
      <w:start w:val="1"/>
      <w:numFmt w:val="decimal"/>
      <w:pStyle w:val="Heading9"/>
      <w:lvlText w:val="%1.%2.%3.%4.%5.%6.%7.%8.%9"/>
      <w:lvlJc w:val="left"/>
      <w:pPr>
        <w:ind w:hanging="1584" w:left="1584"/>
      </w:pPr>
    </w:lvl>
  </w:abstractNum>
  <w:abstractNum w15:restartNumberingAfterBreak="0" w:abstractNumId="14">
    <w:nsid w:val="2C1AE401"/>
    <w:multiLevelType w:val="multilevel"/>
    <w:tmpl w:val="EB5024DC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bullet"/>
      <w:lvlText w:val=" "/>
      <w:lvlJc w:val="left"/>
      <w:pPr>
        <w:tabs>
          <w:tab w:pos="5040" w:val="num"/>
        </w:tabs>
        <w:ind w:hanging="480" w:left="5520"/>
      </w:pPr>
    </w:lvl>
    <w:lvl w:ilvl="8">
      <w:numFmt w:val="bullet"/>
      <w:lvlText w:val=" "/>
      <w:lvlJc w:val="left"/>
      <w:pPr>
        <w:tabs>
          <w:tab w:pos="5760" w:val="num"/>
        </w:tabs>
        <w:ind w:hanging="480" w:left="6240"/>
      </w:p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16cid:durableId="1647003809" w:numId="1">
    <w:abstractNumId w:val="14"/>
  </w:num>
  <w:num w16cid:durableId="1050769522" w:numId="2">
    <w:abstractNumId w:val="1"/>
  </w:num>
  <w:num w16cid:durableId="691146791" w:numId="3">
    <w:abstractNumId w:val="2"/>
  </w:num>
  <w:num w16cid:durableId="1840848626" w:numId="4">
    <w:abstractNumId w:val="3"/>
  </w:num>
  <w:num w16cid:durableId="979381040" w:numId="5">
    <w:abstractNumId w:val="4"/>
  </w:num>
  <w:num w16cid:durableId="1339770353" w:numId="6">
    <w:abstractNumId w:val="9"/>
  </w:num>
  <w:num w16cid:durableId="1869879009" w:numId="7">
    <w:abstractNumId w:val="5"/>
  </w:num>
  <w:num w16cid:durableId="958805246" w:numId="8">
    <w:abstractNumId w:val="6"/>
  </w:num>
  <w:num w16cid:durableId="1871726544" w:numId="9">
    <w:abstractNumId w:val="7"/>
  </w:num>
  <w:num w16cid:durableId="1443769426" w:numId="10">
    <w:abstractNumId w:val="8"/>
  </w:num>
  <w:num w16cid:durableId="2133476877" w:numId="11">
    <w:abstractNumId w:val="10"/>
  </w:num>
  <w:num w16cid:durableId="1658653764" w:numId="12">
    <w:abstractNumId w:val="13"/>
  </w:num>
  <w:num w16cid:durableId="1291326281" w:numId="13">
    <w:abstractNumId w:val="14"/>
  </w:num>
  <w:num w16cid:durableId="455566639" w:numId="14">
    <w:abstractNumId w:val="0"/>
  </w:num>
  <w:num w16cid:durableId="1123501441" w:numId="15">
    <w:abstractNumId w:val="0"/>
  </w:num>
  <w:num w16cid:durableId="1713111372" w:numId="16">
    <w:abstractNumId w:val="14"/>
  </w:num>
  <w:num w16cid:durableId="633413296" w:numId="17">
    <w:abstractNumId w:val="14"/>
  </w:num>
  <w:num w16cid:durableId="727605067" w:numId="18">
    <w:abstractNumId w:val="0"/>
  </w:num>
  <w:num w16cid:durableId="790052878" w:numId="19">
    <w:abstractNumId w:val="0"/>
  </w:num>
  <w:num w16cid:durableId="1687557063" w:numId="20">
    <w:abstractNumId w:val="0"/>
  </w:num>
  <w:num w16cid:durableId="1615483120" w:numId="21">
    <w:abstractNumId w:val="14"/>
  </w:num>
  <w:num w16cid:durableId="1942569766" w:numId="22">
    <w:abstractNumId w:val="14"/>
  </w:num>
  <w:num w16cid:durableId="1205798551" w:numId="23">
    <w:abstractNumId w:val="11"/>
  </w:num>
  <w:num w16cid:durableId="647243311" w:numId="2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16cid:durableId="1364794324" w:numId="25">
    <w:abstractNumId w:val="11"/>
  </w:num>
  <w:num w16cid:durableId="1211453382" w:numId="26">
    <w:abstractNumId w:val="11"/>
  </w: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78"/>
  <w:embedSystemFonts/>
  <w:proofState w:grammar="clean" w:spelling="clean"/>
  <w:stylePaneFormatFilter w:allStyles="0" w:alternateStyleNames="0" w:clearFormatting="0" w:customStyles="0" w:directFormattingOnNumbering="0" w:directFormattingOnParagraphs="0" w:directFormattingOnRuns="0" w:directFormattingOnTables="0" w:headingStyles="0" w:latentStyles="1" w:numberingStyles="0" w:stylesInUse="0" w:tableStyles="0" w:top3HeadingStyles="0" w:val="0004" w:visibleStyl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3DEB"/>
    <w:rsid w:val="009A350C"/>
    <w:rsid w:val="00BF0311"/>
    <w:rsid w:val="00C83DEB"/>
    <w:rsid w:val="00D74377"/>
    <w:rsid w:val="00E27AC7"/>
  </w:rsids>
  <w:themeFontLang w:eastAsia="zh-CN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376" w:defLockedState="0" w:defQFormat="0" w:defSemiHidden="0" w:defUIPriority="0" w:defUnhideWhenUsed="0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default="1" w:styleId="Normal" w:type="paragraph">
    <w:name w:val="Normal"/>
    <w:qFormat/>
    <w:rsid w:val="00475C52"/>
    <w:pPr>
      <w:spacing w:after="240" w:before="120" w:line="480" w:lineRule="auto"/>
      <w:ind w:firstLine="397"/>
      <w:jc w:val="both"/>
    </w:pPr>
    <w:rPr>
      <w:rFonts w:ascii="Calibri" w:eastAsiaTheme="minorEastAsia" w:hAnsi="Calibri"/>
    </w:rPr>
  </w:style>
  <w:style w:styleId="Heading1" w:type="paragraph">
    <w:name w:val="heading 1"/>
    <w:basedOn w:val="Normal"/>
    <w:next w:val="BodyText"/>
    <w:uiPriority w:val="9"/>
    <w:qFormat/>
    <w:rsid w:val="009F1910"/>
    <w:pPr>
      <w:keepNext/>
      <w:keepLines/>
      <w:numPr>
        <w:numId w:val="12"/>
      </w:numPr>
      <w:spacing w:after="0" w:line="240" w:lineRule="auto"/>
      <w:ind w:firstLine="0" w:left="0"/>
      <w:outlineLvl w:val="0"/>
    </w:pPr>
    <w:rPr>
      <w:rFonts w:asciiTheme="majorHAnsi" w:cstheme="majorBidi" w:eastAsiaTheme="majorEastAsia" w:hAnsiTheme="majorHAnsi"/>
      <w:b/>
      <w:bCs/>
      <w:sz w:val="32"/>
      <w:szCs w:val="32"/>
    </w:rPr>
  </w:style>
  <w:style w:styleId="Heading2" w:type="paragraph">
    <w:name w:val="heading 2"/>
    <w:basedOn w:val="Normal"/>
    <w:next w:val="BodyText"/>
    <w:autoRedefine/>
    <w:uiPriority w:val="9"/>
    <w:unhideWhenUsed/>
    <w:qFormat/>
    <w:rsid w:val="009F1910"/>
    <w:pPr>
      <w:keepNext/>
      <w:keepLines/>
      <w:numPr>
        <w:ilvl w:val="1"/>
        <w:numId w:val="12"/>
      </w:numPr>
      <w:spacing w:after="120" w:line="240" w:lineRule="auto"/>
      <w:ind w:firstLine="0" w:left="0"/>
      <w:outlineLvl w:val="1"/>
    </w:pPr>
    <w:rPr>
      <w:rFonts w:asciiTheme="majorHAnsi" w:cstheme="majorBidi" w:eastAsiaTheme="majorEastAsia" w:hAnsiTheme="majorHAnsi"/>
      <w:b/>
      <w:bCs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rsid w:val="00357B8B"/>
    <w:pPr>
      <w:keepNext/>
      <w:keepLines/>
      <w:numPr>
        <w:ilvl w:val="2"/>
        <w:numId w:val="12"/>
      </w:numPr>
      <w:spacing w:after="0" w:before="200"/>
      <w:outlineLvl w:val="2"/>
    </w:pPr>
    <w:rPr>
      <w:rFonts w:asciiTheme="majorHAnsi" w:cstheme="majorBidi" w:eastAsiaTheme="majorEastAsia" w:hAnsiTheme="majorHAnsi"/>
      <w:b/>
      <w:bCs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numPr>
        <w:ilvl w:val="3"/>
        <w:numId w:val="12"/>
      </w:numPr>
      <w:spacing w:after="0" w:before="200"/>
      <w:outlineLvl w:val="3"/>
    </w:pPr>
    <w:rPr>
      <w:rFonts w:asciiTheme="majorHAnsi" w:cstheme="majorBidi" w:eastAsiaTheme="majorEastAsia" w:hAnsiTheme="majorHAnsi"/>
      <w:bCs/>
      <w:i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numPr>
        <w:ilvl w:val="4"/>
        <w:numId w:val="12"/>
      </w:numPr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numPr>
        <w:ilvl w:val="5"/>
        <w:numId w:val="12"/>
      </w:numPr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numPr>
        <w:ilvl w:val="6"/>
        <w:numId w:val="12"/>
      </w:numPr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numPr>
        <w:ilvl w:val="7"/>
        <w:numId w:val="12"/>
      </w:numPr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numPr>
        <w:ilvl w:val="8"/>
        <w:numId w:val="12"/>
      </w:numPr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link w:val="BodyTextChar"/>
    <w:autoRedefine/>
    <w:qFormat/>
    <w:rsid w:val="00475C52"/>
    <w:pPr>
      <w:spacing w:after="180" w:before="180"/>
    </w:pPr>
  </w:style>
  <w:style w:customStyle="1" w:styleId="FirstParagraph" w:type="paragraph">
    <w:name w:val="First Paragraph"/>
    <w:basedOn w:val="BodyText"/>
    <w:next w:val="BodyText"/>
    <w:autoRedefine/>
    <w:qFormat/>
    <w:rsid w:val="001D0787"/>
    <w:pPr>
      <w:spacing w:after="120" w:before="240"/>
    </w:pPr>
  </w:style>
  <w:style w:customStyle="1" w:styleId="Compact" w:type="paragraph">
    <w:name w:val="Compact"/>
    <w:basedOn w:val="BodyText"/>
    <w:autoRedefine/>
    <w:qFormat/>
    <w:rsid w:val="00684FFA"/>
    <w:pPr>
      <w:spacing w:after="0" w:before="0"/>
      <w:ind w:firstLine="0"/>
      <w:jc w:val="left"/>
    </w:pPr>
  </w:style>
  <w:style w:styleId="Title" w:type="paragraph">
    <w:name w:val="Title"/>
    <w:basedOn w:val="Normal"/>
    <w:next w:val="BodyText"/>
    <w:qFormat/>
    <w:rsid w:val="009F1910"/>
    <w:pPr>
      <w:keepNext/>
      <w:keepLines/>
      <w:spacing w:after="120" w:before="240" w:line="240" w:lineRule="auto"/>
      <w:ind w:firstLine="0"/>
      <w:jc w:val="center"/>
    </w:pPr>
    <w:rPr>
      <w:rFonts w:asciiTheme="majorHAnsi" w:cstheme="majorBidi" w:eastAsiaTheme="majorEastAsia" w:hAnsiTheme="majorHAnsi"/>
      <w:b/>
      <w:bCs/>
      <w:sz w:val="32"/>
      <w:szCs w:val="36"/>
    </w:rPr>
  </w:style>
  <w:style w:styleId="Subtitle" w:type="paragraph">
    <w:name w:val="Subtitle"/>
    <w:basedOn w:val="Title"/>
    <w:next w:val="BodyText"/>
    <w:qFormat/>
    <w:rsid w:val="004659FD"/>
    <w:pPr>
      <w:spacing w:after="240"/>
    </w:pPr>
    <w:rPr>
      <w:sz w:val="28"/>
      <w:szCs w:val="30"/>
    </w:rPr>
  </w:style>
  <w:style w:customStyle="1" w:styleId="Author" w:type="paragraph">
    <w:name w:val="Author"/>
    <w:next w:val="BodyText"/>
    <w:qFormat/>
    <w:rsid w:val="009F1910"/>
    <w:pPr>
      <w:keepNext/>
      <w:keepLines/>
      <w:jc w:val="center"/>
    </w:pPr>
    <w:rPr>
      <w:sz w:val="21"/>
    </w:r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autoRedefine/>
    <w:qFormat/>
    <w:rsid w:val="00475C52"/>
    <w:rPr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uiPriority w:val="9"/>
    <w:unhideWhenUsed/>
    <w:qFormat/>
  </w:style>
  <w:style w:customStyle="1" w:styleId="Table" w:type="table">
    <w:name w:val="Table"/>
    <w:basedOn w:val="TableNormal"/>
    <w:semiHidden/>
    <w:unhideWhenUsed/>
    <w:qFormat/>
    <w:rsid w:val="00556B80"/>
    <w:tblPr>
      <w:jc w:val="center"/>
      <w:tblBorders>
        <w:bottom w:color="auto" w:space="0" w:sz="4" w:val="single"/>
      </w:tblBorders>
    </w:tblPr>
    <w:trPr>
      <w:jc w:val="center"/>
    </w:trPr>
    <w:tblStylePr w:type="firstRow">
      <w:pPr>
        <w:jc w:val="center"/>
      </w:pPr>
      <w:rPr>
        <w:rFonts w:asciiTheme="minorHAnsi" w:hAnsiTheme="minorHAnsi"/>
        <w:b/>
        <w:color w:val="auto"/>
        <w:sz w:val="24"/>
        <w:u w:val="none"/>
      </w:rPr>
      <w:tblPr/>
      <w:tcPr>
        <w:tcBorders>
          <w:top w:color="auto" w:space="0" w:sz="4" w:val="single"/>
          <w:bottom w:color="auto" w:space="0" w:sz="4" w:val="single"/>
        </w:tcBorders>
        <w:shd w:color="auto" w:fill="BFBFBF" w:themeFill="background1" w:themeFillShade="BF" w:val="clear"/>
      </w:tcPr>
    </w:tblStylePr>
    <w:tblStylePr w:type="firstCol">
      <w:rPr>
        <w:b/>
      </w:r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autoRedefine/>
    <w:rsid w:val="00556B80"/>
    <w:pPr>
      <w:spacing w:after="120" w:before="0"/>
      <w:jc w:val="center"/>
    </w:pPr>
    <w:rPr>
      <w:i/>
    </w:rPr>
  </w:style>
  <w:style w:customStyle="1" w:styleId="TableCaption" w:type="paragraph">
    <w:name w:val="Table Caption"/>
    <w:basedOn w:val="Caption"/>
    <w:autoRedefine/>
    <w:rsid w:val="009F1910"/>
    <w:pPr>
      <w:keepNext/>
      <w:spacing w:before="240"/>
      <w:ind w:firstLine="0"/>
    </w:pPr>
  </w:style>
  <w:style w:customStyle="1" w:styleId="ImageCaption" w:type="paragraph">
    <w:name w:val="Image Caption"/>
    <w:basedOn w:val="Caption"/>
    <w:autoRedefine/>
    <w:qFormat/>
    <w:rsid w:val="00E27AC7"/>
    <w:pPr>
      <w:keepLines/>
      <w:spacing w:before="120" w:line="360" w:lineRule="auto"/>
      <w:ind w:firstLine="0"/>
    </w:pPr>
  </w:style>
  <w:style w:customStyle="1" w:styleId="Figure" w:type="paragraph">
    <w:name w:val="Figure"/>
    <w:basedOn w:val="Normal"/>
    <w:autoRedefine/>
    <w:rsid w:val="001D0787"/>
    <w:pPr>
      <w:keepNext/>
      <w:spacing w:after="120" w:before="240" w:line="360" w:lineRule="auto"/>
      <w:ind w:firstLine="0"/>
      <w:jc w:val="center"/>
    </w:pPr>
    <w:rPr>
      <w:noProof/>
    </w:rPr>
  </w:style>
  <w:style w:customStyle="1" w:styleId="CaptionedFigure" w:type="paragraph">
    <w:name w:val="Captioned Figure"/>
    <w:basedOn w:val="Figure"/>
    <w:rsid w:val="00357B8B"/>
  </w:style>
  <w:style w:customStyle="1" w:styleId="CaptionChar" w:type="character">
    <w:name w:val="Caption Char"/>
    <w:basedOn w:val="DefaultParagraphFont"/>
    <w:link w:val="Caption"/>
    <w:rsid w:val="00556B80"/>
    <w:rPr>
      <w:i/>
    </w:rPr>
  </w:style>
  <w:style w:customStyle="1" w:styleId="VerbatimChar" w:type="character">
    <w:name w:val="Verbatim Char"/>
    <w:basedOn w:val="CaptionChar"/>
    <w:link w:val="SourceCode"/>
    <w:rsid w:val="00357B8B"/>
    <w:rPr>
      <w:i/>
      <w:shd w:color="auto" w:fill="F8F8F8" w:val="clear"/>
    </w:rPr>
  </w:style>
  <w:style w:styleId="FootnoteReference" w:type="character">
    <w:name w:val="footnote reference"/>
    <w:basedOn w:val="CaptionChar"/>
    <w:rPr>
      <w:i/>
      <w:vertAlign w:val="superscript"/>
    </w:rPr>
  </w:style>
  <w:style w:styleId="Hyperlink" w:type="character">
    <w:name w:val="Hyperlink"/>
    <w:basedOn w:val="CaptionChar"/>
    <w:rPr>
      <w:i/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rsid w:val="00357B8B"/>
    <w:pPr>
      <w:framePr w:hAnchor="text" w:vAnchor="text" w:wrap="around" w:y="1"/>
      <w:shd w:color="auto" w:fill="F8F8F8" w:val="clear"/>
      <w:wordWrap w:val="0"/>
      <w:spacing w:after="0" w:before="0" w:line="240" w:lineRule="auto"/>
      <w:ind w:firstLine="0"/>
    </w:pPr>
  </w:style>
  <w:style w:customStyle="1" w:styleId="KeywordTok" w:type="character">
    <w:name w:val="KeywordTok"/>
    <w:basedOn w:val="VerbatimChar"/>
    <w:rPr>
      <w:b/>
      <w:i/>
      <w:color w:val="204A87"/>
      <w:shd w:color="auto" w:fill="F8F8F8" w:val="clear"/>
    </w:rPr>
  </w:style>
  <w:style w:customStyle="1" w:styleId="DataTypeTok" w:type="character">
    <w:name w:val="DataTypeTok"/>
    <w:basedOn w:val="VerbatimChar"/>
    <w:rPr>
      <w:i/>
      <w:color w:val="204A87"/>
      <w:shd w:color="auto" w:fill="F8F8F8" w:val="clear"/>
    </w:rPr>
  </w:style>
  <w:style w:customStyle="1" w:styleId="DecValTok" w:type="character">
    <w:name w:val="DecValTok"/>
    <w:basedOn w:val="VerbatimChar"/>
    <w:rPr>
      <w:i/>
      <w:color w:val="0000CF"/>
      <w:shd w:color="auto" w:fill="F8F8F8" w:val="clear"/>
    </w:rPr>
  </w:style>
  <w:style w:customStyle="1" w:styleId="BaseNTok" w:type="character">
    <w:name w:val="BaseNTok"/>
    <w:basedOn w:val="VerbatimChar"/>
    <w:rPr>
      <w:i/>
      <w:color w:val="0000CF"/>
      <w:shd w:color="auto" w:fill="F8F8F8" w:val="clear"/>
    </w:rPr>
  </w:style>
  <w:style w:customStyle="1" w:styleId="FloatTok" w:type="character">
    <w:name w:val="FloatTok"/>
    <w:basedOn w:val="VerbatimChar"/>
    <w:rPr>
      <w:i/>
      <w:color w:val="0000CF"/>
      <w:shd w:color="auto" w:fill="F8F8F8" w:val="clear"/>
    </w:rPr>
  </w:style>
  <w:style w:customStyle="1" w:styleId="ConstantTok" w:type="character">
    <w:name w:val="ConstantTok"/>
    <w:basedOn w:val="VerbatimChar"/>
    <w:rPr>
      <w:i/>
      <w:color w:val="000000"/>
      <w:shd w:color="auto" w:fill="F8F8F8" w:val="clear"/>
    </w:rPr>
  </w:style>
  <w:style w:customStyle="1" w:styleId="CharTok" w:type="character">
    <w:name w:val="CharTok"/>
    <w:basedOn w:val="VerbatimChar"/>
    <w:rPr>
      <w:i/>
      <w:color w:val="4E9A06"/>
      <w:shd w:color="auto" w:fill="F8F8F8" w:val="clear"/>
    </w:rPr>
  </w:style>
  <w:style w:customStyle="1" w:styleId="SpecialCharTok" w:type="character">
    <w:name w:val="SpecialCharTok"/>
    <w:basedOn w:val="VerbatimChar"/>
    <w:rPr>
      <w:i/>
      <w:color w:val="000000"/>
      <w:shd w:color="auto" w:fill="F8F8F8" w:val="clear"/>
    </w:rPr>
  </w:style>
  <w:style w:customStyle="1" w:styleId="StringTok" w:type="character">
    <w:name w:val="StringTok"/>
    <w:basedOn w:val="VerbatimChar"/>
    <w:rPr>
      <w:i/>
      <w:color w:val="4E9A06"/>
      <w:shd w:color="auto" w:fill="F8F8F8" w:val="clear"/>
    </w:rPr>
  </w:style>
  <w:style w:customStyle="1" w:styleId="VerbatimStringTok" w:type="character">
    <w:name w:val="VerbatimStringTok"/>
    <w:basedOn w:val="VerbatimChar"/>
    <w:rPr>
      <w:i/>
      <w:color w:val="4E9A06"/>
      <w:shd w:color="auto" w:fill="F8F8F8" w:val="clear"/>
    </w:rPr>
  </w:style>
  <w:style w:customStyle="1" w:styleId="SpecialStringTok" w:type="character">
    <w:name w:val="SpecialStringTok"/>
    <w:basedOn w:val="VerbatimChar"/>
    <w:rPr>
      <w:i/>
      <w:color w:val="4E9A06"/>
      <w:shd w:color="auto" w:fill="F8F8F8" w:val="clear"/>
    </w:rPr>
  </w:style>
  <w:style w:customStyle="1" w:styleId="ImportTok" w:type="character">
    <w:name w:val="ImportTok"/>
    <w:basedOn w:val="VerbatimChar"/>
    <w:rPr>
      <w:i/>
      <w:shd w:color="auto" w:fill="F8F8F8" w:val="clear"/>
    </w:rPr>
  </w:style>
  <w:style w:customStyle="1" w:styleId="CommentTok" w:type="character">
    <w:name w:val="CommentTok"/>
    <w:basedOn w:val="VerbatimChar"/>
    <w:rPr>
      <w:i w:val="0"/>
      <w:color w:val="8F5902"/>
      <w:shd w:color="auto" w:fill="F8F8F8" w:val="clear"/>
    </w:rPr>
  </w:style>
  <w:style w:customStyle="1" w:styleId="DocumentationTok" w:type="character">
    <w:name w:val="DocumentationTok"/>
    <w:basedOn w:val="VerbatimChar"/>
    <w:rPr>
      <w:b/>
      <w:i w:val="0"/>
      <w:color w:val="8F5902"/>
      <w:shd w:color="auto" w:fill="F8F8F8" w:val="clear"/>
    </w:rPr>
  </w:style>
  <w:style w:customStyle="1" w:styleId="AnnotationTok" w:type="character">
    <w:name w:val="AnnotationTok"/>
    <w:basedOn w:val="VerbatimChar"/>
    <w:rPr>
      <w:b/>
      <w:i w:val="0"/>
      <w:color w:val="8F5902"/>
      <w:shd w:color="auto" w:fill="F8F8F8" w:val="clear"/>
    </w:rPr>
  </w:style>
  <w:style w:customStyle="1" w:styleId="CommentVarTok" w:type="character">
    <w:name w:val="CommentVarTok"/>
    <w:basedOn w:val="VerbatimChar"/>
    <w:rPr>
      <w:b/>
      <w:i w:val="0"/>
      <w:color w:val="8F5902"/>
      <w:shd w:color="auto" w:fill="F8F8F8" w:val="clear"/>
    </w:rPr>
  </w:style>
  <w:style w:customStyle="1" w:styleId="OtherTok" w:type="character">
    <w:name w:val="OtherTok"/>
    <w:basedOn w:val="VerbatimChar"/>
    <w:rPr>
      <w:i/>
      <w:color w:val="8F5902"/>
      <w:shd w:color="auto" w:fill="F8F8F8" w:val="clear"/>
    </w:rPr>
  </w:style>
  <w:style w:customStyle="1" w:styleId="FunctionTok" w:type="character">
    <w:name w:val="FunctionTok"/>
    <w:basedOn w:val="VerbatimChar"/>
    <w:rPr>
      <w:i/>
      <w:color w:val="000000"/>
      <w:shd w:color="auto" w:fill="F8F8F8" w:val="clear"/>
    </w:rPr>
  </w:style>
  <w:style w:customStyle="1" w:styleId="VariableTok" w:type="character">
    <w:name w:val="VariableTok"/>
    <w:basedOn w:val="VerbatimChar"/>
    <w:rPr>
      <w:i/>
      <w:color w:val="000000"/>
      <w:shd w:color="auto" w:fill="F8F8F8" w:val="clear"/>
    </w:rPr>
  </w:style>
  <w:style w:customStyle="1" w:styleId="ControlFlowTok" w:type="character">
    <w:name w:val="ControlFlowTok"/>
    <w:basedOn w:val="VerbatimChar"/>
    <w:rPr>
      <w:b/>
      <w:i/>
      <w:color w:val="204A87"/>
      <w:shd w:color="auto" w:fill="F8F8F8" w:val="clear"/>
    </w:rPr>
  </w:style>
  <w:style w:customStyle="1" w:styleId="OperatorTok" w:type="character">
    <w:name w:val="OperatorTok"/>
    <w:basedOn w:val="VerbatimChar"/>
    <w:rPr>
      <w:b/>
      <w:i/>
      <w:color w:val="CE5C00"/>
      <w:shd w:color="auto" w:fill="F8F8F8" w:val="clear"/>
    </w:rPr>
  </w:style>
  <w:style w:customStyle="1" w:styleId="BuiltInTok" w:type="character">
    <w:name w:val="BuiltInTok"/>
    <w:basedOn w:val="VerbatimChar"/>
    <w:rPr>
      <w:i/>
      <w:shd w:color="auto" w:fill="F8F8F8" w:val="clear"/>
    </w:rPr>
  </w:style>
  <w:style w:customStyle="1" w:styleId="ExtensionTok" w:type="character">
    <w:name w:val="ExtensionTok"/>
    <w:basedOn w:val="VerbatimChar"/>
    <w:rPr>
      <w:i/>
      <w:shd w:color="auto" w:fill="F8F8F8" w:val="clear"/>
    </w:rPr>
  </w:style>
  <w:style w:customStyle="1" w:styleId="PreprocessorTok" w:type="character">
    <w:name w:val="PreprocessorTok"/>
    <w:basedOn w:val="VerbatimChar"/>
    <w:rPr>
      <w:i w:val="0"/>
      <w:color w:val="8F5902"/>
      <w:shd w:color="auto" w:fill="F8F8F8" w:val="clear"/>
    </w:rPr>
  </w:style>
  <w:style w:customStyle="1" w:styleId="AttributeTok" w:type="character">
    <w:name w:val="AttributeTok"/>
    <w:basedOn w:val="VerbatimChar"/>
    <w:rPr>
      <w:i/>
      <w:color w:val="C4A000"/>
      <w:shd w:color="auto" w:fill="F8F8F8" w:val="clear"/>
    </w:rPr>
  </w:style>
  <w:style w:customStyle="1" w:styleId="RegionMarkerTok" w:type="character">
    <w:name w:val="RegionMarkerTok"/>
    <w:basedOn w:val="VerbatimChar"/>
    <w:rPr>
      <w:i/>
      <w:shd w:color="auto" w:fill="F8F8F8" w:val="clear"/>
    </w:rPr>
  </w:style>
  <w:style w:customStyle="1" w:styleId="InformationTok" w:type="character">
    <w:name w:val="InformationTok"/>
    <w:basedOn w:val="VerbatimChar"/>
    <w:rPr>
      <w:b/>
      <w:i w:val="0"/>
      <w:color w:val="8F5902"/>
      <w:shd w:color="auto" w:fill="F8F8F8" w:val="clear"/>
    </w:rPr>
  </w:style>
  <w:style w:customStyle="1" w:styleId="WarningTok" w:type="character">
    <w:name w:val="WarningTok"/>
    <w:basedOn w:val="VerbatimChar"/>
    <w:rPr>
      <w:b/>
      <w:i w:val="0"/>
      <w:color w:val="8F5902"/>
      <w:shd w:color="auto" w:fill="F8F8F8" w:val="clear"/>
    </w:rPr>
  </w:style>
  <w:style w:customStyle="1" w:styleId="AlertTok" w:type="character">
    <w:name w:val="AlertTok"/>
    <w:basedOn w:val="VerbatimChar"/>
    <w:rPr>
      <w:i/>
      <w:color w:val="EF2929"/>
      <w:shd w:color="auto" w:fill="F8F8F8" w:val="clear"/>
    </w:rPr>
  </w:style>
  <w:style w:customStyle="1" w:styleId="ErrorTok" w:type="character">
    <w:name w:val="ErrorTok"/>
    <w:basedOn w:val="VerbatimChar"/>
    <w:rPr>
      <w:b/>
      <w:i/>
      <w:color w:val="A40000"/>
      <w:shd w:color="auto" w:fill="F8F8F8" w:val="clear"/>
    </w:rPr>
  </w:style>
  <w:style w:customStyle="1" w:styleId="NormalTok" w:type="character">
    <w:name w:val="NormalTok"/>
    <w:basedOn w:val="VerbatimChar"/>
    <w:rPr>
      <w:i/>
      <w:shd w:color="auto" w:fill="F8F8F8" w:val="clear"/>
    </w:rPr>
  </w:style>
  <w:style w:customStyle="1" w:styleId="BodyTextChar" w:type="character">
    <w:name w:val="Body Text Char"/>
    <w:basedOn w:val="DefaultParagraphFont"/>
    <w:link w:val="BodyText"/>
    <w:rsid w:val="00475C52"/>
    <w:rPr>
      <w:rFonts w:ascii="Calibri" w:eastAsiaTheme="minorEastAsia" w:hAnsi="Calibri"/>
    </w:rPr>
  </w:style>
  <w:style w:customStyle="1" w:styleId="Image" w:type="paragraph">
    <w:name w:val="Image"/>
    <w:next w:val="ImageCaption"/>
    <w:qFormat/>
    <w:rsid w:val="009F1910"/>
    <w:pPr>
      <w:keepNext/>
      <w:spacing w:after="120" w:before="240"/>
      <w:jc w:val="center"/>
    </w:pPr>
    <w:rPr>
      <w:rFonts w:ascii="Calibri" w:hAnsi="Calibri"/>
      <w:noProof/>
    </w:rPr>
  </w:style>
  <w:style w:customStyle="1" w:styleId="TableScientific" w:type="table">
    <w:name w:val="Table Scientific"/>
    <w:basedOn w:val="TableNormal"/>
    <w:uiPriority w:val="99"/>
    <w:rsid w:val="0043749A"/>
    <w:pPr>
      <w:spacing w:after="100" w:afterAutospacing="1" w:before="100" w:beforeAutospacing="1" w:line="360" w:lineRule="auto"/>
    </w:pPr>
    <w:rPr>
      <w:rFonts w:ascii="Calibri" w:cs="Times New Roman (Body CS)" w:eastAsiaTheme="minorEastAsia" w:hAnsi="Calibri"/>
      <w:sz w:val="22"/>
    </w:rPr>
    <w:tblPr>
      <w:jc w:val="center"/>
      <w:tblBorders>
        <w:bottom w:color="auto" w:space="0" w:sz="4" w:val="single"/>
      </w:tblBorders>
    </w:tblPr>
    <w:trPr>
      <w:jc w:val="center"/>
    </w:trPr>
    <w:tcPr>
      <w:vAlign w:val="center"/>
    </w:tcPr>
    <w:tblStylePr w:type="firstRow">
      <w:pPr>
        <w:jc w:val="left"/>
      </w:pPr>
      <w:rPr>
        <w:b/>
      </w:rPr>
      <w:tblPr/>
      <w:tcPr>
        <w:tcBorders>
          <w:top w:color="auto" w:space="0" w:sz="4" w:val="single"/>
          <w:bottom w:color="auto" w:space="0" w:sz="4" w:val="single"/>
        </w:tcBorders>
        <w:shd w:color="auto" w:fill="F2F2F2" w:themeFill="background1" w:themeFillShade="F2" w:val="clear"/>
        <w:vAlign w:val="center"/>
      </w:tcPr>
    </w:tblStylePr>
    <w:tblStylePr w:type="lastRow">
      <w:rPr>
        <w:rFonts w:ascii="Calibri" w:hAnsi="Calibri"/>
      </w:rPr>
      <w:tblPr/>
      <w:tcPr>
        <w:tcBorders>
          <w:bottom w:color="auto" w:space="0" w:sz="4" w:val="single"/>
        </w:tcBorders>
      </w:tcPr>
    </w:tblStylePr>
    <w:tblStylePr w:type="lastCol">
      <w:pPr>
        <w:keepNext/>
        <w:wordWrap/>
        <w:spacing w:after="0" w:afterAutospacing="0" w:afterLines="0" w:before="0" w:beforeAutospacing="0" w:beforeLines="0" w:line="240" w:lineRule="auto"/>
        <w:ind w:firstLine="0" w:firstLineChars="0" w:left="0" w:leftChars="0" w:right="0" w:rightChars="0"/>
      </w:pPr>
      <w:rPr>
        <w:rFonts w:ascii="Calibri" w:eastAsia="SimSun" w:hAnsi="Calibri"/>
      </w:rPr>
      <w:tblPr/>
      <w:tcPr>
        <w:tcBorders>
          <w:bottom w:val="nil"/>
        </w:tcBorders>
      </w:tcPr>
    </w:tblStylePr>
  </w:style>
  <w:style w:styleId="PlainTable1" w:type="table">
    <w:name w:val="Plain Table 1"/>
    <w:basedOn w:val="TableNormal"/>
    <w:rsid w:val="00300D72"/>
    <w:pPr>
      <w:spacing w:after="0"/>
    </w:pPr>
    <w:tblPr>
      <w:tblStyleRowBandSize w:val="1"/>
      <w:tblStyleColBandSize w:val="1"/>
      <w:tblBorders>
        <w:top w:color="BFBFBF" w:space="0" w:sz="4" w:themeColor="background1" w:themeShade="BF" w:val="single"/>
        <w:left w:color="BFBFBF" w:space="0" w:sz="4" w:themeColor="background1" w:themeShade="BF" w:val="single"/>
        <w:bottom w:color="BFBFBF" w:space="0" w:sz="4" w:themeColor="background1" w:themeShade="BF" w:val="single"/>
        <w:right w:color="BFBFBF" w:space="0" w:sz="4" w:themeColor="background1" w:themeShade="BF" w:val="single"/>
        <w:insideH w:color="BFBFBF" w:space="0" w:sz="4" w:themeColor="background1" w:themeShade="BF" w:val="single"/>
        <w:insideV w:color="BFBFBF" w:space="0" w:sz="4" w:themeColor="background1" w:themeShade="BF" w:val="single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FBFBF" w:space="0" w:sz="4" w:themeColor="background1" w:themeShade="BF" w:val="doub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2F2F2" w:themeFill="background1" w:themeFillShade="F2" w:val="clear"/>
      </w:tcPr>
    </w:tblStylePr>
    <w:tblStylePr w:type="band1Horz">
      <w:tblPr/>
      <w:tcPr>
        <w:shd w:color="auto" w:fill="F2F2F2" w:themeFill="background1" w:themeFillShade="F2" w:val="clear"/>
      </w:tcPr>
    </w:tblStylePr>
  </w:style>
  <w:style w:styleId="PlainTable3" w:type="table">
    <w:name w:val="Plain Table 3"/>
    <w:basedOn w:val="TableNormal"/>
    <w:rsid w:val="00300D72"/>
    <w:pPr>
      <w:spacing w:after="0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color="7F7F7F" w:space="0" w:sz="4" w:themeColor="text1" w:themeTint="80" w:val="single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color="7F7F7F" w:space="0" w:sz="4" w:themeColor="text1" w:themeTint="80" w:val="single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color="auto" w:fill="F2F2F2" w:themeFill="background1" w:themeFillShade="F2" w:val="clear"/>
      </w:tcPr>
    </w:tblStylePr>
    <w:tblStylePr w:type="band1Horz">
      <w:tblPr/>
      <w:tcPr>
        <w:shd w:color="auto" w:fill="F2F2F2" w:themeFill="background1" w:themeFillShade="F2" w:val="clear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customStyle="1" w:styleId="Table1" w:type="table">
    <w:name w:val="Table1"/>
    <w:basedOn w:val="TableNormal"/>
    <w:uiPriority w:val="99"/>
    <w:rsid w:val="0043749A"/>
    <w:pPr>
      <w:spacing w:after="0"/>
      <w:jc w:val="center"/>
    </w:pPr>
    <w:tblPr>
      <w:tblBorders>
        <w:top w:color="auto" w:space="0" w:sz="4" w:val="single"/>
        <w:bottom w:color="auto" w:space="0" w:sz="4" w:val="single"/>
      </w:tblBorders>
    </w:tblPr>
    <w:tcPr>
      <w:noWrap/>
      <w:vAlign w:val="center"/>
    </w:tcPr>
    <w:tblStylePr w:type="firstRow">
      <w:rPr>
        <w:b/>
      </w:rPr>
      <w:tblPr/>
      <w:tcPr>
        <w:tcBorders>
          <w:bottom w:color="auto" w:space="0" w:sz="4" w:val="single"/>
        </w:tcBorders>
      </w:tcPr>
    </w:tblStylePr>
    <w:tblStylePr w:type="firstCol">
      <w:pPr>
        <w:wordWrap/>
        <w:spacing w:after="0" w:afterAutospacing="0" w:afterLines="0" w:before="0" w:beforeAutospacing="0" w:beforeLines="0" w:line="240" w:lineRule="auto"/>
        <w:ind w:firstLine="0" w:firstLineChars="0" w:left="0" w:leftChars="0" w:right="0" w:rightChars="0"/>
        <w:jc w:val="left"/>
        <w:textboxTightWrap w:val="allLines"/>
        <w:outlineLvl w:val="9"/>
      </w:pPr>
      <w:rPr>
        <w:b/>
      </w:rPr>
    </w:tblStylePr>
  </w:style>
  <w:style w:styleId="LineNumber" w:type="character">
    <w:name w:val="line number"/>
    <w:basedOn w:val="DefaultParagraphFont"/>
    <w:semiHidden/>
    <w:unhideWhenUsed/>
    <w:rsid w:val="00D34A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0" Target="https://orcid.org/0000000198211268" TargetMode="External" /><Relationship Type="http://schemas.openxmlformats.org/officeDocument/2006/relationships/hyperlink" Id="rId21" Target="mailto:mingsu@rcees.ac.cn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0" Target="https://orcid.org/0000000198211268" TargetMode="External" /><Relationship Type="http://schemas.openxmlformats.org/officeDocument/2006/relationships/hyperlink" Id="rId21" Target="mailto:mingsu@rcees.ac.cn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Strategy for identification of MIB producers using routine data: a case study of an estuary drinking water reservoir</vt:lpstr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Spatiotemporal decoupling of littoral and lacustrine geosmin dynamics: Implications for early warning in drinking water reservoirs</dc:title>
  <dc:creator>Yuying Guia,b,#, Tengxin Caob,f,#, Jie Yangc, Jihui Qind, Ming Su ID,b,f,*, Ziyi Yangb,f, Qi Zhange, Yufan Aib,f, Jiao Fangb, Yingjie Lib,f, Yuanhong Xiaod, Zhixiang Haoc, Zhengyan Lia, and Min Yangb,f</dc:creator>
  <dc:language>en</dc:language>
  <cp:keywords/>
  <dcterms:created xsi:type="dcterms:W3CDTF">2026-08-12T16:31:10Z</dcterms:created>
  <dcterms:modified xsi:type="dcterms:W3CDTF">2026-08-12T16:31:10Z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quarto-vars">
    <vt:lpwstr/>
  </property>
  <property fmtid="{D5CDD505-2E9C-101B-9397-08002B2CF9AE}" pid="3" name="authors">
    <vt:lpwstr/>
  </property>
  <property fmtid="{D5CDD505-2E9C-101B-9397-08002B2CF9AE}" pid="4" name="biblio-config">
    <vt:lpwstr>True</vt:lpwstr>
  </property>
  <property fmtid="{D5CDD505-2E9C-101B-9397-08002B2CF9AE}" pid="5" name="bibliography">
    <vt:lpwstr/>
  </property>
  <property fmtid="{D5CDD505-2E9C-101B-9397-08002B2CF9AE}" pid="6" name="by-affiliation">
    <vt:lpwstr/>
  </property>
  <property fmtid="{D5CDD505-2E9C-101B-9397-08002B2CF9AE}" pid="7" name="by-author">
    <vt:lpwstr/>
  </property>
  <property fmtid="{D5CDD505-2E9C-101B-9397-08002B2CF9AE}" pid="8" name="comments">
    <vt:lpwstr/>
  </property>
  <property fmtid="{D5CDD505-2E9C-101B-9397-08002B2CF9AE}" pid="9" name="crossref">
    <vt:lpwstr/>
  </property>
  <property fmtid="{D5CDD505-2E9C-101B-9397-08002B2CF9AE}" pid="10" name="csl">
    <vt:lpwstr>../_extensions/drwater/dwinst/water-research.csl</vt:lpwstr>
  </property>
  <property fmtid="{D5CDD505-2E9C-101B-9397-08002B2CF9AE}" pid="11" name="date">
    <vt:lpwstr>2026-01-02</vt:lpwstr>
  </property>
  <property fmtid="{D5CDD505-2E9C-101B-9397-08002B2CF9AE}" pid="12" name="header-includes">
    <vt:lpwstr/>
  </property>
  <property fmtid="{D5CDD505-2E9C-101B-9397-08002B2CF9AE}" pid="13" name="include-after">
    <vt:lpwstr/>
  </property>
  <property fmtid="{D5CDD505-2E9C-101B-9397-08002B2CF9AE}" pid="14" name="include-before">
    <vt:lpwstr/>
  </property>
  <property fmtid="{D5CDD505-2E9C-101B-9397-08002B2CF9AE}" pid="15" name="knitr">
    <vt:lpwstr/>
  </property>
  <property fmtid="{D5CDD505-2E9C-101B-9397-08002B2CF9AE}" pid="16" name="labels">
    <vt:lpwstr/>
  </property>
  <property fmtid="{D5CDD505-2E9C-101B-9397-08002B2CF9AE}" pid="17" name="lightbox">
    <vt:lpwstr>auto</vt:lpwstr>
  </property>
  <property fmtid="{D5CDD505-2E9C-101B-9397-08002B2CF9AE}" pid="18" name="revealjs-plugins">
    <vt:lpwstr/>
  </property>
  <property fmtid="{D5CDD505-2E9C-101B-9397-08002B2CF9AE}" pid="19" name="submitid">
    <vt:lpwstr>WR108306</vt:lpwstr>
  </property>
  <property fmtid="{D5CDD505-2E9C-101B-9397-08002B2CF9AE}" pid="20" name="submitjournal">
    <vt:lpwstr>Water Research</vt:lpwstr>
  </property>
  <property fmtid="{D5CDD505-2E9C-101B-9397-08002B2CF9AE}" pid="21" name="toc-title">
    <vt:lpwstr>Table of contents</vt:lpwstr>
  </property>
  <property fmtid="{D5CDD505-2E9C-101B-9397-08002B2CF9AE}" pid="22" name="watermark">
    <vt:lpwstr/>
  </property>
</Properties>
</file>