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Spatiotemporal decoupling of littoral and lacustrine geosmin dynamics: Implications for early warning in drinking water reservoirs</w:t>
      </w:r>
    </w:p>
    <w:p>
      <w:pPr>
        <w:pStyle w:val="Subtitle"/>
      </w:pPr>
      <w:r>
        <w:t xml:space="preserve">Revision Note</w:t>
      </w:r>
    </w:p>
    <w:p>
      <w:pPr>
        <w:pStyle w:val="Author"/>
      </w:pPr>
      <w:r>
        <w:t xml:space="preserve">Yuying Gui</w:t>
      </w:r>
      <w:r>
        <w:rPr>
          <w:vertAlign w:val="superscript"/>
        </w:rPr>
        <w:t xml:space="preserve">a,b,#</w:t>
      </w:r>
      <w:r>
        <w:t xml:space="preserve">, Tengxin Cao</w:t>
      </w:r>
      <w:r>
        <w:rPr>
          <w:vertAlign w:val="superscript"/>
        </w:rPr>
        <w:t xml:space="preserve">b,f,#</w:t>
      </w:r>
      <w:r>
        <w:t xml:space="preserve">, Jie Yang</w:t>
      </w:r>
      <w:r>
        <w:rPr>
          <w:vertAlign w:val="superscript"/>
        </w:rPr>
        <w:t xml:space="preserve">c</w:t>
      </w:r>
      <w:r>
        <w:t xml:space="preserve">, Jihui Qin</w:t>
      </w:r>
      <w:r>
        <w:rPr>
          <w:vertAlign w:val="superscript"/>
        </w:rPr>
        <w:t xml:space="preserve">d</w:t>
      </w:r>
      <w:r>
        <w:t xml:space="preserve">, Ming Su</w:t>
      </w:r>
      <w:r>
        <w:rPr>
          <w:vertAlign w:val="superscript"/>
        </w:rPr>
        <w:t xml:space="preserve"> </w:t>
      </w:r>
      <w:hyperlink r:id="rId20">
        <w:r>
          <w:rPr>
            <w:rStyle w:val="Hyperlink"/>
            <w:vertAlign w:val="superscript"/>
          </w:rPr>
          <w:t xml:space="preserve">ID</w:t>
        </w:r>
      </w:hyperlink>
      <w:r>
        <w:rPr>
          <w:vertAlign w:val="superscript"/>
        </w:rPr>
        <w:t xml:space="preserve">,b,f,*</w:t>
      </w:r>
      <w:r>
        <w:t xml:space="preserve">, Ziyi Yang</w:t>
      </w:r>
      <w:r>
        <w:rPr>
          <w:vertAlign w:val="superscript"/>
        </w:rPr>
        <w:t xml:space="preserve">b,f</w:t>
      </w:r>
      <w:r>
        <w:t xml:space="preserve">, Qi Zhang</w:t>
      </w:r>
      <w:r>
        <w:rPr>
          <w:vertAlign w:val="superscript"/>
        </w:rPr>
        <w:t xml:space="preserve">e</w:t>
      </w:r>
      <w:r>
        <w:t xml:space="preserve">, Yufan Ai</w:t>
      </w:r>
      <w:r>
        <w:rPr>
          <w:vertAlign w:val="superscript"/>
        </w:rPr>
        <w:t xml:space="preserve">b,f</w:t>
      </w:r>
      <w:r>
        <w:t xml:space="preserve">, Jiao Fang</w:t>
      </w:r>
      <w:r>
        <w:rPr>
          <w:vertAlign w:val="superscript"/>
        </w:rPr>
        <w:t xml:space="preserve">b</w:t>
      </w:r>
      <w:r>
        <w:t xml:space="preserve">, Yingjie Li</w:t>
      </w:r>
      <w:r>
        <w:rPr>
          <w:vertAlign w:val="superscript"/>
        </w:rPr>
        <w:t xml:space="preserve">b,f</w:t>
      </w:r>
      <w:r>
        <w:t xml:space="preserve">, Yuanhong Xiao</w:t>
      </w:r>
      <w:r>
        <w:rPr>
          <w:vertAlign w:val="superscript"/>
        </w:rPr>
        <w:t xml:space="preserve">d</w:t>
      </w:r>
      <w:r>
        <w:t xml:space="preserve">, Zhixiang Hao</w:t>
      </w:r>
      <w:r>
        <w:rPr>
          <w:vertAlign w:val="superscript"/>
        </w:rPr>
        <w:t xml:space="preserve">c</w:t>
      </w:r>
      <w:r>
        <w:t xml:space="preserve">, Zhengyan Li</w:t>
      </w:r>
      <w:r>
        <w:rPr>
          <w:vertAlign w:val="superscript"/>
        </w:rPr>
        <w:t xml:space="preserve">a</w:t>
      </w:r>
      <w:r>
        <w:t xml:space="preserve">, and Min Yang</w:t>
      </w:r>
      <w:r>
        <w:rPr>
          <w:vertAlign w:val="superscript"/>
        </w:rPr>
        <w:t xml:space="preserve">b,f</w:t>
      </w:r>
    </w:p>
    <w:p>
      <w:pPr>
        <w:pStyle w:val="FirstParagraph"/>
      </w:pPr>
      <w:r>
        <w:rPr>
          <w:vertAlign w:val="superscript"/>
        </w:rPr>
        <w:t xml:space="preserve">#</w:t>
      </w:r>
      <w:r>
        <w:t xml:space="preserve"> </w:t>
      </w:r>
      <w:r>
        <w:t xml:space="preserve">These authors contributed equally to this work.</w:t>
      </w:r>
    </w:p>
    <w:p>
      <w:pPr>
        <w:pStyle w:val="BodyText"/>
      </w:pPr>
      <w:r>
        <w:rPr>
          <w:vertAlign w:val="superscript"/>
        </w:rPr>
        <w:t xml:space="preserve">a</w:t>
      </w:r>
      <w:r>
        <w:t xml:space="preserve"> </w:t>
      </w:r>
      <w:r>
        <w:t xml:space="preserve">College of Environmental Science and Engineering, Ocean University of China, Qingdao 266100, China.</w:t>
      </w:r>
      <w:r>
        <w:br/>
      </w:r>
      <w:r>
        <w:rPr>
          <w:vertAlign w:val="superscript"/>
        </w:rPr>
        <w:t xml:space="preserve">b</w:t>
      </w:r>
      <w:r>
        <w:t xml:space="preserve"> </w:t>
      </w:r>
      <w:r>
        <w:t xml:space="preserve">Key Laboratory of Environmental Aquatic Chemistry, State Key Laboratory of Regional Environment and Sustainability, Research Center for Eco-Environmental Sciences, Chinese Academy of Sciences, Beijing 100085, China.</w:t>
      </w:r>
      <w:r>
        <w:br/>
      </w:r>
      <w:r>
        <w:rPr>
          <w:vertAlign w:val="superscript"/>
        </w:rPr>
        <w:t xml:space="preserve">c</w:t>
      </w:r>
      <w:r>
        <w:t xml:space="preserve"> </w:t>
      </w:r>
      <w:r>
        <w:t xml:space="preserve">Tianjin Hydraulic Research Institute, Tianjin 300061, China.</w:t>
      </w:r>
      <w:r>
        <w:br/>
      </w:r>
      <w:r>
        <w:rPr>
          <w:vertAlign w:val="superscript"/>
        </w:rPr>
        <w:t xml:space="preserve">d</w:t>
      </w:r>
      <w:r>
        <w:t xml:space="preserve"> </w:t>
      </w:r>
      <w:r>
        <w:t xml:space="preserve">Tianjin Yuqiao Reservoir Authority, Tianjin 301900, China.</w:t>
      </w:r>
      <w:r>
        <w:br/>
      </w:r>
      <w:r>
        <w:rPr>
          <w:vertAlign w:val="superscript"/>
        </w:rPr>
        <w:t xml:space="preserve">e</w:t>
      </w:r>
      <w:r>
        <w:t xml:space="preserve"> </w:t>
      </w:r>
      <w:r>
        <w:t xml:space="preserve">Institute of Hydrobiology, Chinese Academy of Sciences, Wuhan 430070, China.</w:t>
      </w:r>
      <w:r>
        <w:br/>
      </w:r>
      <w:r>
        <w:rPr>
          <w:vertAlign w:val="superscript"/>
        </w:rPr>
        <w:t xml:space="preserve">f</w:t>
      </w:r>
      <w:r>
        <w:t xml:space="preserve"> </w:t>
      </w:r>
      <w:r>
        <w:t xml:space="preserve">University of Chinese Academy of Sciences, Beijing 100049, China.</w:t>
      </w:r>
    </w:p>
    <w:p>
      <w:pPr>
        <w:pStyle w:val="BodyText"/>
      </w:pPr>
      <w:r>
        <w:rPr>
          <w:vertAlign w:val="superscript"/>
        </w:rPr>
        <w:t xml:space="preserve">*</w:t>
      </w:r>
      <w:r>
        <w:t xml:space="preserve"> </w:t>
      </w:r>
      <w:r>
        <w:t xml:space="preserve">Corresponding to:</w:t>
      </w:r>
      <w:r>
        <w:t xml:space="preserve"> </w:t>
      </w:r>
      <w:hyperlink r:id="rId21">
        <w:r>
          <w:rPr>
            <w:rStyle w:val="Hyperlink"/>
          </w:rPr>
          <w:t xml:space="preserve">Ming Su (mingsu@rcees.ac.cn)</w:t>
        </w:r>
      </w:hyperlink>
    </w:p>
    <w:bookmarkStart w:id="22" w:name="response-to-editor"/>
    <w:p>
      <w:pPr>
        <w:pStyle w:val="Heading1"/>
      </w:pPr>
      <w:r>
        <w:t xml:space="preserve">Response to Editor</w:t>
      </w:r>
    </w:p>
    <w:p>
      <w:pPr>
        <w:pStyle w:val="Compact"/>
        <w:numPr>
          <w:ilvl w:val="0"/>
          <w:numId w:val="1001"/>
        </w:numPr>
      </w:pPr>
      <w:r>
        <w:t xml:space="preserve">See reviewer comments. Reduce conclusion to a take home message</w:t>
      </w:r>
    </w:p>
    <w:p>
      <w:pPr>
        <w:pStyle w:val="FirstParagraph"/>
      </w:pPr>
      <w:r>
        <w:t xml:space="preserve">Thank you for your kind consideration of our paper and suggestion. Accordingly, we have revised and shortened the conclusion section to emphasize the main take-home message of the study, as shown below.</w:t>
      </w:r>
    </w:p>
    <w:bookmarkEnd w:id="22"/>
    <w:bookmarkStart w:id="23" w:name="references"/>
    <w:p>
      <w:pPr>
        <w:pStyle w:val="Heading1"/>
      </w:pPr>
      <w:r>
        <w:t xml:space="preserve">References</w:t>
      </w:r>
    </w:p>
    <w:bookmarkEnd w:id="23"/>
    <w:sectPr w:rsidR="00C83DEB" w:rsidRPr="009A350C" w:rsidSect="00D34A99">
      <w:type w:val="continuous"/>
      <w:pgSz w:h="16848" w:w="11952"/>
      <w:pgMar w:bottom="1440" w:footer="720" w:gutter="720" w:header="720" w:left="1440" w:right="1440" w:top="1440"/>
      <w:lnNumType w:countBy="1" w:restart="continuous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EA454B4C"/>
    <w:multiLevelType w:val="multilevel"/>
    <w:tmpl w:val="17A2F78A"/>
    <w:lvl w:ilvl="0">
      <w:numFmt w:val="bullet"/>
      <w:lvlText w:val="•"/>
      <w:lvlJc w:val="left"/>
      <w:pPr>
        <w:tabs>
          <w:tab w:pos="0" w:val="num"/>
        </w:tabs>
        <w:ind w:hanging="480" w:left="480"/>
      </w:pPr>
    </w:lvl>
    <w:lvl w:ilvl="1">
      <w:numFmt w:val="bullet"/>
      <w:lvlText w:val="–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•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–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•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–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•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–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•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">
    <w:nsid w:val="FFFFFF7C"/>
    <w:multiLevelType w:val="singleLevel"/>
    <w:tmpl w:val="35BCE13A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2">
    <w:nsid w:val="FFFFFF7D"/>
    <w:multiLevelType w:val="singleLevel"/>
    <w:tmpl w:val="17ACA35A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3">
    <w:nsid w:val="FFFFFF7E"/>
    <w:multiLevelType w:val="singleLevel"/>
    <w:tmpl w:val="305208BC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4">
    <w:nsid w:val="FFFFFF7F"/>
    <w:multiLevelType w:val="singleLevel"/>
    <w:tmpl w:val="538C7DB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5">
    <w:nsid w:val="FFFFFF80"/>
    <w:multiLevelType w:val="singleLevel"/>
    <w:tmpl w:val="520CF04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6">
    <w:nsid w:val="FFFFFF81"/>
    <w:multiLevelType w:val="singleLevel"/>
    <w:tmpl w:val="E05CA962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7">
    <w:nsid w:val="FFFFFF82"/>
    <w:multiLevelType w:val="singleLevel"/>
    <w:tmpl w:val="91027A6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8">
    <w:nsid w:val="FFFFFF83"/>
    <w:multiLevelType w:val="singleLevel"/>
    <w:tmpl w:val="6DB2BCF6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9">
    <w:nsid w:val="FFFFFF88"/>
    <w:multiLevelType w:val="singleLevel"/>
    <w:tmpl w:val="985C7762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10">
    <w:nsid w:val="FFFFFF89"/>
    <w:multiLevelType w:val="singleLevel"/>
    <w:tmpl w:val="D5CEBA96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1">
    <w:nsid w:val="0000A990"/>
    <w:multiLevelType w:val="multilevel"/>
    <w:tmpl w:val="ECD0910E"/>
    <w:lvl w:ilvl="0">
      <w:numFmt w:val="bullet"/>
      <w:lvlText w:val=" "/>
      <w:lvlJc w:val="left"/>
      <w:pPr>
        <w:ind w:hanging="480" w:left="720"/>
      </w:pPr>
    </w:lvl>
    <w:lvl w:ilvl="1">
      <w:numFmt w:val="bullet"/>
      <w:lvlText w:val=" "/>
      <w:lvlJc w:val="left"/>
      <w:pPr>
        <w:ind w:hanging="480" w:left="1440"/>
      </w:pPr>
    </w:lvl>
    <w:lvl w:ilvl="2">
      <w:numFmt w:val="bullet"/>
      <w:lvlText w:val=" "/>
      <w:lvlJc w:val="left"/>
      <w:pPr>
        <w:ind w:hanging="480" w:left="2160"/>
      </w:pPr>
    </w:lvl>
    <w:lvl w:ilvl="3">
      <w:numFmt w:val="bullet"/>
      <w:lvlText w:val=" "/>
      <w:lvlJc w:val="left"/>
      <w:pPr>
        <w:ind w:hanging="480" w:left="2880"/>
      </w:pPr>
    </w:lvl>
    <w:lvl w:ilvl="4">
      <w:numFmt w:val="bullet"/>
      <w:lvlText w:val=" "/>
      <w:lvlJc w:val="left"/>
      <w:pPr>
        <w:ind w:hanging="480" w:left="3600"/>
      </w:pPr>
    </w:lvl>
    <w:lvl w:ilvl="5">
      <w:numFmt w:val="bullet"/>
      <w:lvlText w:val=" "/>
      <w:lvlJc w:val="left"/>
      <w:pPr>
        <w:ind w:hanging="480" w:left="4320"/>
      </w:pPr>
    </w:lvl>
    <w:lvl w:ilvl="6">
      <w:numFmt w:val="bullet"/>
      <w:lvlText w:val=" "/>
      <w:lvlJc w:val="left"/>
      <w:pPr>
        <w:ind w:hanging="480" w:left="5040"/>
      </w:pPr>
    </w:lvl>
    <w:lvl w:ilvl="7">
      <w:numFmt w:val="bullet"/>
      <w:lvlText w:val=" "/>
      <w:lvlJc w:val="left"/>
      <w:pPr>
        <w:ind w:hanging="480" w:left="5760"/>
      </w:pPr>
    </w:lvl>
    <w:lvl w:ilvl="8">
      <w:numFmt w:val="bullet"/>
      <w:lvlText w:val=" "/>
      <w:lvlJc w:val="left"/>
      <w:pPr>
        <w:ind w:hanging="480" w:left="6480"/>
      </w:pPr>
    </w:lvl>
  </w:abstractNum>
  <w:abstractNum w15:restartNumberingAfterBreak="0" w:abstractNumId="12">
    <w:nsid w:val="00A99421"/>
    <w:multiLevelType w:val="multilevel"/>
    <w:tmpl w:val="3592AE20"/>
    <w:lvl w:ilvl="0">
      <w:start w:val="1"/>
      <w:numFmt w:val="decimal"/>
      <w:lvlText w:val="%1)"/>
      <w:lvlJc w:val="left"/>
      <w:pPr>
        <w:ind w:hanging="480" w:left="720"/>
      </w:pPr>
    </w:lvl>
    <w:lvl w:ilvl="1">
      <w:start w:val="1"/>
      <w:numFmt w:val="decimal"/>
      <w:lvlText w:val="%2)"/>
      <w:lvlJc w:val="left"/>
      <w:pPr>
        <w:ind w:hanging="480" w:left="1440"/>
      </w:pPr>
    </w:lvl>
    <w:lvl w:ilvl="2">
      <w:start w:val="1"/>
      <w:numFmt w:val="decimal"/>
      <w:lvlText w:val="%3)"/>
      <w:lvlJc w:val="left"/>
      <w:pPr>
        <w:ind w:hanging="480" w:left="2160"/>
      </w:pPr>
    </w:lvl>
    <w:lvl w:ilvl="3">
      <w:start w:val="1"/>
      <w:numFmt w:val="decimal"/>
      <w:lvlText w:val="%4)"/>
      <w:lvlJc w:val="left"/>
      <w:pPr>
        <w:ind w:hanging="480" w:left="2880"/>
      </w:pPr>
    </w:lvl>
    <w:lvl w:ilvl="4">
      <w:start w:val="1"/>
      <w:numFmt w:val="decimal"/>
      <w:lvlText w:val="%5)"/>
      <w:lvlJc w:val="left"/>
      <w:pPr>
        <w:ind w:hanging="480" w:left="3600"/>
      </w:pPr>
    </w:lvl>
    <w:lvl w:ilvl="5">
      <w:start w:val="1"/>
      <w:numFmt w:val="decimal"/>
      <w:lvlText w:val="%6)"/>
      <w:lvlJc w:val="left"/>
      <w:pPr>
        <w:ind w:hanging="480" w:left="4320"/>
      </w:pPr>
    </w:lvl>
    <w:lvl w:ilvl="6">
      <w:start w:val="1"/>
      <w:numFmt w:val="decimal"/>
      <w:lvlText w:val="%7)"/>
      <w:lvlJc w:val="left"/>
      <w:pPr>
        <w:ind w:hanging="480" w:left="5040"/>
      </w:pPr>
    </w:lvl>
    <w:lvl w:ilvl="7">
      <w:start w:val="1"/>
      <w:numFmt w:val="decimal"/>
      <w:lvlText w:val="%8)"/>
      <w:lvlJc w:val="left"/>
      <w:pPr>
        <w:ind w:hanging="480" w:left="5760"/>
      </w:pPr>
    </w:lvl>
    <w:lvl w:ilvl="8">
      <w:start w:val="1"/>
      <w:numFmt w:val="decimal"/>
      <w:lvlText w:val="%9)"/>
      <w:lvlJc w:val="left"/>
      <w:pPr>
        <w:ind w:hanging="480" w:left="6480"/>
      </w:pPr>
    </w:lvl>
  </w:abstractNum>
  <w:abstractNum w15:restartNumberingAfterBreak="0" w:abstractNumId="13">
    <w:nsid w:val="2AAB1796"/>
    <w:multiLevelType w:val="multilevel"/>
    <w:tmpl w:val="F7E0EDFA"/>
    <w:lvl w:ilvl="0">
      <w:start w:val="1"/>
      <w:numFmt w:val="decimal"/>
      <w:pStyle w:val="Heading1"/>
      <w:lvlText w:val="%1"/>
      <w:lvlJc w:val="left"/>
      <w:pPr>
        <w:ind w:hanging="432" w:left="432"/>
      </w:pPr>
    </w:lvl>
    <w:lvl w:ilvl="1">
      <w:start w:val="1"/>
      <w:numFmt w:val="decimal"/>
      <w:pStyle w:val="Heading2"/>
      <w:lvlText w:val="%1.%2"/>
      <w:lvlJc w:val="left"/>
      <w:pPr>
        <w:ind w:hanging="576" w:left="576"/>
      </w:pPr>
    </w:lvl>
    <w:lvl w:ilvl="2">
      <w:start w:val="1"/>
      <w:numFmt w:val="decimal"/>
      <w:pStyle w:val="Heading3"/>
      <w:lvlText w:val="%1.%2.%3"/>
      <w:lvlJc w:val="left"/>
      <w:pPr>
        <w:ind w:hanging="720" w:left="720"/>
      </w:pPr>
    </w:lvl>
    <w:lvl w:ilvl="3">
      <w:start w:val="1"/>
      <w:numFmt w:val="decimal"/>
      <w:pStyle w:val="Heading4"/>
      <w:lvlText w:val="%1.%2.%3.%4"/>
      <w:lvlJc w:val="left"/>
      <w:pPr>
        <w:ind w:hanging="864" w:left="864"/>
      </w:pPr>
    </w:lvl>
    <w:lvl w:ilvl="4">
      <w:start w:val="1"/>
      <w:numFmt w:val="decimal"/>
      <w:pStyle w:val="Heading5"/>
      <w:lvlText w:val="%1.%2.%3.%4.%5"/>
      <w:lvlJc w:val="left"/>
      <w:pPr>
        <w:ind w:hanging="1008" w:left="1008"/>
      </w:pPr>
    </w:lvl>
    <w:lvl w:ilvl="5">
      <w:start w:val="1"/>
      <w:numFmt w:val="decimal"/>
      <w:pStyle w:val="Heading6"/>
      <w:lvlText w:val="%1.%2.%3.%4.%5.%6"/>
      <w:lvlJc w:val="left"/>
      <w:pPr>
        <w:ind w:hanging="1152" w:left="1152"/>
      </w:pPr>
    </w:lvl>
    <w:lvl w:ilvl="6">
      <w:start w:val="1"/>
      <w:numFmt w:val="decimal"/>
      <w:pStyle w:val="Heading7"/>
      <w:lvlText w:val="%1.%2.%3.%4.%5.%6.%7"/>
      <w:lvlJc w:val="left"/>
      <w:pPr>
        <w:ind w:hanging="1296" w:left="1296"/>
      </w:pPr>
    </w:lvl>
    <w:lvl w:ilvl="7">
      <w:start w:val="1"/>
      <w:numFmt w:val="decimal"/>
      <w:pStyle w:val="Heading8"/>
      <w:lvlText w:val="%1.%2.%3.%4.%5.%6.%7.%8"/>
      <w:lvlJc w:val="left"/>
      <w:pPr>
        <w:ind w:hanging="1440" w:left="1440"/>
      </w:pPr>
    </w:lvl>
    <w:lvl w:ilvl="8">
      <w:start w:val="1"/>
      <w:numFmt w:val="decimal"/>
      <w:pStyle w:val="Heading9"/>
      <w:lvlText w:val="%1.%2.%3.%4.%5.%6.%7.%8.%9"/>
      <w:lvlJc w:val="left"/>
      <w:pPr>
        <w:ind w:hanging="1584" w:left="1584"/>
      </w:pPr>
    </w:lvl>
  </w:abstractNum>
  <w:abstractNum w15:restartNumberingAfterBreak="0" w:abstractNumId="14">
    <w:nsid w:val="2C1AE401"/>
    <w:multiLevelType w:val="multilevel"/>
    <w:tmpl w:val="EB5024DC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1647003809" w:numId="1">
    <w:abstractNumId w:val="14"/>
  </w:num>
  <w:num w16cid:durableId="1050769522" w:numId="2">
    <w:abstractNumId w:val="1"/>
  </w:num>
  <w:num w16cid:durableId="691146791" w:numId="3">
    <w:abstractNumId w:val="2"/>
  </w:num>
  <w:num w16cid:durableId="1840848626" w:numId="4">
    <w:abstractNumId w:val="3"/>
  </w:num>
  <w:num w16cid:durableId="979381040" w:numId="5">
    <w:abstractNumId w:val="4"/>
  </w:num>
  <w:num w16cid:durableId="1339770353" w:numId="6">
    <w:abstractNumId w:val="9"/>
  </w:num>
  <w:num w16cid:durableId="1869879009" w:numId="7">
    <w:abstractNumId w:val="5"/>
  </w:num>
  <w:num w16cid:durableId="958805246" w:numId="8">
    <w:abstractNumId w:val="6"/>
  </w:num>
  <w:num w16cid:durableId="1871726544" w:numId="9">
    <w:abstractNumId w:val="7"/>
  </w:num>
  <w:num w16cid:durableId="1443769426" w:numId="10">
    <w:abstractNumId w:val="8"/>
  </w:num>
  <w:num w16cid:durableId="2133476877" w:numId="11">
    <w:abstractNumId w:val="10"/>
  </w:num>
  <w:num w16cid:durableId="1658653764" w:numId="12">
    <w:abstractNumId w:val="13"/>
  </w:num>
  <w:num w16cid:durableId="1291326281" w:numId="13">
    <w:abstractNumId w:val="14"/>
  </w:num>
  <w:num w16cid:durableId="455566639" w:numId="14">
    <w:abstractNumId w:val="0"/>
  </w:num>
  <w:num w16cid:durableId="1123501441" w:numId="15">
    <w:abstractNumId w:val="0"/>
  </w:num>
  <w:num w16cid:durableId="1713111372" w:numId="16">
    <w:abstractNumId w:val="14"/>
  </w:num>
  <w:num w16cid:durableId="633413296" w:numId="17">
    <w:abstractNumId w:val="14"/>
  </w:num>
  <w:num w16cid:durableId="727605067" w:numId="18">
    <w:abstractNumId w:val="0"/>
  </w:num>
  <w:num w16cid:durableId="790052878" w:numId="19">
    <w:abstractNumId w:val="0"/>
  </w:num>
  <w:num w16cid:durableId="1687557063" w:numId="20">
    <w:abstractNumId w:val="0"/>
  </w:num>
  <w:num w16cid:durableId="1615483120" w:numId="21">
    <w:abstractNumId w:val="14"/>
  </w:num>
  <w:num w16cid:durableId="1942569766" w:numId="22">
    <w:abstractNumId w:val="14"/>
  </w:num>
  <w:num w16cid:durableId="1205798551" w:numId="23">
    <w:abstractNumId w:val="11"/>
  </w:num>
  <w:num w16cid:durableId="647243311"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16cid:durableId="1364794324" w:numId="25">
    <w:abstractNumId w:val="11"/>
  </w:num>
  <w:num w16cid:durableId="1211453382" w:numId="26">
    <w:abstractNumId w:val="11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78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EB"/>
    <w:rsid w:val="009A350C"/>
    <w:rsid w:val="00BF0311"/>
    <w:rsid w:val="00C83DEB"/>
    <w:rsid w:val="00D74377"/>
    <w:rsid w:val="00E27AC7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475C52"/>
    <w:pPr>
      <w:spacing w:after="240" w:before="120" w:line="480" w:lineRule="auto"/>
      <w:ind w:firstLine="397"/>
      <w:jc w:val="both"/>
    </w:pPr>
    <w:rPr>
      <w:rFonts w:ascii="Calibri" w:eastAsiaTheme="minorEastAsia" w:hAnsi="Calibri"/>
    </w:rPr>
  </w:style>
  <w:style w:styleId="Heading1" w:type="paragraph">
    <w:name w:val="heading 1"/>
    <w:basedOn w:val="Normal"/>
    <w:next w:val="BodyText"/>
    <w:uiPriority w:val="9"/>
    <w:qFormat/>
    <w:rsid w:val="009F1910"/>
    <w:pPr>
      <w:keepNext/>
      <w:keepLines/>
      <w:numPr>
        <w:numId w:val="12"/>
      </w:numPr>
      <w:spacing w:after="0" w:line="240" w:lineRule="auto"/>
      <w:ind w:firstLine="0" w:left="0"/>
      <w:outlineLvl w:val="0"/>
    </w:pPr>
    <w:rPr>
      <w:rFonts w:asciiTheme="majorHAnsi" w:cstheme="majorBidi" w:eastAsiaTheme="majorEastAsia" w:hAnsiTheme="majorHAnsi"/>
      <w:b/>
      <w:bCs/>
      <w:sz w:val="32"/>
      <w:szCs w:val="32"/>
    </w:rPr>
  </w:style>
  <w:style w:styleId="Heading2" w:type="paragraph">
    <w:name w:val="heading 2"/>
    <w:basedOn w:val="Normal"/>
    <w:next w:val="BodyText"/>
    <w:autoRedefine/>
    <w:uiPriority w:val="9"/>
    <w:unhideWhenUsed/>
    <w:qFormat/>
    <w:rsid w:val="009F1910"/>
    <w:pPr>
      <w:keepNext/>
      <w:keepLines/>
      <w:numPr>
        <w:ilvl w:val="1"/>
        <w:numId w:val="12"/>
      </w:numPr>
      <w:spacing w:after="120" w:line="240" w:lineRule="auto"/>
      <w:ind w:firstLine="0" w:left="0"/>
      <w:outlineLvl w:val="1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rsid w:val="00357B8B"/>
    <w:pPr>
      <w:keepNext/>
      <w:keepLines/>
      <w:numPr>
        <w:ilvl w:val="2"/>
        <w:numId w:val="12"/>
      </w:numPr>
      <w:spacing w:after="0" w:before="200"/>
      <w:outlineLvl w:val="2"/>
    </w:pPr>
    <w:rPr>
      <w:rFonts w:asciiTheme="majorHAnsi" w:cstheme="majorBidi" w:eastAsiaTheme="majorEastAsia" w:hAnsiTheme="majorHAnsi"/>
      <w:b/>
      <w:bCs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numPr>
        <w:ilvl w:val="3"/>
        <w:numId w:val="12"/>
      </w:numPr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numPr>
        <w:ilvl w:val="4"/>
        <w:numId w:val="12"/>
      </w:numPr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numPr>
        <w:ilvl w:val="5"/>
        <w:numId w:val="12"/>
      </w:numPr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numPr>
        <w:ilvl w:val="6"/>
        <w:numId w:val="12"/>
      </w:numPr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numPr>
        <w:ilvl w:val="7"/>
        <w:numId w:val="12"/>
      </w:numPr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numPr>
        <w:ilvl w:val="8"/>
        <w:numId w:val="12"/>
      </w:numPr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autoRedefine/>
    <w:qFormat/>
    <w:rsid w:val="00475C52"/>
    <w:pPr>
      <w:spacing w:after="180" w:before="180"/>
    </w:pPr>
  </w:style>
  <w:style w:customStyle="1" w:styleId="FirstParagraph" w:type="paragraph">
    <w:name w:val="First Paragraph"/>
    <w:basedOn w:val="BodyText"/>
    <w:next w:val="BodyText"/>
    <w:autoRedefine/>
    <w:qFormat/>
    <w:rsid w:val="001D0787"/>
    <w:pPr>
      <w:spacing w:after="120" w:before="240"/>
    </w:pPr>
  </w:style>
  <w:style w:customStyle="1" w:styleId="Compact" w:type="paragraph">
    <w:name w:val="Compact"/>
    <w:basedOn w:val="BodyText"/>
    <w:autoRedefine/>
    <w:qFormat/>
    <w:rsid w:val="00684FFA"/>
    <w:pPr>
      <w:spacing w:after="0" w:before="0"/>
      <w:ind w:firstLine="0"/>
      <w:jc w:val="left"/>
    </w:pPr>
  </w:style>
  <w:style w:styleId="Title" w:type="paragraph">
    <w:name w:val="Title"/>
    <w:basedOn w:val="Normal"/>
    <w:next w:val="BodyText"/>
    <w:qFormat/>
    <w:rsid w:val="009F1910"/>
    <w:pPr>
      <w:keepNext/>
      <w:keepLines/>
      <w:spacing w:after="120" w:before="240" w:line="240" w:lineRule="auto"/>
      <w:ind w:firstLine="0"/>
      <w:jc w:val="center"/>
    </w:pPr>
    <w:rPr>
      <w:rFonts w:asciiTheme="majorHAnsi" w:cstheme="majorBidi" w:eastAsiaTheme="majorEastAsia" w:hAnsiTheme="majorHAnsi"/>
      <w:b/>
      <w:bCs/>
      <w:sz w:val="32"/>
      <w:szCs w:val="36"/>
    </w:rPr>
  </w:style>
  <w:style w:styleId="Subtitle" w:type="paragraph">
    <w:name w:val="Subtitle"/>
    <w:basedOn w:val="Title"/>
    <w:next w:val="BodyText"/>
    <w:qFormat/>
    <w:rsid w:val="004659FD"/>
    <w:pPr>
      <w:spacing w:after="240"/>
    </w:pPr>
    <w:rPr>
      <w:sz w:val="28"/>
      <w:szCs w:val="30"/>
    </w:rPr>
  </w:style>
  <w:style w:customStyle="1" w:styleId="Author" w:type="paragraph">
    <w:name w:val="Author"/>
    <w:next w:val="BodyText"/>
    <w:qFormat/>
    <w:rsid w:val="009F1910"/>
    <w:pPr>
      <w:keepNext/>
      <w:keepLines/>
      <w:jc w:val="center"/>
    </w:pPr>
    <w:rPr>
      <w:sz w:val="21"/>
    </w:r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autoRedefine/>
    <w:qFormat/>
    <w:rsid w:val="00475C52"/>
    <w:rPr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basedOn w:val="TableNormal"/>
    <w:semiHidden/>
    <w:unhideWhenUsed/>
    <w:qFormat/>
    <w:rsid w:val="00556B80"/>
    <w:tblPr>
      <w:jc w:val="center"/>
      <w:tblBorders>
        <w:bottom w:color="auto" w:space="0" w:sz="4" w:val="single"/>
      </w:tblBorders>
    </w:tblPr>
    <w:trPr>
      <w:jc w:val="center"/>
    </w:trPr>
    <w:tblStylePr w:type="firstRow">
      <w:pPr>
        <w:jc w:val="center"/>
      </w:pPr>
      <w:rPr>
        <w:rFonts w:asciiTheme="minorHAnsi" w:hAnsiTheme="minorHAnsi"/>
        <w:b/>
        <w:color w:val="auto"/>
        <w:sz w:val="24"/>
        <w:u w:val="none"/>
      </w:rPr>
      <w:tblPr/>
      <w:tcPr>
        <w:tcBorders>
          <w:top w:color="auto" w:space="0" w:sz="4" w:val="single"/>
          <w:bottom w:color="auto" w:space="0" w:sz="4" w:val="single"/>
        </w:tcBorders>
        <w:shd w:color="auto" w:fill="BFBFBF" w:themeFill="background1" w:themeFillShade="BF" w:val="clear"/>
      </w:tcPr>
    </w:tblStylePr>
    <w:tblStylePr w:type="firstCol">
      <w:rPr>
        <w:b/>
      </w:r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autoRedefine/>
    <w:rsid w:val="00556B80"/>
    <w:pPr>
      <w:spacing w:after="120" w:before="0"/>
      <w:jc w:val="center"/>
    </w:pPr>
    <w:rPr>
      <w:i/>
    </w:rPr>
  </w:style>
  <w:style w:customStyle="1" w:styleId="TableCaption" w:type="paragraph">
    <w:name w:val="Table Caption"/>
    <w:basedOn w:val="Caption"/>
    <w:autoRedefine/>
    <w:rsid w:val="009F1910"/>
    <w:pPr>
      <w:keepNext/>
      <w:spacing w:before="240"/>
      <w:ind w:firstLine="0"/>
    </w:pPr>
  </w:style>
  <w:style w:customStyle="1" w:styleId="ImageCaption" w:type="paragraph">
    <w:name w:val="Image Caption"/>
    <w:basedOn w:val="Caption"/>
    <w:autoRedefine/>
    <w:qFormat/>
    <w:rsid w:val="00E27AC7"/>
    <w:pPr>
      <w:keepLines/>
      <w:spacing w:before="120" w:line="360" w:lineRule="auto"/>
      <w:ind w:firstLine="0"/>
    </w:pPr>
  </w:style>
  <w:style w:customStyle="1" w:styleId="Figure" w:type="paragraph">
    <w:name w:val="Figure"/>
    <w:basedOn w:val="Normal"/>
    <w:autoRedefine/>
    <w:rsid w:val="001D0787"/>
    <w:pPr>
      <w:keepNext/>
      <w:spacing w:after="120" w:before="240" w:line="360" w:lineRule="auto"/>
      <w:ind w:firstLine="0"/>
      <w:jc w:val="center"/>
    </w:pPr>
    <w:rPr>
      <w:noProof/>
    </w:rPr>
  </w:style>
  <w:style w:customStyle="1" w:styleId="CaptionedFigure" w:type="paragraph">
    <w:name w:val="Captioned Figure"/>
    <w:basedOn w:val="Figure"/>
    <w:rsid w:val="00357B8B"/>
  </w:style>
  <w:style w:customStyle="1" w:styleId="CaptionChar" w:type="character">
    <w:name w:val="Caption Char"/>
    <w:basedOn w:val="DefaultParagraphFont"/>
    <w:link w:val="Caption"/>
    <w:rsid w:val="00556B80"/>
    <w:rPr>
      <w:i/>
    </w:rPr>
  </w:style>
  <w:style w:customStyle="1" w:styleId="VerbatimChar" w:type="character">
    <w:name w:val="Verbatim Char"/>
    <w:basedOn w:val="CaptionChar"/>
    <w:link w:val="SourceCode"/>
    <w:rsid w:val="00357B8B"/>
    <w:rPr>
      <w:i/>
      <w:shd w:color="auto" w:fill="F8F8F8" w:val="clear"/>
    </w:rPr>
  </w:style>
  <w:style w:styleId="FootnoteReference" w:type="character">
    <w:name w:val="footnote reference"/>
    <w:basedOn w:val="CaptionChar"/>
    <w:rPr>
      <w:i/>
      <w:vertAlign w:val="superscript"/>
    </w:rPr>
  </w:style>
  <w:style w:styleId="Hyperlink" w:type="character">
    <w:name w:val="Hyperlink"/>
    <w:basedOn w:val="CaptionChar"/>
    <w:rPr>
      <w:i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rsid w:val="00357B8B"/>
    <w:pPr>
      <w:framePr w:hAnchor="text" w:vAnchor="text" w:wrap="around" w:y="1"/>
      <w:shd w:color="auto" w:fill="F8F8F8" w:val="clear"/>
      <w:wordWrap w:val="0"/>
      <w:spacing w:after="0" w:before="0" w:line="240" w:lineRule="auto"/>
      <w:ind w:firstLine="0"/>
    </w:pPr>
  </w:style>
  <w:style w:customStyle="1" w:styleId="KeywordTok" w:type="character">
    <w:name w:val="KeywordTok"/>
    <w:basedOn w:val="VerbatimChar"/>
    <w:rPr>
      <w:b/>
      <w:i/>
      <w:color w:val="204A87"/>
      <w:shd w:color="auto" w:fill="F8F8F8" w:val="clear"/>
    </w:rPr>
  </w:style>
  <w:style w:customStyle="1" w:styleId="DataTypeTok" w:type="character">
    <w:name w:val="DataTypeTok"/>
    <w:basedOn w:val="VerbatimChar"/>
    <w:rPr>
      <w:i/>
      <w:color w:val="204A87"/>
      <w:shd w:color="auto" w:fill="F8F8F8" w:val="clear"/>
    </w:rPr>
  </w:style>
  <w:style w:customStyle="1" w:styleId="DecValTok" w:type="character">
    <w:name w:val="DecValTok"/>
    <w:basedOn w:val="VerbatimChar"/>
    <w:rPr>
      <w:i/>
      <w:color w:val="0000CF"/>
      <w:shd w:color="auto" w:fill="F8F8F8" w:val="clear"/>
    </w:rPr>
  </w:style>
  <w:style w:customStyle="1" w:styleId="BaseNTok" w:type="character">
    <w:name w:val="BaseNTok"/>
    <w:basedOn w:val="VerbatimChar"/>
    <w:rPr>
      <w:i/>
      <w:color w:val="0000CF"/>
      <w:shd w:color="auto" w:fill="F8F8F8" w:val="clear"/>
    </w:rPr>
  </w:style>
  <w:style w:customStyle="1" w:styleId="FloatTok" w:type="character">
    <w:name w:val="FloatTok"/>
    <w:basedOn w:val="VerbatimChar"/>
    <w:rPr>
      <w:i/>
      <w:color w:val="0000CF"/>
      <w:shd w:color="auto" w:fill="F8F8F8" w:val="clear"/>
    </w:rPr>
  </w:style>
  <w:style w:customStyle="1" w:styleId="ConstantTok" w:type="character">
    <w:name w:val="ConstantTok"/>
    <w:basedOn w:val="VerbatimChar"/>
    <w:rPr>
      <w:i/>
      <w:color w:val="000000"/>
      <w:shd w:color="auto" w:fill="F8F8F8" w:val="clear"/>
    </w:rPr>
  </w:style>
  <w:style w:customStyle="1" w:styleId="CharTok" w:type="character">
    <w:name w:val="CharTok"/>
    <w:basedOn w:val="VerbatimChar"/>
    <w:rPr>
      <w:i/>
      <w:color w:val="4E9A06"/>
      <w:shd w:color="auto" w:fill="F8F8F8" w:val="clear"/>
    </w:rPr>
  </w:style>
  <w:style w:customStyle="1" w:styleId="SpecialCharTok" w:type="character">
    <w:name w:val="SpecialCharTok"/>
    <w:basedOn w:val="VerbatimChar"/>
    <w:rPr>
      <w:i/>
      <w:color w:val="000000"/>
      <w:shd w:color="auto" w:fill="F8F8F8" w:val="clear"/>
    </w:rPr>
  </w:style>
  <w:style w:customStyle="1" w:styleId="StringTok" w:type="character">
    <w:name w:val="StringTok"/>
    <w:basedOn w:val="VerbatimChar"/>
    <w:rPr>
      <w:i/>
      <w:color w:val="4E9A06"/>
      <w:shd w:color="auto" w:fill="F8F8F8" w:val="clear"/>
    </w:rPr>
  </w:style>
  <w:style w:customStyle="1" w:styleId="VerbatimStringTok" w:type="character">
    <w:name w:val="VerbatimStringTok"/>
    <w:basedOn w:val="VerbatimChar"/>
    <w:rPr>
      <w:i/>
      <w:color w:val="4E9A06"/>
      <w:shd w:color="auto" w:fill="F8F8F8" w:val="clear"/>
    </w:rPr>
  </w:style>
  <w:style w:customStyle="1" w:styleId="SpecialStringTok" w:type="character">
    <w:name w:val="SpecialStringTok"/>
    <w:basedOn w:val="VerbatimChar"/>
    <w:rPr>
      <w:i/>
      <w:color w:val="4E9A06"/>
      <w:shd w:color="auto" w:fill="F8F8F8" w:val="clear"/>
    </w:rPr>
  </w:style>
  <w:style w:customStyle="1" w:styleId="ImportTok" w:type="character">
    <w:name w:val="ImportTok"/>
    <w:basedOn w:val="VerbatimChar"/>
    <w:rPr>
      <w:i/>
      <w:shd w:color="auto" w:fill="F8F8F8" w:val="clear"/>
    </w:rPr>
  </w:style>
  <w:style w:customStyle="1" w:styleId="CommentTok" w:type="character">
    <w:name w:val="CommentTok"/>
    <w:basedOn w:val="VerbatimChar"/>
    <w:rPr>
      <w:i w:val="0"/>
      <w:color w:val="8F5902"/>
      <w:shd w:color="auto" w:fill="F8F8F8" w:val="clear"/>
    </w:rPr>
  </w:style>
  <w:style w:customStyle="1" w:styleId="DocumentationTok" w:type="character">
    <w:name w:val="DocumentationTok"/>
    <w:basedOn w:val="VerbatimChar"/>
    <w:rPr>
      <w:b/>
      <w:i w:val="0"/>
      <w:color w:val="8F5902"/>
      <w:shd w:color="auto" w:fill="F8F8F8" w:val="clear"/>
    </w:rPr>
  </w:style>
  <w:style w:customStyle="1" w:styleId="AnnotationTok" w:type="character">
    <w:name w:val="AnnotationTok"/>
    <w:basedOn w:val="VerbatimChar"/>
    <w:rPr>
      <w:b/>
      <w:i w:val="0"/>
      <w:color w:val="8F5902"/>
      <w:shd w:color="auto" w:fill="F8F8F8" w:val="clear"/>
    </w:rPr>
  </w:style>
  <w:style w:customStyle="1" w:styleId="CommentVarTok" w:type="character">
    <w:name w:val="CommentVarTok"/>
    <w:basedOn w:val="VerbatimChar"/>
    <w:rPr>
      <w:b/>
      <w:i w:val="0"/>
      <w:color w:val="8F5902"/>
      <w:shd w:color="auto" w:fill="F8F8F8" w:val="clear"/>
    </w:rPr>
  </w:style>
  <w:style w:customStyle="1" w:styleId="OtherTok" w:type="character">
    <w:name w:val="OtherTok"/>
    <w:basedOn w:val="VerbatimChar"/>
    <w:rPr>
      <w:i/>
      <w:color w:val="8F5902"/>
      <w:shd w:color="auto" w:fill="F8F8F8" w:val="clear"/>
    </w:rPr>
  </w:style>
  <w:style w:customStyle="1" w:styleId="FunctionTok" w:type="character">
    <w:name w:val="FunctionTok"/>
    <w:basedOn w:val="VerbatimChar"/>
    <w:rPr>
      <w:i/>
      <w:color w:val="000000"/>
      <w:shd w:color="auto" w:fill="F8F8F8" w:val="clear"/>
    </w:rPr>
  </w:style>
  <w:style w:customStyle="1" w:styleId="VariableTok" w:type="character">
    <w:name w:val="VariableTok"/>
    <w:basedOn w:val="VerbatimChar"/>
    <w:rPr>
      <w:i/>
      <w:color w:val="000000"/>
      <w:shd w:color="auto" w:fill="F8F8F8" w:val="clear"/>
    </w:rPr>
  </w:style>
  <w:style w:customStyle="1" w:styleId="ControlFlowTok" w:type="character">
    <w:name w:val="ControlFlowTok"/>
    <w:basedOn w:val="VerbatimChar"/>
    <w:rPr>
      <w:b/>
      <w:i/>
      <w:color w:val="204A87"/>
      <w:shd w:color="auto" w:fill="F8F8F8" w:val="clear"/>
    </w:rPr>
  </w:style>
  <w:style w:customStyle="1" w:styleId="OperatorTok" w:type="character">
    <w:name w:val="OperatorTok"/>
    <w:basedOn w:val="VerbatimChar"/>
    <w:rPr>
      <w:b/>
      <w:i/>
      <w:color w:val="CE5C00"/>
      <w:shd w:color="auto" w:fill="F8F8F8" w:val="clear"/>
    </w:rPr>
  </w:style>
  <w:style w:customStyle="1" w:styleId="BuiltInTok" w:type="character">
    <w:name w:val="BuiltInTok"/>
    <w:basedOn w:val="VerbatimChar"/>
    <w:rPr>
      <w:i/>
      <w:shd w:color="auto" w:fill="F8F8F8" w:val="clear"/>
    </w:rPr>
  </w:style>
  <w:style w:customStyle="1" w:styleId="ExtensionTok" w:type="character">
    <w:name w:val="ExtensionTok"/>
    <w:basedOn w:val="VerbatimChar"/>
    <w:rPr>
      <w:i/>
      <w:shd w:color="auto" w:fill="F8F8F8" w:val="clear"/>
    </w:rPr>
  </w:style>
  <w:style w:customStyle="1" w:styleId="PreprocessorTok" w:type="character">
    <w:name w:val="PreprocessorTok"/>
    <w:basedOn w:val="VerbatimChar"/>
    <w:rPr>
      <w:i w:val="0"/>
      <w:color w:val="8F5902"/>
      <w:shd w:color="auto" w:fill="F8F8F8" w:val="clear"/>
    </w:rPr>
  </w:style>
  <w:style w:customStyle="1" w:styleId="AttributeTok" w:type="character">
    <w:name w:val="AttributeTok"/>
    <w:basedOn w:val="VerbatimChar"/>
    <w:rPr>
      <w:i/>
      <w:color w:val="C4A000"/>
      <w:shd w:color="auto" w:fill="F8F8F8" w:val="clear"/>
    </w:rPr>
  </w:style>
  <w:style w:customStyle="1" w:styleId="RegionMarkerTok" w:type="character">
    <w:name w:val="RegionMarkerTok"/>
    <w:basedOn w:val="VerbatimChar"/>
    <w:rPr>
      <w:i/>
      <w:shd w:color="auto" w:fill="F8F8F8" w:val="clear"/>
    </w:rPr>
  </w:style>
  <w:style w:customStyle="1" w:styleId="InformationTok" w:type="character">
    <w:name w:val="InformationTok"/>
    <w:basedOn w:val="VerbatimChar"/>
    <w:rPr>
      <w:b/>
      <w:i w:val="0"/>
      <w:color w:val="8F5902"/>
      <w:shd w:color="auto" w:fill="F8F8F8" w:val="clear"/>
    </w:rPr>
  </w:style>
  <w:style w:customStyle="1" w:styleId="WarningTok" w:type="character">
    <w:name w:val="WarningTok"/>
    <w:basedOn w:val="VerbatimChar"/>
    <w:rPr>
      <w:b/>
      <w:i w:val="0"/>
      <w:color w:val="8F5902"/>
      <w:shd w:color="auto" w:fill="F8F8F8" w:val="clear"/>
    </w:rPr>
  </w:style>
  <w:style w:customStyle="1" w:styleId="AlertTok" w:type="character">
    <w:name w:val="AlertTok"/>
    <w:basedOn w:val="VerbatimChar"/>
    <w:rPr>
      <w:i/>
      <w:color w:val="EF2929"/>
      <w:shd w:color="auto" w:fill="F8F8F8" w:val="clear"/>
    </w:rPr>
  </w:style>
  <w:style w:customStyle="1" w:styleId="ErrorTok" w:type="character">
    <w:name w:val="ErrorTok"/>
    <w:basedOn w:val="VerbatimChar"/>
    <w:rPr>
      <w:b/>
      <w:i/>
      <w:color w:val="A40000"/>
      <w:shd w:color="auto" w:fill="F8F8F8" w:val="clear"/>
    </w:rPr>
  </w:style>
  <w:style w:customStyle="1" w:styleId="NormalTok" w:type="character">
    <w:name w:val="NormalTok"/>
    <w:basedOn w:val="VerbatimChar"/>
    <w:rPr>
      <w:i/>
      <w:shd w:color="auto" w:fill="F8F8F8" w:val="clear"/>
    </w:rPr>
  </w:style>
  <w:style w:customStyle="1" w:styleId="BodyTextChar" w:type="character">
    <w:name w:val="Body Text Char"/>
    <w:basedOn w:val="DefaultParagraphFont"/>
    <w:link w:val="BodyText"/>
    <w:rsid w:val="00475C52"/>
    <w:rPr>
      <w:rFonts w:ascii="Calibri" w:eastAsiaTheme="minorEastAsia" w:hAnsi="Calibri"/>
    </w:rPr>
  </w:style>
  <w:style w:customStyle="1" w:styleId="Image" w:type="paragraph">
    <w:name w:val="Image"/>
    <w:next w:val="ImageCaption"/>
    <w:qFormat/>
    <w:rsid w:val="009F1910"/>
    <w:pPr>
      <w:keepNext/>
      <w:spacing w:after="120" w:before="240"/>
      <w:jc w:val="center"/>
    </w:pPr>
    <w:rPr>
      <w:rFonts w:ascii="Calibri" w:hAnsi="Calibri"/>
      <w:noProof/>
    </w:rPr>
  </w:style>
  <w:style w:customStyle="1" w:styleId="TableScientific" w:type="table">
    <w:name w:val="Table Scientific"/>
    <w:basedOn w:val="TableNormal"/>
    <w:uiPriority w:val="99"/>
    <w:rsid w:val="0043749A"/>
    <w:pPr>
      <w:spacing w:after="100" w:afterAutospacing="1" w:before="100" w:beforeAutospacing="1" w:line="360" w:lineRule="auto"/>
    </w:pPr>
    <w:rPr>
      <w:rFonts w:ascii="Calibri" w:cs="Times New Roman (Body CS)" w:eastAsiaTheme="minorEastAsia" w:hAnsi="Calibri"/>
      <w:sz w:val="22"/>
    </w:rPr>
    <w:tblPr>
      <w:jc w:val="center"/>
      <w:tblBorders>
        <w:bottom w:color="auto" w:space="0" w:sz="4" w:val="single"/>
      </w:tblBorders>
    </w:tblPr>
    <w:trPr>
      <w:jc w:val="center"/>
    </w:trPr>
    <w:tcPr>
      <w:vAlign w:val="center"/>
    </w:tcPr>
    <w:tblStylePr w:type="firstRow">
      <w:pPr>
        <w:jc w:val="left"/>
      </w:pPr>
      <w:rPr>
        <w:b/>
      </w:rPr>
      <w:tblPr/>
      <w:tcPr>
        <w:tcBorders>
          <w:top w:color="auto" w:space="0" w:sz="4" w:val="single"/>
          <w:bottom w:color="auto" w:space="0" w:sz="4" w:val="single"/>
        </w:tcBorders>
        <w:shd w:color="auto" w:fill="F2F2F2" w:themeFill="background1" w:themeFillShade="F2" w:val="clear"/>
        <w:vAlign w:val="center"/>
      </w:tcPr>
    </w:tblStylePr>
    <w:tblStylePr w:type="lastRow">
      <w:rPr>
        <w:rFonts w:ascii="Calibri" w:hAnsi="Calibri"/>
      </w:rPr>
      <w:tblPr/>
      <w:tcPr>
        <w:tcBorders>
          <w:bottom w:color="auto" w:space="0" w:sz="4" w:val="single"/>
        </w:tcBorders>
      </w:tcPr>
    </w:tblStylePr>
    <w:tblStylePr w:type="lastCol">
      <w:pPr>
        <w:keepNext/>
        <w:wordWrap/>
        <w:spacing w:after="0" w:afterAutospacing="0" w:afterLines="0" w:before="0" w:beforeAutospacing="0" w:beforeLines="0" w:line="240" w:lineRule="auto"/>
        <w:ind w:firstLine="0" w:firstLineChars="0" w:left="0" w:leftChars="0" w:right="0" w:rightChars="0"/>
      </w:pPr>
      <w:rPr>
        <w:rFonts w:ascii="Calibri" w:eastAsia="SimSun" w:hAnsi="Calibri"/>
      </w:rPr>
      <w:tblPr/>
      <w:tcPr>
        <w:tcBorders>
          <w:bottom w:val="nil"/>
        </w:tcBorders>
      </w:tcPr>
    </w:tblStylePr>
  </w:style>
  <w:style w:styleId="PlainTable1" w:type="table">
    <w:name w:val="Plain Table 1"/>
    <w:basedOn w:val="TableNormal"/>
    <w:rsid w:val="00300D72"/>
    <w:pPr>
      <w:spacing w:after="0"/>
    </w:pPr>
    <w:tblPr>
      <w:tblStyleRowBandSize w:val="1"/>
      <w:tblStyleColBandSize w:val="1"/>
      <w:tblBorders>
        <w:top w:color="BFBFBF" w:space="0" w:sz="4" w:themeColor="background1" w:themeShade="BF" w:val="single"/>
        <w:left w:color="BFBFBF" w:space="0" w:sz="4" w:themeColor="background1" w:themeShade="BF" w:val="single"/>
        <w:bottom w:color="BFBFBF" w:space="0" w:sz="4" w:themeColor="background1" w:themeShade="BF" w:val="single"/>
        <w:right w:color="BFBFBF" w:space="0" w:sz="4" w:themeColor="background1" w:themeShade="BF" w:val="single"/>
        <w:insideH w:color="BFBFBF" w:space="0" w:sz="4" w:themeColor="background1" w:themeShade="BF" w:val="single"/>
        <w:insideV w:color="BFBFBF" w:space="0" w:sz="4" w:themeColor="background1" w:themeShade="BF" w:val="single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FBFBF" w:space="0" w:sz="4" w:themeColor="background1" w:themeShade="BF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</w:style>
  <w:style w:styleId="PlainTable3" w:type="table">
    <w:name w:val="Plain Table 3"/>
    <w:basedOn w:val="TableNormal"/>
    <w:rsid w:val="00300D7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color="7F7F7F" w:space="0" w:sz="4" w:themeColor="text1" w:themeTint="80" w:val="single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color="7F7F7F" w:space="0" w:sz="4" w:themeColor="text1" w:themeTint="80" w:val="single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customStyle="1" w:styleId="Table1" w:type="table">
    <w:name w:val="Table1"/>
    <w:basedOn w:val="TableNormal"/>
    <w:uiPriority w:val="99"/>
    <w:rsid w:val="0043749A"/>
    <w:pPr>
      <w:spacing w:after="0"/>
      <w:jc w:val="center"/>
    </w:pPr>
    <w:tblPr>
      <w:tblBorders>
        <w:top w:color="auto" w:space="0" w:sz="4" w:val="single"/>
        <w:bottom w:color="auto" w:space="0" w:sz="4" w:val="single"/>
      </w:tblBorders>
    </w:tblPr>
    <w:tcPr>
      <w:noWrap/>
      <w:vAlign w:val="center"/>
    </w:tcPr>
    <w:tblStylePr w:type="firstRow">
      <w:rPr>
        <w:b/>
      </w:rPr>
      <w:tblPr/>
      <w:tcPr>
        <w:tcBorders>
          <w:bottom w:color="auto" w:space="0" w:sz="4" w:val="single"/>
        </w:tcBorders>
      </w:tcPr>
    </w:tblStylePr>
    <w:tblStylePr w:type="firstCol">
      <w:pPr>
        <w:wordWrap/>
        <w:spacing w:after="0" w:afterAutospacing="0" w:afterLines="0" w:before="0" w:beforeAutospacing="0" w:beforeLines="0" w:line="240" w:lineRule="auto"/>
        <w:ind w:firstLine="0" w:firstLineChars="0" w:left="0" w:leftChars="0" w:right="0" w:rightChars="0"/>
        <w:jc w:val="left"/>
        <w:textboxTightWrap w:val="allLines"/>
        <w:outlineLvl w:val="9"/>
      </w:pPr>
      <w:rPr>
        <w:b/>
      </w:rPr>
    </w:tblStylePr>
  </w:style>
  <w:style w:styleId="LineNumber" w:type="character">
    <w:name w:val="line number"/>
    <w:basedOn w:val="DefaultParagraphFont"/>
    <w:semiHidden/>
    <w:unhideWhenUsed/>
    <w:rsid w:val="00D34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orcid.org/0000000198211268" TargetMode="External" /><Relationship Type="http://schemas.openxmlformats.org/officeDocument/2006/relationships/hyperlink" Id="rId21" Target="mailto:mingsu@rcees.ac.c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orcid.org/0000000198211268" TargetMode="External" /><Relationship Type="http://schemas.openxmlformats.org/officeDocument/2006/relationships/hyperlink" Id="rId21" Target="mailto:mingsu@rcees.ac.c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Strategy for identification of MIB producers using routine data: a case study of an estuary drinking water reservoir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Spatiotemporal decoupling of littoral and lacustrine geosmin dynamics: Implications for early warning in drinking water reservoirs</dc:title>
  <dc:creator>Yuying Guia,b,#, Tengxin Caob,f,#, Jie Yangc, Jihui Qind, Ming Su ID,b,f,*, Ziyi Yangb,f, Qi Zhange, Yufan Aib,f, Jiao Fangb, Yingjie Lib,f, Yuanhong Xiaod, Zhixiang Haoc, Zhengyan Lia, and Min Yangb,f</dc:creator>
  <dc:language>en</dc:language>
  <cp:keywords/>
  <dcterms:created xsi:type="dcterms:W3CDTF">2026-08-12T16:30:28Z</dcterms:created>
  <dcterms:modified xsi:type="dcterms:W3CDTF">2026-08-12T16:30:28Z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uthor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by-affiliation">
    <vt:lpwstr/>
  </property>
  <property fmtid="{D5CDD505-2E9C-101B-9397-08002B2CF9AE}" pid="7" name="by-author">
    <vt:lpwstr/>
  </property>
  <property fmtid="{D5CDD505-2E9C-101B-9397-08002B2CF9AE}" pid="8" name="comments">
    <vt:lpwstr/>
  </property>
  <property fmtid="{D5CDD505-2E9C-101B-9397-08002B2CF9AE}" pid="9" name="crossref">
    <vt:lpwstr/>
  </property>
  <property fmtid="{D5CDD505-2E9C-101B-9397-08002B2CF9AE}" pid="10" name="csl">
    <vt:lpwstr>../_extensions/drwater/dwinst/water-research.csl</vt:lpwstr>
  </property>
  <property fmtid="{D5CDD505-2E9C-101B-9397-08002B2CF9AE}" pid="11" name="doublespacing">
    <vt:lpwstr>True</vt:lpwstr>
  </property>
  <property fmtid="{D5CDD505-2E9C-101B-9397-08002B2CF9AE}" pid="12" name="execute">
    <vt:lpwstr/>
  </property>
  <property fmtid="{D5CDD505-2E9C-101B-9397-08002B2CF9AE}" pid="13" name="header-includes">
    <vt:lpwstr/>
  </property>
  <property fmtid="{D5CDD505-2E9C-101B-9397-08002B2CF9AE}" pid="14" name="include-after">
    <vt:lpwstr/>
  </property>
  <property fmtid="{D5CDD505-2E9C-101B-9397-08002B2CF9AE}" pid="15" name="include-before">
    <vt:lpwstr/>
  </property>
  <property fmtid="{D5CDD505-2E9C-101B-9397-08002B2CF9AE}" pid="16" name="isRN">
    <vt:lpwstr>True</vt:lpwstr>
  </property>
  <property fmtid="{D5CDD505-2E9C-101B-9397-08002B2CF9AE}" pid="17" name="knitr">
    <vt:lpwstr/>
  </property>
  <property fmtid="{D5CDD505-2E9C-101B-9397-08002B2CF9AE}" pid="18" name="labels">
    <vt:lpwstr/>
  </property>
  <property fmtid="{D5CDD505-2E9C-101B-9397-08002B2CF9AE}" pid="19" name="lightbox">
    <vt:lpwstr>auto</vt:lpwstr>
  </property>
  <property fmtid="{D5CDD505-2E9C-101B-9397-08002B2CF9AE}" pid="20" name="msname">
    <vt:lpwstr>MS</vt:lpwstr>
  </property>
  <property fmtid="{D5CDD505-2E9C-101B-9397-08002B2CF9AE}" pid="21" name="revealjs-plugins">
    <vt:lpwstr/>
  </property>
  <property fmtid="{D5CDD505-2E9C-101B-9397-08002B2CF9AE}" pid="22" name="smname">
    <vt:lpwstr>SM</vt:lpwstr>
  </property>
  <property fmtid="{D5CDD505-2E9C-101B-9397-08002B2CF9AE}" pid="23" name="submitid">
    <vt:lpwstr>WR108306</vt:lpwstr>
  </property>
  <property fmtid="{D5CDD505-2E9C-101B-9397-08002B2CF9AE}" pid="24" name="submitjournal">
    <vt:lpwstr>Water Research</vt:lpwstr>
  </property>
  <property fmtid="{D5CDD505-2E9C-101B-9397-08002B2CF9AE}" pid="25" name="subtitle">
    <vt:lpwstr>Revision Note</vt:lpwstr>
  </property>
  <property fmtid="{D5CDD505-2E9C-101B-9397-08002B2CF9AE}" pid="26" name="toc-title">
    <vt:lpwstr>Table of contents</vt:lpwstr>
  </property>
  <property fmtid="{D5CDD505-2E9C-101B-9397-08002B2CF9AE}" pid="27" name="watermark">
    <vt:lpwstr/>
  </property>
</Properties>
</file>