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Spatiotemporal decoupling of littoral and lacustrine geosmin dynamics: Implications for early warning in drinking water reservoirs</w:t>
      </w:r>
    </w:p>
    <w:p>
      <w:pPr>
        <w:pStyle w:val="Subtitle"/>
      </w:pPr>
      <w:r>
        <w:t xml:space="preserve">Research Progress Report</w:t>
      </w:r>
    </w:p>
    <w:p>
      <w:pPr>
        <w:pStyle w:val="Author"/>
      </w:pPr>
    </w:p>
    <w:p>
      <w:pPr>
        <w:pStyle w:val="Date"/>
      </w:pPr>
      <w:r>
        <w:t xml:space="preserve">2026-08-13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rPr>
              <w:rFonts w:hint="eastAsia"/>
            </w:rPr>
            <w:t xml:space="preserve">目录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0" w:name="摘要"/>
    <w:p>
      <w:pPr>
        <w:sectPr w:rsidR="00C83DEB" w:rsidRPr="009A350C" w:rsidSect="00D34A99">
          <w:type w:val="continuous"/>
          <w:pgSz w:h="16848" w:w="11952"/>
          <w:pgMar w:bottom="1440" w:footer="720" w:gutter="720" w:header="720" w:left="1440" w:right="1440" w:top="1440"/>
          <w:lnNumType w:countBy="1" w:restart="continuous"/>
          <w:cols w:space="720"/>
          <w:docGrid w:linePitch="326"/>
        </w:sectPr>
      </w:pPr>
    </w:p>
    <w:p>
      <w:pPr>
        <w:pStyle w:val="Heading1"/>
      </w:pPr>
      <w:r>
        <w:rPr>
          <w:rFonts w:hint="eastAsia"/>
        </w:rPr>
        <w:t xml:space="preserve">摘要</w:t>
      </w:r>
    </w:p>
    <w:bookmarkEnd w:id="20"/>
    <w:bookmarkStart w:id="21" w:name="研究背景与国内外现状介绍"/>
    <w:p>
      <w:pPr>
        <w:sectPr w:rsidR="00C83DEB" w:rsidRPr="009A350C" w:rsidSect="00D34A99">
          <w:type w:val="continuous"/>
          <w:pgSz w:h="16848" w:w="11952"/>
          <w:pgMar w:bottom="1440" w:footer="720" w:gutter="720" w:header="720" w:left="1440" w:right="1440" w:top="1440"/>
          <w:lnNumType w:countBy="1" w:restart="continuous"/>
          <w:cols w:space="720"/>
          <w:docGrid w:linePitch="326"/>
        </w:sectPr>
      </w:pPr>
    </w:p>
    <w:p>
      <w:pPr>
        <w:pStyle w:val="Heading1"/>
      </w:pPr>
      <w:r>
        <w:rPr>
          <w:rFonts w:hint="eastAsia"/>
        </w:rPr>
        <w:t xml:space="preserve">研究背景与国内外现状介绍</w:t>
      </w:r>
    </w:p>
    <w:bookmarkEnd w:id="21"/>
    <w:bookmarkStart w:id="22" w:name="主要进展1"/>
    <w:p>
      <w:pPr>
        <w:sectPr w:rsidR="00C83DEB" w:rsidRPr="009A350C" w:rsidSect="00D34A99">
          <w:type w:val="continuous"/>
          <w:pgSz w:h="16848" w:w="11952"/>
          <w:pgMar w:bottom="1440" w:footer="720" w:gutter="720" w:header="720" w:left="1440" w:right="1440" w:top="1440"/>
          <w:lnNumType w:countBy="1" w:restart="continuous"/>
          <w:cols w:space="720"/>
          <w:docGrid w:linePitch="326"/>
        </w:sectPr>
      </w:pPr>
    </w:p>
    <w:p>
      <w:pPr>
        <w:pStyle w:val="Heading1"/>
      </w:pPr>
      <w:r>
        <w:rPr>
          <w:rFonts w:hint="eastAsia"/>
        </w:rPr>
        <w:t xml:space="preserve">主要进展1</w:t>
      </w:r>
    </w:p>
    <w:bookmarkEnd w:id="22"/>
    <w:bookmarkStart w:id="23" w:name="主要进展2"/>
    <w:p>
      <w:pPr>
        <w:sectPr w:rsidR="00C83DEB" w:rsidRPr="009A350C" w:rsidSect="00D34A99">
          <w:type w:val="continuous"/>
          <w:pgSz w:h="16848" w:w="11952"/>
          <w:pgMar w:bottom="1440" w:footer="720" w:gutter="720" w:header="720" w:left="1440" w:right="1440" w:top="1440"/>
          <w:lnNumType w:countBy="1" w:restart="continuous"/>
          <w:cols w:space="720"/>
          <w:docGrid w:linePitch="326"/>
        </w:sectPr>
      </w:pPr>
    </w:p>
    <w:p>
      <w:pPr>
        <w:pStyle w:val="Heading1"/>
      </w:pPr>
      <w:r>
        <w:rPr>
          <w:rFonts w:hint="eastAsia"/>
        </w:rPr>
        <w:t xml:space="preserve">主要进展2</w:t>
      </w:r>
    </w:p>
    <w:bookmarkEnd w:id="23"/>
    <w:bookmarkStart w:id="24" w:name="结论与下一步计划"/>
    <w:p>
      <w:pPr>
        <w:sectPr w:rsidR="00C83DEB" w:rsidRPr="009A350C" w:rsidSect="00D34A99">
          <w:type w:val="continuous"/>
          <w:pgSz w:h="16848" w:w="11952"/>
          <w:pgMar w:bottom="1440" w:footer="720" w:gutter="720" w:header="720" w:left="1440" w:right="1440" w:top="1440"/>
          <w:lnNumType w:countBy="1" w:restart="continuous"/>
          <w:cols w:space="720"/>
          <w:docGrid w:linePitch="326"/>
        </w:sectPr>
      </w:pPr>
    </w:p>
    <w:p>
      <w:pPr>
        <w:pStyle w:val="Heading1"/>
      </w:pPr>
      <w:r>
        <w:rPr>
          <w:rFonts w:hint="eastAsia"/>
        </w:rPr>
        <w:t xml:space="preserve">结论与下一步计划</w:t>
      </w:r>
    </w:p>
    <w:bookmarkEnd w:id="24"/>
    <w:bookmarkStart w:id="25" w:name="参考文献"/>
    <w:p>
      <w:pPr>
        <w:sectPr w:rsidR="00C83DEB" w:rsidRPr="009A350C" w:rsidSect="00D34A99">
          <w:type w:val="continuous"/>
          <w:pgSz w:h="16848" w:w="11952"/>
          <w:pgMar w:bottom="1440" w:footer="720" w:gutter="720" w:header="720" w:left="1440" w:right="1440" w:top="1440"/>
          <w:lnNumType w:countBy="1" w:restart="continuous"/>
          <w:cols w:space="720"/>
          <w:docGrid w:linePitch="326"/>
        </w:sectPr>
      </w:pPr>
    </w:p>
    <w:p>
      <w:pPr>
        <w:pStyle w:val="Heading1"/>
      </w:pPr>
      <w:r>
        <w:rPr>
          <w:rFonts w:hint="eastAsia"/>
        </w:rPr>
        <w:t xml:space="preserve">参考文献</w:t>
      </w:r>
    </w:p>
    <w:bookmarkEnd w:id="25"/>
    <w:sectPr w:rsidR="00C83DEB" w:rsidRPr="009A350C" w:rsidSect="00D34A99">
      <w:type w:val="continuous"/>
      <w:pgSz w:h="16848" w:w="11952"/>
      <w:pgMar w:bottom="1440" w:footer="720" w:gutter="720" w:header="720" w:left="1440" w:right="1440" w:top="1440"/>
      <w:lnNumType w:countBy="1" w:restart="continuous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Body CS)">
    <w:altName w:val="Times New Roman"/>
    <w:panose1 w:val="020B0604020202020204"/>
    <w:charset w:val="00"/>
    <w:family w:val="roman"/>
    <w:pitch w:val="default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15:restartNumberingAfterBreak="0" w:abstractNumId="0">
    <w:nsid w:val="EA454B4C"/>
    <w:multiLevelType w:val="multilevel"/>
    <w:tmpl w:val="17A2F78A"/>
    <w:lvl w:ilvl="0">
      <w:numFmt w:val="bullet"/>
      <w:lvlText w:val="•"/>
      <w:lvlJc w:val="left"/>
      <w:pPr>
        <w:tabs>
          <w:tab w:pos="0" w:val="num"/>
        </w:tabs>
        <w:ind w:hanging="480" w:left="480"/>
      </w:pPr>
    </w:lvl>
    <w:lvl w:ilvl="1">
      <w:numFmt w:val="bullet"/>
      <w:lvlText w:val="–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•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–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•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–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•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–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•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">
    <w:nsid w:val="FFFFFF7C"/>
    <w:multiLevelType w:val="singleLevel"/>
    <w:tmpl w:val="35BCE13A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2">
    <w:nsid w:val="FFFFFF7D"/>
    <w:multiLevelType w:val="singleLevel"/>
    <w:tmpl w:val="17ACA35A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3">
    <w:nsid w:val="FFFFFF7E"/>
    <w:multiLevelType w:val="singleLevel"/>
    <w:tmpl w:val="305208BC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4">
    <w:nsid w:val="FFFFFF7F"/>
    <w:multiLevelType w:val="singleLevel"/>
    <w:tmpl w:val="538C7DB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5">
    <w:nsid w:val="FFFFFF80"/>
    <w:multiLevelType w:val="singleLevel"/>
    <w:tmpl w:val="520CF04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6">
    <w:nsid w:val="FFFFFF81"/>
    <w:multiLevelType w:val="singleLevel"/>
    <w:tmpl w:val="E05CA962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7">
    <w:nsid w:val="FFFFFF82"/>
    <w:multiLevelType w:val="singleLevel"/>
    <w:tmpl w:val="91027A6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8">
    <w:nsid w:val="FFFFFF83"/>
    <w:multiLevelType w:val="singleLevel"/>
    <w:tmpl w:val="6DB2BCF6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9">
    <w:nsid w:val="FFFFFF88"/>
    <w:multiLevelType w:val="singleLevel"/>
    <w:tmpl w:val="985C7762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10">
    <w:nsid w:val="FFFFFF89"/>
    <w:multiLevelType w:val="singleLevel"/>
    <w:tmpl w:val="D5CEBA96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1">
    <w:nsid w:val="0000A990"/>
    <w:multiLevelType w:val="multilevel"/>
    <w:tmpl w:val="ECD0910E"/>
    <w:lvl w:ilvl="0">
      <w:numFmt w:val="bullet"/>
      <w:lvlText w:val=" "/>
      <w:lvlJc w:val="left"/>
      <w:pPr>
        <w:ind w:hanging="480" w:left="720"/>
      </w:pPr>
    </w:lvl>
    <w:lvl w:ilvl="1">
      <w:numFmt w:val="bullet"/>
      <w:lvlText w:val=" "/>
      <w:lvlJc w:val="left"/>
      <w:pPr>
        <w:ind w:hanging="480" w:left="1440"/>
      </w:pPr>
    </w:lvl>
    <w:lvl w:ilvl="2">
      <w:numFmt w:val="bullet"/>
      <w:lvlText w:val=" "/>
      <w:lvlJc w:val="left"/>
      <w:pPr>
        <w:ind w:hanging="480" w:left="2160"/>
      </w:pPr>
    </w:lvl>
    <w:lvl w:ilvl="3">
      <w:numFmt w:val="bullet"/>
      <w:lvlText w:val=" "/>
      <w:lvlJc w:val="left"/>
      <w:pPr>
        <w:ind w:hanging="480" w:left="2880"/>
      </w:pPr>
    </w:lvl>
    <w:lvl w:ilvl="4">
      <w:numFmt w:val="bullet"/>
      <w:lvlText w:val=" "/>
      <w:lvlJc w:val="left"/>
      <w:pPr>
        <w:ind w:hanging="480" w:left="3600"/>
      </w:pPr>
    </w:lvl>
    <w:lvl w:ilvl="5">
      <w:numFmt w:val="bullet"/>
      <w:lvlText w:val=" "/>
      <w:lvlJc w:val="left"/>
      <w:pPr>
        <w:ind w:hanging="480" w:left="4320"/>
      </w:pPr>
    </w:lvl>
    <w:lvl w:ilvl="6">
      <w:numFmt w:val="bullet"/>
      <w:lvlText w:val=" "/>
      <w:lvlJc w:val="left"/>
      <w:pPr>
        <w:ind w:hanging="480" w:left="5040"/>
      </w:pPr>
    </w:lvl>
    <w:lvl w:ilvl="7">
      <w:numFmt w:val="bullet"/>
      <w:lvlText w:val=" "/>
      <w:lvlJc w:val="left"/>
      <w:pPr>
        <w:ind w:hanging="480" w:left="5760"/>
      </w:pPr>
    </w:lvl>
    <w:lvl w:ilvl="8">
      <w:numFmt w:val="bullet"/>
      <w:lvlText w:val=" "/>
      <w:lvlJc w:val="left"/>
      <w:pPr>
        <w:ind w:hanging="480" w:left="6480"/>
      </w:pPr>
    </w:lvl>
  </w:abstractNum>
  <w:abstractNum w15:restartNumberingAfterBreak="0" w:abstractNumId="12">
    <w:nsid w:val="00A99421"/>
    <w:multiLevelType w:val="multilevel"/>
    <w:tmpl w:val="3592AE20"/>
    <w:lvl w:ilvl="0">
      <w:start w:val="1"/>
      <w:numFmt w:val="decimal"/>
      <w:lvlText w:val="%1)"/>
      <w:lvlJc w:val="left"/>
      <w:pPr>
        <w:ind w:hanging="480" w:left="720"/>
      </w:pPr>
    </w:lvl>
    <w:lvl w:ilvl="1">
      <w:start w:val="1"/>
      <w:numFmt w:val="decimal"/>
      <w:lvlText w:val="%2)"/>
      <w:lvlJc w:val="left"/>
      <w:pPr>
        <w:ind w:hanging="480" w:left="1440"/>
      </w:pPr>
    </w:lvl>
    <w:lvl w:ilvl="2">
      <w:start w:val="1"/>
      <w:numFmt w:val="decimal"/>
      <w:lvlText w:val="%3)"/>
      <w:lvlJc w:val="left"/>
      <w:pPr>
        <w:ind w:hanging="480" w:left="2160"/>
      </w:pPr>
    </w:lvl>
    <w:lvl w:ilvl="3">
      <w:start w:val="1"/>
      <w:numFmt w:val="decimal"/>
      <w:lvlText w:val="%4)"/>
      <w:lvlJc w:val="left"/>
      <w:pPr>
        <w:ind w:hanging="480" w:left="2880"/>
      </w:pPr>
    </w:lvl>
    <w:lvl w:ilvl="4">
      <w:start w:val="1"/>
      <w:numFmt w:val="decimal"/>
      <w:lvlText w:val="%5)"/>
      <w:lvlJc w:val="left"/>
      <w:pPr>
        <w:ind w:hanging="480" w:left="3600"/>
      </w:pPr>
    </w:lvl>
    <w:lvl w:ilvl="5">
      <w:start w:val="1"/>
      <w:numFmt w:val="decimal"/>
      <w:lvlText w:val="%6)"/>
      <w:lvlJc w:val="left"/>
      <w:pPr>
        <w:ind w:hanging="480" w:left="4320"/>
      </w:pPr>
    </w:lvl>
    <w:lvl w:ilvl="6">
      <w:start w:val="1"/>
      <w:numFmt w:val="decimal"/>
      <w:lvlText w:val="%7)"/>
      <w:lvlJc w:val="left"/>
      <w:pPr>
        <w:ind w:hanging="480" w:left="5040"/>
      </w:pPr>
    </w:lvl>
    <w:lvl w:ilvl="7">
      <w:start w:val="1"/>
      <w:numFmt w:val="decimal"/>
      <w:lvlText w:val="%8)"/>
      <w:lvlJc w:val="left"/>
      <w:pPr>
        <w:ind w:hanging="480" w:left="5760"/>
      </w:pPr>
    </w:lvl>
    <w:lvl w:ilvl="8">
      <w:start w:val="1"/>
      <w:numFmt w:val="decimal"/>
      <w:lvlText w:val="%9)"/>
      <w:lvlJc w:val="left"/>
      <w:pPr>
        <w:ind w:hanging="480" w:left="6480"/>
      </w:pPr>
    </w:lvl>
  </w:abstractNum>
  <w:abstractNum w15:restartNumberingAfterBreak="0" w:abstractNumId="13">
    <w:nsid w:val="2AAB1796"/>
    <w:multiLevelType w:val="multilevel"/>
    <w:tmpl w:val="F7E0EDFA"/>
    <w:lvl w:ilvl="0">
      <w:start w:val="1"/>
      <w:numFmt w:val="decimal"/>
      <w:pStyle w:val="Heading1"/>
      <w:lvlText w:val="%1"/>
      <w:lvlJc w:val="left"/>
      <w:pPr>
        <w:ind w:hanging="432" w:left="432"/>
      </w:pPr>
    </w:lvl>
    <w:lvl w:ilvl="1">
      <w:start w:val="1"/>
      <w:numFmt w:val="decimal"/>
      <w:pStyle w:val="Heading2"/>
      <w:lvlText w:val="%1.%2"/>
      <w:lvlJc w:val="left"/>
      <w:pPr>
        <w:ind w:hanging="576" w:left="576"/>
      </w:pPr>
    </w:lvl>
    <w:lvl w:ilvl="2">
      <w:start w:val="1"/>
      <w:numFmt w:val="decimal"/>
      <w:pStyle w:val="Heading3"/>
      <w:lvlText w:val="%1.%2.%3"/>
      <w:lvlJc w:val="left"/>
      <w:pPr>
        <w:ind w:hanging="720" w:left="720"/>
      </w:pPr>
    </w:lvl>
    <w:lvl w:ilvl="3">
      <w:start w:val="1"/>
      <w:numFmt w:val="decimal"/>
      <w:pStyle w:val="Heading4"/>
      <w:lvlText w:val="%1.%2.%3.%4"/>
      <w:lvlJc w:val="left"/>
      <w:pPr>
        <w:ind w:hanging="864" w:left="864"/>
      </w:pPr>
    </w:lvl>
    <w:lvl w:ilvl="4">
      <w:start w:val="1"/>
      <w:numFmt w:val="decimal"/>
      <w:pStyle w:val="Heading5"/>
      <w:lvlText w:val="%1.%2.%3.%4.%5"/>
      <w:lvlJc w:val="left"/>
      <w:pPr>
        <w:ind w:hanging="1008" w:left="1008"/>
      </w:pPr>
    </w:lvl>
    <w:lvl w:ilvl="5">
      <w:start w:val="1"/>
      <w:numFmt w:val="decimal"/>
      <w:pStyle w:val="Heading6"/>
      <w:lvlText w:val="%1.%2.%3.%4.%5.%6"/>
      <w:lvlJc w:val="left"/>
      <w:pPr>
        <w:ind w:hanging="1152" w:left="1152"/>
      </w:pPr>
    </w:lvl>
    <w:lvl w:ilvl="6">
      <w:start w:val="1"/>
      <w:numFmt w:val="decimal"/>
      <w:pStyle w:val="Heading7"/>
      <w:lvlText w:val="%1.%2.%3.%4.%5.%6.%7"/>
      <w:lvlJc w:val="left"/>
      <w:pPr>
        <w:ind w:hanging="1296" w:left="1296"/>
      </w:pPr>
    </w:lvl>
    <w:lvl w:ilvl="7">
      <w:start w:val="1"/>
      <w:numFmt w:val="decimal"/>
      <w:pStyle w:val="Heading8"/>
      <w:lvlText w:val="%1.%2.%3.%4.%5.%6.%7.%8"/>
      <w:lvlJc w:val="left"/>
      <w:pPr>
        <w:ind w:hanging="1440" w:left="1440"/>
      </w:pPr>
    </w:lvl>
    <w:lvl w:ilvl="8">
      <w:start w:val="1"/>
      <w:numFmt w:val="decimal"/>
      <w:pStyle w:val="Heading9"/>
      <w:lvlText w:val="%1.%2.%3.%4.%5.%6.%7.%8.%9"/>
      <w:lvlJc w:val="left"/>
      <w:pPr>
        <w:ind w:hanging="1584" w:left="1584"/>
      </w:pPr>
    </w:lvl>
  </w:abstractNum>
  <w:abstractNum w15:restartNumberingAfterBreak="0" w:abstractNumId="14">
    <w:nsid w:val="2C1AE401"/>
    <w:multiLevelType w:val="multilevel"/>
    <w:tmpl w:val="EB5024DC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1647003809" w:numId="1">
    <w:abstractNumId w:val="14"/>
  </w:num>
  <w:num w16cid:durableId="1050769522" w:numId="2">
    <w:abstractNumId w:val="1"/>
  </w:num>
  <w:num w16cid:durableId="691146791" w:numId="3">
    <w:abstractNumId w:val="2"/>
  </w:num>
  <w:num w16cid:durableId="1840848626" w:numId="4">
    <w:abstractNumId w:val="3"/>
  </w:num>
  <w:num w16cid:durableId="979381040" w:numId="5">
    <w:abstractNumId w:val="4"/>
  </w:num>
  <w:num w16cid:durableId="1339770353" w:numId="6">
    <w:abstractNumId w:val="9"/>
  </w:num>
  <w:num w16cid:durableId="1869879009" w:numId="7">
    <w:abstractNumId w:val="5"/>
  </w:num>
  <w:num w16cid:durableId="958805246" w:numId="8">
    <w:abstractNumId w:val="6"/>
  </w:num>
  <w:num w16cid:durableId="1871726544" w:numId="9">
    <w:abstractNumId w:val="7"/>
  </w:num>
  <w:num w16cid:durableId="1443769426" w:numId="10">
    <w:abstractNumId w:val="8"/>
  </w:num>
  <w:num w16cid:durableId="2133476877" w:numId="11">
    <w:abstractNumId w:val="10"/>
  </w:num>
  <w:num w16cid:durableId="1658653764" w:numId="12">
    <w:abstractNumId w:val="13"/>
  </w:num>
  <w:num w16cid:durableId="1291326281" w:numId="13">
    <w:abstractNumId w:val="14"/>
  </w:num>
  <w:num w16cid:durableId="455566639" w:numId="14">
    <w:abstractNumId w:val="0"/>
  </w:num>
  <w:num w16cid:durableId="1123501441" w:numId="15">
    <w:abstractNumId w:val="0"/>
  </w:num>
  <w:num w16cid:durableId="1713111372" w:numId="16">
    <w:abstractNumId w:val="14"/>
  </w:num>
  <w:num w16cid:durableId="633413296" w:numId="17">
    <w:abstractNumId w:val="14"/>
  </w:num>
  <w:num w16cid:durableId="727605067" w:numId="18">
    <w:abstractNumId w:val="0"/>
  </w:num>
  <w:num w16cid:durableId="790052878" w:numId="19">
    <w:abstractNumId w:val="0"/>
  </w:num>
  <w:num w16cid:durableId="1687557063" w:numId="20">
    <w:abstractNumId w:val="0"/>
  </w:num>
  <w:num w16cid:durableId="1615483120" w:numId="21">
    <w:abstractNumId w:val="14"/>
  </w:num>
  <w:num w16cid:durableId="1942569766" w:numId="22">
    <w:abstractNumId w:val="14"/>
  </w:num>
  <w:num w16cid:durableId="1205798551" w:numId="23">
    <w:abstractNumId w:val="11"/>
  </w:num>
  <w:num w16cid:durableId="647243311"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16cid:durableId="1364794324" w:numId="25">
    <w:abstractNumId w:val="11"/>
  </w:num>
  <w:num w16cid:durableId="1211453382" w:numId="26">
    <w:abstractNumId w:val="1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78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EB"/>
    <w:rsid w:val="009A350C"/>
    <w:rsid w:val="00BF0311"/>
    <w:rsid w:val="00C83DEB"/>
    <w:rsid w:val="00D74377"/>
    <w:rsid w:val="00E27AC7"/>
  </w:rsids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HAnsi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475C52"/>
    <w:pPr>
      <w:spacing w:after="240" w:before="120" w:line="480" w:lineRule="auto"/>
      <w:ind w:firstLine="397"/>
      <w:jc w:val="both"/>
    </w:pPr>
    <w:rPr>
      <w:rFonts w:ascii="Calibri" w:eastAsiaTheme="minorEastAsia" w:hAnsi="Calibri"/>
    </w:rPr>
  </w:style>
  <w:style w:styleId="Heading1" w:type="paragraph">
    <w:name w:val="heading 1"/>
    <w:basedOn w:val="Normal"/>
    <w:next w:val="BodyText"/>
    <w:uiPriority w:val="9"/>
    <w:qFormat/>
    <w:rsid w:val="009F1910"/>
    <w:pPr>
      <w:keepNext/>
      <w:keepLines/>
      <w:numPr>
        <w:numId w:val="12"/>
      </w:numPr>
      <w:spacing w:after="0" w:line="240" w:lineRule="auto"/>
      <w:ind w:firstLine="0" w:left="0"/>
      <w:outlineLvl w:val="0"/>
    </w:pPr>
    <w:rPr>
      <w:rFonts w:asciiTheme="majorHAnsi" w:cstheme="majorBidi" w:eastAsiaTheme="majorEastAsia" w:hAnsiTheme="majorHAnsi"/>
      <w:b/>
      <w:bCs/>
      <w:sz w:val="32"/>
      <w:szCs w:val="32"/>
    </w:rPr>
  </w:style>
  <w:style w:styleId="Heading2" w:type="paragraph">
    <w:name w:val="heading 2"/>
    <w:basedOn w:val="Normal"/>
    <w:next w:val="BodyText"/>
    <w:autoRedefine/>
    <w:uiPriority w:val="9"/>
    <w:unhideWhenUsed/>
    <w:qFormat/>
    <w:rsid w:val="009F1910"/>
    <w:pPr>
      <w:keepNext/>
      <w:keepLines/>
      <w:numPr>
        <w:ilvl w:val="1"/>
        <w:numId w:val="12"/>
      </w:numPr>
      <w:spacing w:after="120" w:line="240" w:lineRule="auto"/>
      <w:ind w:firstLine="0" w:left="0"/>
      <w:outlineLvl w:val="1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rsid w:val="00357B8B"/>
    <w:pPr>
      <w:keepNext/>
      <w:keepLines/>
      <w:numPr>
        <w:ilvl w:val="2"/>
        <w:numId w:val="12"/>
      </w:numPr>
      <w:spacing w:after="0" w:before="200"/>
      <w:outlineLvl w:val="2"/>
    </w:pPr>
    <w:rPr>
      <w:rFonts w:asciiTheme="majorHAnsi" w:cstheme="majorBidi" w:eastAsiaTheme="majorEastAsia" w:hAnsiTheme="majorHAnsi"/>
      <w:b/>
      <w:bCs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numPr>
        <w:ilvl w:val="3"/>
        <w:numId w:val="12"/>
      </w:numPr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numPr>
        <w:ilvl w:val="4"/>
        <w:numId w:val="12"/>
      </w:numPr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numPr>
        <w:ilvl w:val="5"/>
        <w:numId w:val="12"/>
      </w:numPr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numPr>
        <w:ilvl w:val="6"/>
        <w:numId w:val="12"/>
      </w:numPr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numPr>
        <w:ilvl w:val="7"/>
        <w:numId w:val="12"/>
      </w:numPr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numPr>
        <w:ilvl w:val="8"/>
        <w:numId w:val="12"/>
      </w:numPr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autoRedefine/>
    <w:qFormat/>
    <w:rsid w:val="00475C52"/>
    <w:pPr>
      <w:spacing w:after="180" w:before="180"/>
    </w:pPr>
  </w:style>
  <w:style w:customStyle="1" w:styleId="FirstParagraph" w:type="paragraph">
    <w:name w:val="First Paragraph"/>
    <w:basedOn w:val="BodyText"/>
    <w:next w:val="BodyText"/>
    <w:autoRedefine/>
    <w:qFormat/>
    <w:rsid w:val="001D0787"/>
    <w:pPr>
      <w:spacing w:after="120" w:before="240"/>
    </w:pPr>
  </w:style>
  <w:style w:customStyle="1" w:styleId="Compact" w:type="paragraph">
    <w:name w:val="Compact"/>
    <w:basedOn w:val="BodyText"/>
    <w:autoRedefine/>
    <w:qFormat/>
    <w:rsid w:val="00684FFA"/>
    <w:pPr>
      <w:spacing w:after="0" w:before="0"/>
      <w:ind w:firstLine="0"/>
      <w:jc w:val="left"/>
    </w:pPr>
  </w:style>
  <w:style w:styleId="Title" w:type="paragraph">
    <w:name w:val="Title"/>
    <w:basedOn w:val="Normal"/>
    <w:next w:val="BodyText"/>
    <w:qFormat/>
    <w:rsid w:val="009F1910"/>
    <w:pPr>
      <w:keepNext/>
      <w:keepLines/>
      <w:spacing w:after="120" w:before="240" w:line="240" w:lineRule="auto"/>
      <w:ind w:firstLine="0"/>
      <w:jc w:val="center"/>
    </w:pPr>
    <w:rPr>
      <w:rFonts w:asciiTheme="majorHAnsi" w:cstheme="majorBidi" w:eastAsiaTheme="majorEastAsia" w:hAnsiTheme="majorHAnsi"/>
      <w:b/>
      <w:bCs/>
      <w:sz w:val="32"/>
      <w:szCs w:val="36"/>
    </w:rPr>
  </w:style>
  <w:style w:styleId="Subtitle" w:type="paragraph">
    <w:name w:val="Subtitle"/>
    <w:basedOn w:val="Title"/>
    <w:next w:val="BodyText"/>
    <w:qFormat/>
    <w:rsid w:val="004659FD"/>
    <w:pPr>
      <w:spacing w:after="240"/>
    </w:pPr>
    <w:rPr>
      <w:sz w:val="28"/>
      <w:szCs w:val="30"/>
    </w:rPr>
  </w:style>
  <w:style w:customStyle="1" w:styleId="Author" w:type="paragraph">
    <w:name w:val="Author"/>
    <w:next w:val="BodyText"/>
    <w:qFormat/>
    <w:rsid w:val="009F1910"/>
    <w:pPr>
      <w:keepNext/>
      <w:keepLines/>
      <w:jc w:val="center"/>
    </w:pPr>
    <w:rPr>
      <w:sz w:val="21"/>
    </w:r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autoRedefine/>
    <w:qFormat/>
    <w:rsid w:val="00475C52"/>
    <w:rPr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basedOn w:val="TableNormal"/>
    <w:semiHidden/>
    <w:unhideWhenUsed/>
    <w:qFormat/>
    <w:rsid w:val="00556B80"/>
    <w:tblPr>
      <w:jc w:val="center"/>
      <w:tblBorders>
        <w:bottom w:color="auto" w:space="0" w:sz="4" w:val="single"/>
      </w:tblBorders>
    </w:tblPr>
    <w:trPr>
      <w:jc w:val="center"/>
    </w:trPr>
    <w:tblStylePr w:type="firstRow">
      <w:pPr>
        <w:jc w:val="center"/>
      </w:pPr>
      <w:rPr>
        <w:rFonts w:asciiTheme="minorHAnsi" w:hAnsiTheme="minorHAnsi"/>
        <w:b/>
        <w:color w:val="auto"/>
        <w:sz w:val="24"/>
        <w:u w:val="none"/>
      </w:rPr>
      <w:tblPr/>
      <w:tcPr>
        <w:tcBorders>
          <w:top w:color="auto" w:space="0" w:sz="4" w:val="single"/>
          <w:bottom w:color="auto" w:space="0" w:sz="4" w:val="single"/>
        </w:tcBorders>
        <w:shd w:color="auto" w:fill="BFBFBF" w:themeFill="background1" w:themeFillShade="BF" w:val="clear"/>
      </w:tcPr>
    </w:tblStylePr>
    <w:tblStylePr w:type="firstCol">
      <w:rPr>
        <w:b/>
      </w:r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autoRedefine/>
    <w:rsid w:val="00556B80"/>
    <w:pPr>
      <w:spacing w:after="120" w:before="0"/>
      <w:jc w:val="center"/>
    </w:pPr>
    <w:rPr>
      <w:i/>
    </w:rPr>
  </w:style>
  <w:style w:customStyle="1" w:styleId="TableCaption" w:type="paragraph">
    <w:name w:val="Table Caption"/>
    <w:basedOn w:val="Caption"/>
    <w:autoRedefine/>
    <w:rsid w:val="009F1910"/>
    <w:pPr>
      <w:keepNext/>
      <w:spacing w:before="240"/>
      <w:ind w:firstLine="0"/>
    </w:pPr>
  </w:style>
  <w:style w:customStyle="1" w:styleId="ImageCaption" w:type="paragraph">
    <w:name w:val="Image Caption"/>
    <w:basedOn w:val="Caption"/>
    <w:autoRedefine/>
    <w:qFormat/>
    <w:rsid w:val="00E27AC7"/>
    <w:pPr>
      <w:keepLines/>
      <w:spacing w:before="120" w:line="360" w:lineRule="auto"/>
      <w:ind w:firstLine="0"/>
    </w:pPr>
  </w:style>
  <w:style w:customStyle="1" w:styleId="Figure" w:type="paragraph">
    <w:name w:val="Figure"/>
    <w:basedOn w:val="Normal"/>
    <w:autoRedefine/>
    <w:rsid w:val="001D0787"/>
    <w:pPr>
      <w:keepNext/>
      <w:spacing w:after="120" w:before="240" w:line="360" w:lineRule="auto"/>
      <w:ind w:firstLine="0"/>
      <w:jc w:val="center"/>
    </w:pPr>
    <w:rPr>
      <w:noProof/>
    </w:rPr>
  </w:style>
  <w:style w:customStyle="1" w:styleId="CaptionedFigure" w:type="paragraph">
    <w:name w:val="Captioned Figure"/>
    <w:basedOn w:val="Figure"/>
    <w:rsid w:val="00357B8B"/>
  </w:style>
  <w:style w:customStyle="1" w:styleId="CaptionChar" w:type="character">
    <w:name w:val="Caption Char"/>
    <w:basedOn w:val="DefaultParagraphFont"/>
    <w:link w:val="Caption"/>
    <w:rsid w:val="00556B80"/>
    <w:rPr>
      <w:i/>
    </w:rPr>
  </w:style>
  <w:style w:customStyle="1" w:styleId="VerbatimChar" w:type="character">
    <w:name w:val="Verbatim Char"/>
    <w:basedOn w:val="CaptionChar"/>
    <w:link w:val="SourceCode"/>
    <w:rsid w:val="00357B8B"/>
    <w:rPr>
      <w:i/>
      <w:shd w:color="auto" w:fill="F8F8F8" w:val="clear"/>
    </w:rPr>
  </w:style>
  <w:style w:styleId="FootnoteReference" w:type="character">
    <w:name w:val="footnote reference"/>
    <w:basedOn w:val="CaptionChar"/>
    <w:rPr>
      <w:i/>
      <w:vertAlign w:val="superscript"/>
    </w:rPr>
  </w:style>
  <w:style w:styleId="Hyperlink" w:type="character">
    <w:name w:val="Hyperlink"/>
    <w:basedOn w:val="CaptionChar"/>
    <w:rPr>
      <w:i/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rsid w:val="00357B8B"/>
    <w:pPr>
      <w:framePr w:hAnchor="text" w:vAnchor="text" w:wrap="around" w:y="1"/>
      <w:shd w:color="auto" w:fill="F8F8F8" w:val="clear"/>
      <w:wordWrap w:val="0"/>
      <w:spacing w:after="0" w:before="0" w:line="240" w:lineRule="auto"/>
      <w:ind w:firstLine="0"/>
    </w:pPr>
  </w:style>
  <w:style w:customStyle="1" w:styleId="KeywordTok" w:type="character">
    <w:name w:val="KeywordTok"/>
    <w:basedOn w:val="VerbatimChar"/>
    <w:rPr>
      <w:b/>
      <w:i/>
      <w:color w:val="204A87"/>
      <w:shd w:color="auto" w:fill="F8F8F8" w:val="clear"/>
    </w:rPr>
  </w:style>
  <w:style w:customStyle="1" w:styleId="DataTypeTok" w:type="character">
    <w:name w:val="DataTypeTok"/>
    <w:basedOn w:val="VerbatimChar"/>
    <w:rPr>
      <w:i/>
      <w:color w:val="204A87"/>
      <w:shd w:color="auto" w:fill="F8F8F8" w:val="clear"/>
    </w:rPr>
  </w:style>
  <w:style w:customStyle="1" w:styleId="DecValTok" w:type="character">
    <w:name w:val="DecValTok"/>
    <w:basedOn w:val="VerbatimChar"/>
    <w:rPr>
      <w:i/>
      <w:color w:val="0000CF"/>
      <w:shd w:color="auto" w:fill="F8F8F8" w:val="clear"/>
    </w:rPr>
  </w:style>
  <w:style w:customStyle="1" w:styleId="BaseNTok" w:type="character">
    <w:name w:val="BaseNTok"/>
    <w:basedOn w:val="VerbatimChar"/>
    <w:rPr>
      <w:i/>
      <w:color w:val="0000CF"/>
      <w:shd w:color="auto" w:fill="F8F8F8" w:val="clear"/>
    </w:rPr>
  </w:style>
  <w:style w:customStyle="1" w:styleId="FloatTok" w:type="character">
    <w:name w:val="FloatTok"/>
    <w:basedOn w:val="VerbatimChar"/>
    <w:rPr>
      <w:i/>
      <w:color w:val="0000CF"/>
      <w:shd w:color="auto" w:fill="F8F8F8" w:val="clear"/>
    </w:rPr>
  </w:style>
  <w:style w:customStyle="1" w:styleId="ConstantTok" w:type="character">
    <w:name w:val="ConstantTok"/>
    <w:basedOn w:val="VerbatimChar"/>
    <w:rPr>
      <w:i/>
      <w:color w:val="000000"/>
      <w:shd w:color="auto" w:fill="F8F8F8" w:val="clear"/>
    </w:rPr>
  </w:style>
  <w:style w:customStyle="1" w:styleId="CharTok" w:type="character">
    <w:name w:val="CharTok"/>
    <w:basedOn w:val="VerbatimChar"/>
    <w:rPr>
      <w:i/>
      <w:color w:val="4E9A06"/>
      <w:shd w:color="auto" w:fill="F8F8F8" w:val="clear"/>
    </w:rPr>
  </w:style>
  <w:style w:customStyle="1" w:styleId="SpecialCharTok" w:type="character">
    <w:name w:val="SpecialCharTok"/>
    <w:basedOn w:val="VerbatimChar"/>
    <w:rPr>
      <w:i/>
      <w:color w:val="000000"/>
      <w:shd w:color="auto" w:fill="F8F8F8" w:val="clear"/>
    </w:rPr>
  </w:style>
  <w:style w:customStyle="1" w:styleId="StringTok" w:type="character">
    <w:name w:val="StringTok"/>
    <w:basedOn w:val="VerbatimChar"/>
    <w:rPr>
      <w:i/>
      <w:color w:val="4E9A06"/>
      <w:shd w:color="auto" w:fill="F8F8F8" w:val="clear"/>
    </w:rPr>
  </w:style>
  <w:style w:customStyle="1" w:styleId="VerbatimStringTok" w:type="character">
    <w:name w:val="VerbatimStringTok"/>
    <w:basedOn w:val="VerbatimChar"/>
    <w:rPr>
      <w:i/>
      <w:color w:val="4E9A06"/>
      <w:shd w:color="auto" w:fill="F8F8F8" w:val="clear"/>
    </w:rPr>
  </w:style>
  <w:style w:customStyle="1" w:styleId="SpecialStringTok" w:type="character">
    <w:name w:val="SpecialStringTok"/>
    <w:basedOn w:val="VerbatimChar"/>
    <w:rPr>
      <w:i/>
      <w:color w:val="4E9A06"/>
      <w:shd w:color="auto" w:fill="F8F8F8" w:val="clear"/>
    </w:rPr>
  </w:style>
  <w:style w:customStyle="1" w:styleId="ImportTok" w:type="character">
    <w:name w:val="ImportTok"/>
    <w:basedOn w:val="VerbatimChar"/>
    <w:rPr>
      <w:i/>
      <w:shd w:color="auto" w:fill="F8F8F8" w:val="clear"/>
    </w:rPr>
  </w:style>
  <w:style w:customStyle="1" w:styleId="CommentTok" w:type="character">
    <w:name w:val="CommentTok"/>
    <w:basedOn w:val="VerbatimChar"/>
    <w:rPr>
      <w:i w:val="0"/>
      <w:color w:val="8F5902"/>
      <w:shd w:color="auto" w:fill="F8F8F8" w:val="clear"/>
    </w:rPr>
  </w:style>
  <w:style w:customStyle="1" w:styleId="DocumentationTok" w:type="character">
    <w:name w:val="DocumentationTok"/>
    <w:basedOn w:val="VerbatimChar"/>
    <w:rPr>
      <w:b/>
      <w:i w:val="0"/>
      <w:color w:val="8F5902"/>
      <w:shd w:color="auto" w:fill="F8F8F8" w:val="clear"/>
    </w:rPr>
  </w:style>
  <w:style w:customStyle="1" w:styleId="AnnotationTok" w:type="character">
    <w:name w:val="AnnotationTok"/>
    <w:basedOn w:val="VerbatimChar"/>
    <w:rPr>
      <w:b/>
      <w:i w:val="0"/>
      <w:color w:val="8F5902"/>
      <w:shd w:color="auto" w:fill="F8F8F8" w:val="clear"/>
    </w:rPr>
  </w:style>
  <w:style w:customStyle="1" w:styleId="CommentVarTok" w:type="character">
    <w:name w:val="CommentVarTok"/>
    <w:basedOn w:val="VerbatimChar"/>
    <w:rPr>
      <w:b/>
      <w:i w:val="0"/>
      <w:color w:val="8F5902"/>
      <w:shd w:color="auto" w:fill="F8F8F8" w:val="clear"/>
    </w:rPr>
  </w:style>
  <w:style w:customStyle="1" w:styleId="OtherTok" w:type="character">
    <w:name w:val="OtherTok"/>
    <w:basedOn w:val="VerbatimChar"/>
    <w:rPr>
      <w:i/>
      <w:color w:val="8F5902"/>
      <w:shd w:color="auto" w:fill="F8F8F8" w:val="clear"/>
    </w:rPr>
  </w:style>
  <w:style w:customStyle="1" w:styleId="FunctionTok" w:type="character">
    <w:name w:val="FunctionTok"/>
    <w:basedOn w:val="VerbatimChar"/>
    <w:rPr>
      <w:i/>
      <w:color w:val="000000"/>
      <w:shd w:color="auto" w:fill="F8F8F8" w:val="clear"/>
    </w:rPr>
  </w:style>
  <w:style w:customStyle="1" w:styleId="VariableTok" w:type="character">
    <w:name w:val="VariableTok"/>
    <w:basedOn w:val="VerbatimChar"/>
    <w:rPr>
      <w:i/>
      <w:color w:val="000000"/>
      <w:shd w:color="auto" w:fill="F8F8F8" w:val="clear"/>
    </w:rPr>
  </w:style>
  <w:style w:customStyle="1" w:styleId="ControlFlowTok" w:type="character">
    <w:name w:val="ControlFlowTok"/>
    <w:basedOn w:val="VerbatimChar"/>
    <w:rPr>
      <w:b/>
      <w:i/>
      <w:color w:val="204A87"/>
      <w:shd w:color="auto" w:fill="F8F8F8" w:val="clear"/>
    </w:rPr>
  </w:style>
  <w:style w:customStyle="1" w:styleId="OperatorTok" w:type="character">
    <w:name w:val="OperatorTok"/>
    <w:basedOn w:val="VerbatimChar"/>
    <w:rPr>
      <w:b/>
      <w:i/>
      <w:color w:val="CE5C00"/>
      <w:shd w:color="auto" w:fill="F8F8F8" w:val="clear"/>
    </w:rPr>
  </w:style>
  <w:style w:customStyle="1" w:styleId="BuiltInTok" w:type="character">
    <w:name w:val="BuiltInTok"/>
    <w:basedOn w:val="VerbatimChar"/>
    <w:rPr>
      <w:i/>
      <w:shd w:color="auto" w:fill="F8F8F8" w:val="clear"/>
    </w:rPr>
  </w:style>
  <w:style w:customStyle="1" w:styleId="ExtensionTok" w:type="character">
    <w:name w:val="ExtensionTok"/>
    <w:basedOn w:val="VerbatimChar"/>
    <w:rPr>
      <w:i/>
      <w:shd w:color="auto" w:fill="F8F8F8" w:val="clear"/>
    </w:rPr>
  </w:style>
  <w:style w:customStyle="1" w:styleId="PreprocessorTok" w:type="character">
    <w:name w:val="PreprocessorTok"/>
    <w:basedOn w:val="VerbatimChar"/>
    <w:rPr>
      <w:i w:val="0"/>
      <w:color w:val="8F5902"/>
      <w:shd w:color="auto" w:fill="F8F8F8" w:val="clear"/>
    </w:rPr>
  </w:style>
  <w:style w:customStyle="1" w:styleId="AttributeTok" w:type="character">
    <w:name w:val="AttributeTok"/>
    <w:basedOn w:val="VerbatimChar"/>
    <w:rPr>
      <w:i/>
      <w:color w:val="C4A000"/>
      <w:shd w:color="auto" w:fill="F8F8F8" w:val="clear"/>
    </w:rPr>
  </w:style>
  <w:style w:customStyle="1" w:styleId="RegionMarkerTok" w:type="character">
    <w:name w:val="RegionMarkerTok"/>
    <w:basedOn w:val="VerbatimChar"/>
    <w:rPr>
      <w:i/>
      <w:shd w:color="auto" w:fill="F8F8F8" w:val="clear"/>
    </w:rPr>
  </w:style>
  <w:style w:customStyle="1" w:styleId="InformationTok" w:type="character">
    <w:name w:val="InformationTok"/>
    <w:basedOn w:val="VerbatimChar"/>
    <w:rPr>
      <w:b/>
      <w:i w:val="0"/>
      <w:color w:val="8F5902"/>
      <w:shd w:color="auto" w:fill="F8F8F8" w:val="clear"/>
    </w:rPr>
  </w:style>
  <w:style w:customStyle="1" w:styleId="WarningTok" w:type="character">
    <w:name w:val="WarningTok"/>
    <w:basedOn w:val="VerbatimChar"/>
    <w:rPr>
      <w:b/>
      <w:i w:val="0"/>
      <w:color w:val="8F5902"/>
      <w:shd w:color="auto" w:fill="F8F8F8" w:val="clear"/>
    </w:rPr>
  </w:style>
  <w:style w:customStyle="1" w:styleId="AlertTok" w:type="character">
    <w:name w:val="AlertTok"/>
    <w:basedOn w:val="VerbatimChar"/>
    <w:rPr>
      <w:i/>
      <w:color w:val="EF2929"/>
      <w:shd w:color="auto" w:fill="F8F8F8" w:val="clear"/>
    </w:rPr>
  </w:style>
  <w:style w:customStyle="1" w:styleId="ErrorTok" w:type="character">
    <w:name w:val="ErrorTok"/>
    <w:basedOn w:val="VerbatimChar"/>
    <w:rPr>
      <w:b/>
      <w:i/>
      <w:color w:val="A40000"/>
      <w:shd w:color="auto" w:fill="F8F8F8" w:val="clear"/>
    </w:rPr>
  </w:style>
  <w:style w:customStyle="1" w:styleId="NormalTok" w:type="character">
    <w:name w:val="NormalTok"/>
    <w:basedOn w:val="VerbatimChar"/>
    <w:rPr>
      <w:i/>
      <w:shd w:color="auto" w:fill="F8F8F8" w:val="clear"/>
    </w:rPr>
  </w:style>
  <w:style w:customStyle="1" w:styleId="BodyTextChar" w:type="character">
    <w:name w:val="Body Text Char"/>
    <w:basedOn w:val="DefaultParagraphFont"/>
    <w:link w:val="BodyText"/>
    <w:rsid w:val="00475C52"/>
    <w:rPr>
      <w:rFonts w:ascii="Calibri" w:eastAsiaTheme="minorEastAsia" w:hAnsi="Calibri"/>
    </w:rPr>
  </w:style>
  <w:style w:customStyle="1" w:styleId="Image" w:type="paragraph">
    <w:name w:val="Image"/>
    <w:next w:val="ImageCaption"/>
    <w:qFormat/>
    <w:rsid w:val="009F1910"/>
    <w:pPr>
      <w:keepNext/>
      <w:spacing w:after="120" w:before="240"/>
      <w:jc w:val="center"/>
    </w:pPr>
    <w:rPr>
      <w:rFonts w:ascii="Calibri" w:hAnsi="Calibri"/>
      <w:noProof/>
    </w:rPr>
  </w:style>
  <w:style w:customStyle="1" w:styleId="TableScientific" w:type="table">
    <w:name w:val="Table Scientific"/>
    <w:basedOn w:val="TableNormal"/>
    <w:uiPriority w:val="99"/>
    <w:rsid w:val="0043749A"/>
    <w:pPr>
      <w:spacing w:after="100" w:afterAutospacing="1" w:before="100" w:beforeAutospacing="1" w:line="360" w:lineRule="auto"/>
    </w:pPr>
    <w:rPr>
      <w:rFonts w:ascii="Calibri" w:cs="Times New Roman (Body CS)" w:eastAsiaTheme="minorEastAsia" w:hAnsi="Calibri"/>
      <w:sz w:val="22"/>
    </w:rPr>
    <w:tblPr>
      <w:jc w:val="center"/>
      <w:tblBorders>
        <w:bottom w:color="auto" w:space="0" w:sz="4" w:val="single"/>
      </w:tblBorders>
    </w:tblPr>
    <w:trPr>
      <w:jc w:val="center"/>
    </w:trPr>
    <w:tcPr>
      <w:vAlign w:val="center"/>
    </w:tcPr>
    <w:tblStylePr w:type="firstRow">
      <w:pPr>
        <w:jc w:val="left"/>
      </w:pPr>
      <w:rPr>
        <w:b/>
      </w:rPr>
      <w:tblPr/>
      <w:tcPr>
        <w:tcBorders>
          <w:top w:color="auto" w:space="0" w:sz="4" w:val="single"/>
          <w:bottom w:color="auto" w:space="0" w:sz="4" w:val="single"/>
        </w:tcBorders>
        <w:shd w:color="auto" w:fill="F2F2F2" w:themeFill="background1" w:themeFillShade="F2" w:val="clear"/>
        <w:vAlign w:val="center"/>
      </w:tcPr>
    </w:tblStylePr>
    <w:tblStylePr w:type="lastRow">
      <w:rPr>
        <w:rFonts w:ascii="Calibri" w:hAnsi="Calibri"/>
      </w:rPr>
      <w:tblPr/>
      <w:tcPr>
        <w:tcBorders>
          <w:bottom w:color="auto" w:space="0" w:sz="4" w:val="single"/>
        </w:tcBorders>
      </w:tcPr>
    </w:tblStylePr>
    <w:tblStylePr w:type="lastCol">
      <w:pPr>
        <w:keepNext/>
        <w:wordWrap/>
        <w:spacing w:after="0" w:afterAutospacing="0" w:afterLines="0" w:before="0" w:beforeAutospacing="0" w:beforeLines="0" w:line="240" w:lineRule="auto"/>
        <w:ind w:firstLine="0" w:firstLineChars="0" w:left="0" w:leftChars="0" w:right="0" w:rightChars="0"/>
      </w:pPr>
      <w:rPr>
        <w:rFonts w:ascii="Calibri" w:eastAsia="SimSun" w:hAnsi="Calibri"/>
      </w:rPr>
      <w:tblPr/>
      <w:tcPr>
        <w:tcBorders>
          <w:bottom w:val="nil"/>
        </w:tcBorders>
      </w:tcPr>
    </w:tblStylePr>
  </w:style>
  <w:style w:styleId="PlainTable1" w:type="table">
    <w:name w:val="Plain Table 1"/>
    <w:basedOn w:val="TableNormal"/>
    <w:rsid w:val="00300D72"/>
    <w:pPr>
      <w:spacing w:after="0"/>
    </w:pPr>
    <w:tblPr>
      <w:tblStyleRowBandSize w:val="1"/>
      <w:tblStyleColBandSize w:val="1"/>
      <w:tblBorders>
        <w:top w:color="BFBFBF" w:space="0" w:sz="4" w:themeColor="background1" w:themeShade="BF" w:val="single"/>
        <w:left w:color="BFBFBF" w:space="0" w:sz="4" w:themeColor="background1" w:themeShade="BF" w:val="single"/>
        <w:bottom w:color="BFBFBF" w:space="0" w:sz="4" w:themeColor="background1" w:themeShade="BF" w:val="single"/>
        <w:right w:color="BFBFBF" w:space="0" w:sz="4" w:themeColor="background1" w:themeShade="BF" w:val="single"/>
        <w:insideH w:color="BFBFBF" w:space="0" w:sz="4" w:themeColor="background1" w:themeShade="BF" w:val="single"/>
        <w:insideV w:color="BFBFBF" w:space="0" w:sz="4" w:themeColor="background1" w:themeShade="BF" w:val="single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FBFBF" w:space="0" w:sz="4" w:themeColor="background1" w:themeShade="BF" w:val="doub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2F2F2" w:themeFill="background1" w:themeFillShade="F2" w:val="clear"/>
      </w:tcPr>
    </w:tblStylePr>
    <w:tblStylePr w:type="band1Horz">
      <w:tblPr/>
      <w:tcPr>
        <w:shd w:color="auto" w:fill="F2F2F2" w:themeFill="background1" w:themeFillShade="F2" w:val="clear"/>
      </w:tcPr>
    </w:tblStylePr>
  </w:style>
  <w:style w:styleId="PlainTable3" w:type="table">
    <w:name w:val="Plain Table 3"/>
    <w:basedOn w:val="TableNormal"/>
    <w:rsid w:val="00300D72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color="7F7F7F" w:space="0" w:sz="4" w:themeColor="text1" w:themeTint="80" w:val="single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color="7F7F7F" w:space="0" w:sz="4" w:themeColor="text1" w:themeTint="80" w:val="single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color="auto" w:fill="F2F2F2" w:themeFill="background1" w:themeFillShade="F2" w:val="clear"/>
      </w:tcPr>
    </w:tblStylePr>
    <w:tblStylePr w:type="band1Horz">
      <w:tblPr/>
      <w:tcPr>
        <w:shd w:color="auto" w:fill="F2F2F2" w:themeFill="background1" w:themeFillShade="F2" w:val="clear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customStyle="1" w:styleId="Table1" w:type="table">
    <w:name w:val="Table1"/>
    <w:basedOn w:val="TableNormal"/>
    <w:uiPriority w:val="99"/>
    <w:rsid w:val="0043749A"/>
    <w:pPr>
      <w:spacing w:after="0"/>
      <w:jc w:val="center"/>
    </w:pPr>
    <w:tblPr>
      <w:tblBorders>
        <w:top w:color="auto" w:space="0" w:sz="4" w:val="single"/>
        <w:bottom w:color="auto" w:space="0" w:sz="4" w:val="single"/>
      </w:tblBorders>
    </w:tblPr>
    <w:tcPr>
      <w:noWrap/>
      <w:vAlign w:val="center"/>
    </w:tcPr>
    <w:tblStylePr w:type="firstRow">
      <w:rPr>
        <w:b/>
      </w:rPr>
      <w:tblPr/>
      <w:tcPr>
        <w:tcBorders>
          <w:bottom w:color="auto" w:space="0" w:sz="4" w:val="single"/>
        </w:tcBorders>
      </w:tcPr>
    </w:tblStylePr>
    <w:tblStylePr w:type="firstCol">
      <w:pPr>
        <w:wordWrap/>
        <w:spacing w:after="0" w:afterAutospacing="0" w:afterLines="0" w:before="0" w:beforeAutospacing="0" w:beforeLines="0" w:line="240" w:lineRule="auto"/>
        <w:ind w:firstLine="0" w:firstLineChars="0" w:left="0" w:leftChars="0" w:right="0" w:rightChars="0"/>
        <w:jc w:val="left"/>
        <w:textboxTightWrap w:val="allLines"/>
        <w:outlineLvl w:val="9"/>
      </w:pPr>
      <w:rPr>
        <w:b/>
      </w:rPr>
    </w:tblStylePr>
  </w:style>
  <w:style w:styleId="LineNumber" w:type="character">
    <w:name w:val="line number"/>
    <w:basedOn w:val="DefaultParagraphFont"/>
    <w:semiHidden/>
    <w:unhideWhenUsed/>
    <w:rsid w:val="00D34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Strategy for identification of MIB producers using routine data: a case study of an estuary drinking water reservoir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Spatiotemporal decoupling of littoral and lacustrine geosmin dynamics: Implications for early warning in drinking water reservoirs</dc:title>
  <dc:creator/>
  <dc:language>zh-CN</dc:language>
  <cp:keywords/>
  <dcterms:created xsi:type="dcterms:W3CDTF">2026-08-12T16:31:22Z</dcterms:created>
  <dcterms:modified xsi:type="dcterms:W3CDTF">2026-08-12T16:31:22Z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">
    <vt:lpwstr>True</vt:lpwstr>
  </property>
  <property fmtid="{D5CDD505-2E9C-101B-9397-08002B2CF9AE}" pid="3" name="CJKmainboldfont">
    <vt:lpwstr>NotoSerifCJKsc-Bold</vt:lpwstr>
  </property>
  <property fmtid="{D5CDD505-2E9C-101B-9397-08002B2CF9AE}" pid="4" name="CJKmainfont">
    <vt:lpwstr>Noto Serif CJK SC</vt:lpwstr>
  </property>
  <property fmtid="{D5CDD505-2E9C-101B-9397-08002B2CF9AE}" pid="5" name="CJKmainitalicfont">
    <vt:lpwstr>NotoSansCJKsc-Light</vt:lpwstr>
  </property>
  <property fmtid="{D5CDD505-2E9C-101B-9397-08002B2CF9AE}" pid="6" name="CJKmonofont">
    <vt:lpwstr>Noto Sans Mono CJK SC</vt:lpwstr>
  </property>
  <property fmtid="{D5CDD505-2E9C-101B-9397-08002B2CF9AE}" pid="7" name="CJKoptions">
    <vt:lpwstr>AutoFakeBold=true</vt:lpwstr>
  </property>
  <property fmtid="{D5CDD505-2E9C-101B-9397-08002B2CF9AE}" pid="8" name="CJKsansfont">
    <vt:lpwstr>Noto Sans CJK SC</vt:lpwstr>
  </property>
  <property fmtid="{D5CDD505-2E9C-101B-9397-08002B2CF9AE}" pid="9" name="_quarto-vars">
    <vt:lpwstr/>
  </property>
  <property fmtid="{D5CDD505-2E9C-101B-9397-08002B2CF9AE}" pid="10" name="affiliations">
    <vt:lpwstr/>
  </property>
  <property fmtid="{D5CDD505-2E9C-101B-9397-08002B2CF9AE}" pid="11" name="author-vskip">
    <vt:lpwstr>-4em</vt:lpwstr>
  </property>
  <property fmtid="{D5CDD505-2E9C-101B-9397-08002B2CF9AE}" pid="12" name="biblio-config">
    <vt:lpwstr>True</vt:lpwstr>
  </property>
  <property fmtid="{D5CDD505-2E9C-101B-9397-08002B2CF9AE}" pid="13" name="bibliography">
    <vt:lpwstr/>
  </property>
  <property fmtid="{D5CDD505-2E9C-101B-9397-08002B2CF9AE}" pid="14" name="by-affiliation">
    <vt:lpwstr/>
  </property>
  <property fmtid="{D5CDD505-2E9C-101B-9397-08002B2CF9AE}" pid="15" name="caption-justification">
    <vt:lpwstr>centering</vt:lpwstr>
  </property>
  <property fmtid="{D5CDD505-2E9C-101B-9397-08002B2CF9AE}" pid="16" name="classoption">
    <vt:lpwstr/>
  </property>
  <property fmtid="{D5CDD505-2E9C-101B-9397-08002B2CF9AE}" pid="17" name="colorlinks">
    <vt:lpwstr>True</vt:lpwstr>
  </property>
  <property fmtid="{D5CDD505-2E9C-101B-9397-08002B2CF9AE}" pid="18" name="comments">
    <vt:lpwstr/>
  </property>
  <property fmtid="{D5CDD505-2E9C-101B-9397-08002B2CF9AE}" pid="19" name="crossref">
    <vt:lpwstr/>
  </property>
  <property fmtid="{D5CDD505-2E9C-101B-9397-08002B2CF9AE}" pid="20" name="csl">
    <vt:lpwstr>../../_extensions/drwater/dwinst/water-research.csl</vt:lpwstr>
  </property>
  <property fmtid="{D5CDD505-2E9C-101B-9397-08002B2CF9AE}" pid="21" name="date">
    <vt:lpwstr>2026-08-13</vt:lpwstr>
  </property>
  <property fmtid="{D5CDD505-2E9C-101B-9397-08002B2CF9AE}" pid="22" name="date-vskip">
    <vt:lpwstr>-1em</vt:lpwstr>
  </property>
  <property fmtid="{D5CDD505-2E9C-101B-9397-08002B2CF9AE}" pid="23" name="fig-toc">
    <vt:lpwstr>True</vt:lpwstr>
  </property>
  <property fmtid="{D5CDD505-2E9C-101B-9397-08002B2CF9AE}" pid="24" name="footer-center">
    <vt:lpwstr/>
  </property>
  <property fmtid="{D5CDD505-2E9C-101B-9397-08002B2CF9AE}" pid="25" name="footer-left">
    <vt:lpwstr/>
  </property>
  <property fmtid="{D5CDD505-2E9C-101B-9397-08002B2CF9AE}" pid="26" name="footer-right">
    <vt:lpwstr/>
  </property>
  <property fmtid="{D5CDD505-2E9C-101B-9397-08002B2CF9AE}" pid="27" name="header-center">
    <vt:lpwstr/>
  </property>
  <property fmtid="{D5CDD505-2E9C-101B-9397-08002B2CF9AE}" pid="28" name="header-includes">
    <vt:lpwstr/>
  </property>
  <property fmtid="{D5CDD505-2E9C-101B-9397-08002B2CF9AE}" pid="29" name="header-left">
    <vt:lpwstr/>
  </property>
  <property fmtid="{D5CDD505-2E9C-101B-9397-08002B2CF9AE}" pid="30" name="header-right">
    <vt:lpwstr>第页</vt:lpwstr>
  </property>
  <property fmtid="{D5CDD505-2E9C-101B-9397-08002B2CF9AE}" pid="31" name="include-after">
    <vt:lpwstr/>
  </property>
  <property fmtid="{D5CDD505-2E9C-101B-9397-08002B2CF9AE}" pid="32" name="include-before">
    <vt:lpwstr/>
  </property>
  <property fmtid="{D5CDD505-2E9C-101B-9397-08002B2CF9AE}" pid="33" name="isbook">
    <vt:lpwstr>True</vt:lpwstr>
  </property>
  <property fmtid="{D5CDD505-2E9C-101B-9397-08002B2CF9AE}" pid="34" name="knitr">
    <vt:lpwstr/>
  </property>
  <property fmtid="{D5CDD505-2E9C-101B-9397-08002B2CF9AE}" pid="35" name="labels">
    <vt:lpwstr/>
  </property>
  <property fmtid="{D5CDD505-2E9C-101B-9397-08002B2CF9AE}" pid="36" name="lightbox">
    <vt:lpwstr>auto</vt:lpwstr>
  </property>
  <property fmtid="{D5CDD505-2E9C-101B-9397-08002B2CF9AE}" pid="37" name="numbersections">
    <vt:lpwstr>True</vt:lpwstr>
  </property>
  <property fmtid="{D5CDD505-2E9C-101B-9397-08002B2CF9AE}" pid="38" name="parindent">
    <vt:lpwstr>True</vt:lpwstr>
  </property>
  <property fmtid="{D5CDD505-2E9C-101B-9397-08002B2CF9AE}" pid="39" name="revealjs-plugins">
    <vt:lpwstr/>
  </property>
  <property fmtid="{D5CDD505-2E9C-101B-9397-08002B2CF9AE}" pid="40" name="submitid">
    <vt:lpwstr>WR108306</vt:lpwstr>
  </property>
  <property fmtid="{D5CDD505-2E9C-101B-9397-08002B2CF9AE}" pid="41" name="submitjournal">
    <vt:lpwstr>Water Research</vt:lpwstr>
  </property>
  <property fmtid="{D5CDD505-2E9C-101B-9397-08002B2CF9AE}" pid="42" name="subtitle">
    <vt:lpwstr>Research Progress Report</vt:lpwstr>
  </property>
  <property fmtid="{D5CDD505-2E9C-101B-9397-08002B2CF9AE}" pid="43" name="title-size">
    <vt:lpwstr>Huge</vt:lpwstr>
  </property>
  <property fmtid="{D5CDD505-2E9C-101B-9397-08002B2CF9AE}" pid="44" name="title-vskip">
    <vt:lpwstr>-30em</vt:lpwstr>
  </property>
  <property fmtid="{D5CDD505-2E9C-101B-9397-08002B2CF9AE}" pid="45" name="titlepage">
    <vt:lpwstr>True</vt:lpwstr>
  </property>
  <property fmtid="{D5CDD505-2E9C-101B-9397-08002B2CF9AE}" pid="46" name="titlepage-background">
    <vt:lpwstr>../../_extensions/drwater/dwev/inst/cover1.pdf</vt:lpwstr>
  </property>
  <property fmtid="{D5CDD505-2E9C-101B-9397-08002B2CF9AE}" pid="47" name="titlepage-halign">
    <vt:lpwstr>center</vt:lpwstr>
  </property>
  <property fmtid="{D5CDD505-2E9C-101B-9397-08002B2CF9AE}" pid="48" name="titlepage-rule-color">
    <vt:lpwstr>360049</vt:lpwstr>
  </property>
  <property fmtid="{D5CDD505-2E9C-101B-9397-08002B2CF9AE}" pid="49" name="titlepage-rule-height">
    <vt:lpwstr>0</vt:lpwstr>
  </property>
  <property fmtid="{D5CDD505-2E9C-101B-9397-08002B2CF9AE}" pid="50" name="titlepage-text-color">
    <vt:lpwstr>360049</vt:lpwstr>
  </property>
  <property fmtid="{D5CDD505-2E9C-101B-9397-08002B2CF9AE}" pid="51" name="toc-own-page">
    <vt:lpwstr>True</vt:lpwstr>
  </property>
  <property fmtid="{D5CDD505-2E9C-101B-9397-08002B2CF9AE}" pid="52" name="toc-title">
    <vt:lpwstr>目录</vt:lpwstr>
  </property>
  <property fmtid="{D5CDD505-2E9C-101B-9397-08002B2CF9AE}" pid="53" name="urlcolor">
    <vt:lpwstr>blue</vt:lpwstr>
  </property>
  <property fmtid="{D5CDD505-2E9C-101B-9397-08002B2CF9AE}" pid="54" name="watermark">
    <vt:lpwstr/>
  </property>
</Properties>
</file>