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png" ContentType="image/png"/>
  <Override PartName="/word/media/rId44.png" ContentType="image/png"/>
  <Override PartName="/word/media/rId29.png" ContentType="image/png"/>
  <Override PartName="/word/media/rId54.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This is the abstract.</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(GSM)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GSM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GSM-producing cyanobacterial taxa are phylogenetically more diverse than those associated with MIB</w:t>
      </w:r>
      <w:r>
        <w:t xml:space="preserve"> </w:t>
      </w:r>
      <w:r>
        <w:t xml:space="preserve">(AWWA, 2010)</w:t>
      </w:r>
      <w:r>
        <w:t xml:space="preserve">, complicating source-tracking and management efforts. To address these emerging challenges, we conducted a multi-year, spatially resolved monitoring study in Yuqiao Reservoir—a major drinking water source for Tianjin, China, with a documented history of GSM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8" w:name="materials-and-methods"/>
    <w:p>
      <w:pPr>
        <w:pStyle w:val="Heading1"/>
      </w:pPr>
      <w:r>
        <w:t xml:space="preserve">Materials and methods</w:t>
      </w:r>
    </w:p>
    <w:bookmarkStart w:id="24"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4"/>
    <w:bookmarkStart w:id="25"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5"/>
    <w:bookmarkStart w:id="26"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2023年水库geosmin爆发期间采集水样进行GC-MS检测，结果表明11月的样品中采集自YQ05的水样、12月的样品中采集自YQ03的水样有着高于同月份其他点位的tgsm，浓度分别达到了28.43ng/L和29.84ng/L.由于产嗅蓝藻通常在水体中的相对丰度较低，所以用1.2um滤膜富集这两个点位的水样以提高产嗅蓝藻的比例。用Fast</w:t>
      </w:r>
      <w:r>
        <w:t xml:space="preserve"> </w:t>
      </w:r>
      <w:r>
        <w:rPr>
          <w:rFonts w:hint="eastAsia"/>
        </w:rPr>
        <w:t xml:space="preserve">DNA试剂盒提取富集在滤膜上的藻类DNA进行了Quantitative</w:t>
      </w:r>
      <w:r>
        <w:t xml:space="preserve"> </w:t>
      </w:r>
      <w:r>
        <w:rPr>
          <w:rFonts w:hint="eastAsia"/>
        </w:rPr>
        <w:t xml:space="preserve">PCR扩增，结果表明这两个点位的geoA</w:t>
      </w:r>
      <w:r>
        <w:t xml:space="preserve"> </w:t>
      </w:r>
      <w:r>
        <w:rPr>
          <w:rFonts w:hint="eastAsia"/>
        </w:rPr>
        <w:t xml:space="preserve">gene浓度均达到了10^5copies/L.对这两个点位的水样制备细胞悬浮液，进行epicPCR扩增，对巢氏PCR扩增产物进行1%琼脂糖凝胶电泳，结果如图x-e所示。）</w:t>
      </w:r>
    </w:p>
    <w:bookmarkEnd w:id="26"/>
    <w:bookmarkStart w:id="27"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STT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1×TK缓冲液，形成聚丙烯酰胺-细胞凝珠TK悬液，然后采用细胞过滤器进行过滤，制得纯化聚丙烯酰胺-细胞凝珠TK悬液；向纯化聚丙烯酰胺-细胞凝珠TK悬液中添加溶菌酶，溶解藻类细胞细胞壁后加入蛋白酶K和TritonX-100，酶解去除与核酸结合的组蛋白，使藻类细胞DNA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27"/>
    <w:bookmarkEnd w:id="28"/>
    <w:bookmarkStart w:id="50" w:name="results"/>
    <w:p>
      <w:pPr>
        <w:pStyle w:val="Heading1"/>
      </w:pPr>
      <w:r>
        <w:t xml:space="preserve">Results</w:t>
      </w:r>
    </w:p>
    <w:bookmarkStart w:id="33" w:name="Xaeab5dd0fb62be475a2148700cedf7eafbbd29d"/>
    <w:p>
      <w:pPr>
        <w:pStyle w:val="Heading2"/>
      </w:pPr>
      <w:r>
        <w:t xml:space="preserve">National Survey of Geosmin Occurrence in Drinking Water Sources</w:t>
      </w:r>
    </w:p>
    <w:p>
      <w:pPr>
        <w:pStyle w:val="BodyText"/>
      </w:pPr>
      <w:r>
        <w:t xml:space="preserve">A national-scale survey of geosmin (GSM) concentrations across China’s major drinking water sources revealed its widespread occurrence and pronounced spatial heterogeneity. The measured GSM concentrations ranged from 0 ng L</w:t>
      </w:r>
      <w:r>
        <w:rPr>
          <w:vertAlign w:val="superscript"/>
        </w:rPr>
        <w:t xml:space="preserve">-1</w:t>
      </w:r>
      <w:r>
        <w:t xml:space="preserve"> </w:t>
      </w:r>
      <w:r>
        <w:t xml:space="preserve">to 150 ng L</w:t>
      </w:r>
      <w:r>
        <w:rPr>
          <w:vertAlign w:val="superscript"/>
        </w:rPr>
        <w:t xml:space="preserve">-1</w:t>
      </w:r>
      <w:r>
        <w:t xml:space="preserve">. The median concentration was 2.2 ng L</w:t>
      </w:r>
      <w:r>
        <w:rPr>
          <w:vertAlign w:val="superscript"/>
        </w:rPr>
        <w:t xml:space="preserve">-1</w:t>
      </w:r>
      <w:r>
        <w:t xml:space="preserve">, significantly lower than the arithmetic mean of 7.2 ng L</w:t>
      </w:r>
      <w:r>
        <w:rPr>
          <w:vertAlign w:val="superscript"/>
        </w:rPr>
        <w:t xml:space="preserve">-1</w:t>
      </w:r>
      <w:r>
        <w:t xml:space="preserve">, with a standard deviation of 18 ng L</w:t>
      </w:r>
      <w:r>
        <w:rPr>
          <w:vertAlign w:val="superscript"/>
        </w:rPr>
        <w:t xml:space="preserve">-1</w:t>
      </w:r>
      <w:r>
        <w:t xml:space="preserve">, confirming a strong positive skew. A total of 12.3% of the sampling sites exceeded the common odor threshold of 10 ng L</w:t>
      </w:r>
      <w:r>
        <w:rPr>
          <w:vertAlign w:val="superscript"/>
        </w:rPr>
        <w:t xml:space="preserve">-1</w:t>
      </w:r>
      <w:r>
        <w:t xml:space="preserve">. Geospatial analysis identified clear regional patterns, with a distinct high-concentration cluster in the Yangtze River Delta and eastern coastal regions, while water sources in the arid northwest and the Tibetan Plateau consistently exhibited low GSM levels.</w:t>
      </w:r>
    </w:p>
    <w:tbl>
      <w:tblPr>
        <w:tblStyle w:val="Table"/>
        <w:tblW w:type="pct" w:w="5000"/>
        <w:tblLayout w:type="fixed"/>
        <w:tblLook w:firstRow="0" w:lastRow="0" w:firstColumn="0" w:lastColumn="0" w:noHBand="0" w:noVBand="0" w:val="0000"/>
      </w:tblPr>
      <w:tblGrid>
        <w:gridCol w:w="7920"/>
      </w:tblGrid>
      <w:tr>
        <w:tc>
          <w:tcPr/>
          <w:bookmarkStart w:id="32" w:name="fig-nationalgsm"/>
          <w:p>
            <w:pPr>
              <w:pStyle w:val="Compact"/>
              <w:jc w:val="center"/>
            </w:pPr>
            <w:r>
              <w:drawing>
                <wp:inline>
                  <wp:extent cx="4602480" cy="3835400"/>
                  <wp:effectExtent b="0" l="0" r="0" t="0"/>
                  <wp:docPr descr="" title="" id="30" name="Picture"/>
                  <a:graphic>
                    <a:graphicData uri="http://schemas.openxmlformats.org/drawingml/2006/picture">
                      <pic:pic>
                        <pic:nvPicPr>
                          <pic:cNvPr descr="../figures/nationalgsm.png" id="31" name="Picture"/>
                          <pic:cNvPicPr>
                            <a:picLocks noChangeArrowheads="1" noChangeAspect="1"/>
                          </pic:cNvPicPr>
                        </pic:nvPicPr>
                        <pic:blipFill>
                          <a:blip r:embed="rId29"/>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Distribution of geosmin in China</w:t>
            </w:r>
          </w:p>
          <w:bookmarkEnd w:id="32"/>
        </w:tc>
      </w:tr>
    </w:tbl>
    <w:bookmarkEnd w:id="33"/>
    <w:bookmarkStart w:id="38" w:name="X3d89d53f4eeafb4b572e4006f1e4db3e6ad0e29"/>
    <w:p>
      <w:pPr>
        <w:pStyle w:val="Heading2"/>
      </w:pPr>
      <w:r>
        <w:t xml:space="preserve">Seasonal and Interannual Dynamics in Yuqiao Reservoir</w:t>
      </w:r>
    </w:p>
    <w:p>
      <w:pPr>
        <w:pStyle w:val="BodyText"/>
      </w:pPr>
      <w:r>
        <w:t xml:space="preserve">Sustained monitoring at the primary water intake (YQ01) revealed a recurrent bimodal annual pattern in GSM occurrence. GSM concentrations were consistently lowest during spring (April-May), with a primary peak in summer (July-August) and a secondary, more prolonged peak throughout autumn and early winter (October-December). Median July concentrations ranged from 5.2 to 12.9 ng L</w:t>
      </w:r>
      <w:r>
        <w:rPr>
          <w:vertAlign w:val="superscript"/>
        </w:rPr>
        <w:t xml:space="preserve">-1</w:t>
      </w:r>
      <w:r>
        <w:t xml:space="preserve"> </w:t>
      </w:r>
      <w:r>
        <w:t xml:space="preserve">across the study period. Annual median values stabilized between 5.2 and 10.1 ng L</w:t>
      </w:r>
      <w:r>
        <w:rPr>
          <w:vertAlign w:val="superscript"/>
        </w:rPr>
        <w:t xml:space="preserve">-1</w:t>
      </w:r>
      <w:r>
        <w:t xml:space="preserve"> </w:t>
      </w:r>
      <w:r>
        <w:t xml:space="preserve">from 2020-2024, significantly lower than the outlier year 2019-2020 (median = 2.5 ng L</w:t>
      </w:r>
      <w:r>
        <w:rPr>
          <w:vertAlign w:val="superscript"/>
        </w:rPr>
        <w:t xml:space="preserve">-1</w:t>
      </w:r>
      <w:r>
        <w:t xml:space="preserve">). Statistical comparison confirmed a significant difference among years (χ</w:t>
      </w:r>
      <w:r>
        <w:rPr>
          <w:vertAlign w:val="superscript"/>
        </w:rPr>
        <w:t xml:space="preserve">2</w:t>
      </w:r>
      <w:r>
        <w:t xml:space="preserve">(4) = 64.3,</w:t>
      </w:r>
      <w:r>
        <w:t xml:space="preserve"> </w:t>
      </w:r>
      <w:r>
        <w:rPr>
          <w:i/>
          <w:iCs/>
        </w:rPr>
        <w:t xml:space="preserve">p</w:t>
      </w:r>
      <w:r>
        <w:t xml:space="preserve"> </w:t>
      </w:r>
      <w:r>
        <w:t xml:space="preserve">&lt; 0.001).</w:t>
      </w:r>
    </w:p>
    <w:tbl>
      <w:tblPr>
        <w:tblStyle w:val="Table"/>
        <w:tblW w:type="pct" w:w="5000"/>
        <w:tblLayout w:type="fixed"/>
        <w:tblLook w:firstRow="0" w:lastRow="0" w:firstColumn="0" w:lastColumn="0" w:noHBand="0" w:noVBand="0" w:val="0000"/>
      </w:tblPr>
      <w:tblGrid>
        <w:gridCol w:w="7920"/>
      </w:tblGrid>
      <w:tr>
        <w:tc>
          <w:tcPr/>
          <w:bookmarkStart w:id="37" w:name="fig-yqgsminvest"/>
          <w:p>
            <w:pPr>
              <w:pStyle w:val="Compact"/>
              <w:jc w:val="center"/>
            </w:pPr>
            <w:r>
              <w:drawing>
                <wp:inline>
                  <wp:extent cx="5177790" cy="4836770"/>
                  <wp:effectExtent b="0" l="0" r="0" t="0"/>
                  <wp:docPr descr="" title="" id="35" name="Picture"/>
                  <a:graphic>
                    <a:graphicData uri="http://schemas.openxmlformats.org/drawingml/2006/picture">
                      <pic:pic>
                        <pic:nvPicPr>
                          <pic:cNvPr descr="../figures/yqgsminvest_revised.png" id="36" name="Picture"/>
                          <pic:cNvPicPr>
                            <a:picLocks noChangeArrowheads="1" noChangeAspect="1"/>
                          </pic:cNvPicPr>
                        </pic:nvPicPr>
                        <pic:blipFill>
                          <a:blip r:embed="rId34"/>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37"/>
        </w:tc>
      </w:tr>
    </w:tbl>
    <w:bookmarkEnd w:id="38"/>
    <w:bookmarkStart w:id="43" w:name="Xf44ac616985737352e94c0af12e17a010675d73"/>
    <w:p>
      <w:pPr>
        <w:pStyle w:val="Heading2"/>
      </w:pPr>
      <w:r>
        <w:t xml:space="preserve">Spatiotemporal Dynamics of Cyanobacterial Communities and GSM Producers</w:t>
      </w:r>
    </w:p>
    <w:p>
      <w:pPr>
        <w:pStyle w:val="BodyText"/>
      </w:pPr>
      <w:r>
        <w:t xml:space="preserve">Comparative analysis revealed significant spatial decoupling in the development of potential GSM-producing cyanobacteria between littoral (YQ05) and dam (YQ01) sites.</w:t>
      </w:r>
      <w:r>
        <w:t xml:space="preserve"> </w:t>
      </w:r>
      <w:r>
        <w:rPr>
          <w:i/>
          <w:iCs/>
        </w:rPr>
        <w:t xml:space="preserve">Planktothrix agardhii</w:t>
      </w:r>
      <w:r>
        <w:t xml:space="preserve"> </w:t>
      </w:r>
      <w:r>
        <w:t xml:space="preserve">maintained consistently elevated biomass at YQ05, with log10-transformed monthly means reaching 7.07 during peak summer months, compared to delayed and lower abundance at YQ01.</w:t>
      </w:r>
      <w:r>
        <w:t xml:space="preserve"> </w:t>
      </w:r>
      <w:r>
        <w:rPr>
          <w:i/>
          <w:iCs/>
        </w:rPr>
        <w:t xml:space="preserve">Aphanizomenon gracile</w:t>
      </w:r>
      <w:r>
        <w:t xml:space="preserve"> </w:t>
      </w:r>
      <w:r>
        <w:t xml:space="preserve">exhibited early establishment at YQ05 (log10 mean = 5.34 in April), while remaining negligible at YQ01 during the same period.</w:t>
      </w:r>
    </w:p>
    <w:p>
      <w:pPr>
        <w:pStyle w:val="BodyText"/>
      </w:pPr>
      <w:r>
        <w:t xml:space="preserve">High-frequency spatial monitoring during 2023 revealed that littoral sites consistently exhibited higher</w:t>
      </w:r>
      <w:r>
        <w:t xml:space="preserve"> </w:t>
      </w:r>
      <w:r>
        <w:rPr>
          <w:i/>
          <w:iCs/>
        </w:rPr>
        <w:t xml:space="preserve">P. agardhii</w:t>
      </w:r>
      <w:r>
        <w:t xml:space="preserve"> </w:t>
      </w:r>
      <w:r>
        <w:t xml:space="preserve">biomass compared to the dam intake. The maximum recorded biomass at littoral sites reached 40×10</w:t>
      </w:r>
      <w:r>
        <w:rPr>
          <w:vertAlign w:val="superscript"/>
        </w:rPr>
        <w:t xml:space="preserve">4</w:t>
      </w:r>
      <w:r>
        <w:t xml:space="preserve"> </w:t>
      </w:r>
      <w:r>
        <w:t xml:space="preserve">cells L</w:t>
      </w:r>
      <w:r>
        <w:rPr>
          <w:vertAlign w:val="superscript"/>
        </w:rPr>
        <w:t xml:space="preserve">-1</w:t>
      </w:r>
      <w:r>
        <w:t xml:space="preserve">, while YQ01 peaked at only 29.2×10</w:t>
      </w:r>
      <w:r>
        <w:rPr>
          <w:vertAlign w:val="superscript"/>
        </w:rPr>
        <w:t xml:space="preserve">4</w:t>
      </w:r>
      <w:r>
        <w:t xml:space="preserve"> </w:t>
      </w:r>
      <w:r>
        <w:t xml:space="preserve">cells L</w:t>
      </w:r>
      <w:r>
        <w:rPr>
          <w:vertAlign w:val="superscript"/>
        </w:rPr>
        <w:t xml:space="preserve">-1</w:t>
      </w:r>
      <w:r>
        <w:t xml:space="preserve">. At littoral sites,</w:t>
      </w:r>
      <w:r>
        <w:t xml:space="preserve"> </w:t>
      </w:r>
      <w:r>
        <w:rPr>
          <w:i/>
          <w:iCs/>
        </w:rPr>
        <w:t xml:space="preserve">P. agardhii</w:t>
      </w:r>
      <w:r>
        <w:t xml:space="preserve"> </w:t>
      </w:r>
      <w:r>
        <w:t xml:space="preserve">biomass exceeded 4×10</w:t>
      </w:r>
      <w:r>
        <w:rPr>
          <w:vertAlign w:val="superscript"/>
        </w:rPr>
        <w:t xml:space="preserve">4</w:t>
      </w:r>
      <w:r>
        <w:t xml:space="preserve"> </w:t>
      </w:r>
      <w:r>
        <w:t xml:space="preserve">cells L</w:t>
      </w:r>
      <w:r>
        <w:rPr>
          <w:vertAlign w:val="superscript"/>
        </w:rPr>
        <w:t xml:space="preserve">-1</w:t>
      </w:r>
      <w:r>
        <w:t xml:space="preserve"> </w:t>
      </w:r>
      <w:r>
        <w:t xml:space="preserve">in 58.7% of samples and 8×10</w:t>
      </w:r>
      <w:r>
        <w:rPr>
          <w:vertAlign w:val="superscript"/>
        </w:rPr>
        <w:t xml:space="preserve">4</w:t>
      </w:r>
      <w:r>
        <w:t xml:space="preserve"> </w:t>
      </w:r>
      <w:r>
        <w:t xml:space="preserve">cells L</w:t>
      </w:r>
      <w:r>
        <w:rPr>
          <w:vertAlign w:val="superscript"/>
        </w:rPr>
        <w:t xml:space="preserve">-1</w:t>
      </w:r>
      <w:r>
        <w:t xml:space="preserve"> </w:t>
      </w:r>
      <w:r>
        <w:t xml:space="preserve">in 29.7% of samples, compared to only 61.6% and 29.3% at YQ01, respectively.</w:t>
      </w:r>
    </w:p>
    <w:p>
      <w:pPr>
        <w:pStyle w:val="BodyText"/>
      </w:pPr>
      <w:r>
        <w:t xml:space="preserve">Analysis of major biomass peaks (≥20×10</w:t>
      </w:r>
      <w:r>
        <w:rPr>
          <w:vertAlign w:val="superscript"/>
        </w:rPr>
        <w:t xml:space="preserve">4</w:t>
      </w:r>
      <w:r>
        <w:t xml:space="preserve"> </w:t>
      </w:r>
      <w:r>
        <w:t xml:space="preserve">cells L</w:t>
      </w:r>
      <w:r>
        <w:rPr>
          <w:vertAlign w:val="superscript"/>
        </w:rPr>
        <w:t xml:space="preserve">-1</w:t>
      </w:r>
      <w:r>
        <w:t xml:space="preserve">) revealed a consistent spatiotemporal progression, with littoral sites reaching this threshold earlier than the dam intake. Site YQ05 first exceeded 20×10</w:t>
      </w:r>
      <w:r>
        <w:rPr>
          <w:vertAlign w:val="superscript"/>
        </w:rPr>
        <w:t xml:space="preserve">4</w:t>
      </w:r>
      <w:r>
        <w:t xml:space="preserve"> </w:t>
      </w:r>
      <w:r>
        <w:t xml:space="preserve">cells L</w:t>
      </w:r>
      <w:r>
        <w:rPr>
          <w:vertAlign w:val="superscript"/>
        </w:rPr>
        <w:t xml:space="preserve">-1</w:t>
      </w:r>
      <w:r>
        <w:t xml:space="preserve"> </w:t>
      </w:r>
      <w:r>
        <w:t xml:space="preserve">approximately 8 days before YQ01 reached comparable levels.</w:t>
      </w:r>
    </w:p>
    <w:tbl>
      <w:tblPr>
        <w:tblStyle w:val="Table"/>
        <w:tblW w:type="pct" w:w="5000"/>
        <w:tblLayout w:type="fixed"/>
        <w:tblLook w:firstRow="0" w:lastRow="0" w:firstColumn="0" w:lastColumn="0" w:noHBand="0" w:noVBand="0" w:val="0000"/>
      </w:tblPr>
      <w:tblGrid>
        <w:gridCol w:w="7920"/>
      </w:tblGrid>
      <w:tr>
        <w:tc>
          <w:tcPr/>
          <w:bookmarkStart w:id="42" w:name="fig-gsmepisodes"/>
          <w:p>
            <w:pPr>
              <w:pStyle w:val="Compact"/>
              <w:jc w:val="center"/>
            </w:pPr>
            <w:r>
              <w:drawing>
                <wp:inline>
                  <wp:extent cx="3451860" cy="3655340"/>
                  <wp:effectExtent b="0" l="0" r="0" t="0"/>
                  <wp:docPr descr="" title="" id="40" name="Picture"/>
                  <a:graphic>
                    <a:graphicData uri="http://schemas.openxmlformats.org/drawingml/2006/picture">
                      <pic:pic>
                        <pic:nvPicPr>
                          <pic:cNvPr descr="../figures/gsmepisodes_revised.png" id="41" name="Picture"/>
                          <pic:cNvPicPr>
                            <a:picLocks noChangeArrowheads="1" noChangeAspect="1"/>
                          </pic:cNvPicPr>
                        </pic:nvPicPr>
                        <pic:blipFill>
                          <a:blip r:embed="rId39"/>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42"/>
        </w:tc>
      </w:tr>
    </w:tbl>
    <w:bookmarkEnd w:id="43"/>
    <w:bookmarkStart w:id="48" w:name="Xe65f76b208e7139c6f5f48b8ede6e1c1d5e446e"/>
    <w:p>
      <w:pPr>
        <w:pStyle w:val="Heading2"/>
      </w:pPr>
      <w:r>
        <w:t xml:space="preserve">Predictive Relationships and Early-Warning Lead Times</w:t>
      </w:r>
    </w:p>
    <w:p>
      <w:pPr>
        <w:pStyle w:val="BodyText"/>
      </w:pPr>
      <w:r>
        <w:t xml:space="preserve">Time-lagged correlation analysis revealed distinct optimal lag periods between</w:t>
      </w:r>
      <w:r>
        <w:t xml:space="preserve"> </w:t>
      </w:r>
      <w:r>
        <w:rPr>
          <w:i/>
          <w:iCs/>
        </w:rPr>
        <w:t xml:space="preserve">P. agardhii</w:t>
      </w:r>
      <w:r>
        <w:t xml:space="preserve"> </w:t>
      </w:r>
      <w:r>
        <w:t xml:space="preserve">biomass and GSM concentrations. For the littoral site YQ05, the strongest correlation occurred at zero lag (R</w:t>
      </w:r>
      <w:r>
        <w:rPr>
          <w:vertAlign w:val="superscript"/>
        </w:rPr>
        <w:t xml:space="preserve">2</w:t>
      </w:r>
      <w:r>
        <w:t xml:space="preserve"> </w:t>
      </w:r>
      <w:r>
        <w:t xml:space="preserve">= 0.495,</w:t>
      </w:r>
      <w:r>
        <w:t xml:space="preserve"> </w:t>
      </w:r>
      <w:r>
        <w:rPr>
          <w:i/>
          <w:iCs/>
        </w:rPr>
        <w:t xml:space="preserve">p</w:t>
      </w:r>
      <w:r>
        <w:t xml:space="preserve"> </w:t>
      </w:r>
      <w:r>
        <w:t xml:space="preserve">= &lt;0.001). In contrast, for the dam intake YQ01, the optimal predictive relationship showed a 4-6 week lag, with maximum R</w:t>
      </w:r>
      <w:r>
        <w:rPr>
          <w:vertAlign w:val="superscript"/>
        </w:rPr>
        <w:t xml:space="preserve">2</w:t>
      </w:r>
      <w:r>
        <w:t xml:space="preserve"> </w:t>
      </w:r>
      <w:r>
        <w:t xml:space="preserve">values at 5 weeks (R</w:t>
      </w:r>
      <w:r>
        <w:rPr>
          <w:vertAlign w:val="superscript"/>
        </w:rPr>
        <w:t xml:space="preserve">2</w:t>
      </w:r>
      <w:r>
        <w:t xml:space="preserve"> </w:t>
      </w:r>
      <w:r>
        <w:t xml:space="preserve">= 0.412,</w:t>
      </w:r>
      <w:r>
        <w:t xml:space="preserve"> </w:t>
      </w:r>
      <w:r>
        <w:rPr>
          <w:i/>
          <w:iCs/>
        </w:rPr>
        <w:t xml:space="preserve">p</w:t>
      </w:r>
      <w:r>
        <w:t xml:space="preserve"> </w:t>
      </w:r>
      <w:r>
        <w:t xml:space="preserve">= &lt;0.001).</w:t>
      </w:r>
    </w:p>
    <w:p>
      <w:pPr>
        <w:pStyle w:val="BodyText"/>
      </w:pPr>
      <w:r>
        <w:t xml:space="preserve">Regression analysis at these optimal lags revealed distinct quantitative relationships. For YQ05 at zero lag: log₁₀(GSM) = 0.24 + 0.29×log₁₀(</w:t>
      </w:r>
      <w:r>
        <w:rPr>
          <w:i/>
          <w:iCs/>
        </w:rPr>
        <w:t xml:space="preserve">P. agardhii</w:t>
      </w:r>
      <w:r>
        <w:t xml:space="preserve"> </w:t>
      </w:r>
      <w:r>
        <w:t xml:space="preserve">biomass) (R</w:t>
      </w:r>
      <w:r>
        <w:rPr>
          <w:vertAlign w:val="superscript"/>
        </w:rPr>
        <w:t xml:space="preserve">2</w:t>
      </w:r>
      <w:r>
        <w:t xml:space="preserve"> </w:t>
      </w:r>
      <w:r>
        <w:t xml:space="preserve">= 0.495). For YQ01 at 5-week lag: log₁₀(GSM) = 0.56 + 0.2×log₁₀(</w:t>
      </w:r>
      <w:r>
        <w:rPr>
          <w:i/>
          <w:iCs/>
        </w:rPr>
        <w:t xml:space="preserve">P. agardhii</w:t>
      </w:r>
      <w:r>
        <w:t xml:space="preserve"> </w:t>
      </w:r>
      <w:r>
        <w:t xml:space="preserve">biomass) (R</w:t>
      </w:r>
      <w:r>
        <w:rPr>
          <w:vertAlign w:val="superscript"/>
        </w:rPr>
        <w:t xml:space="preserve">2</w:t>
      </w:r>
      <w:r>
        <w:t xml:space="preserve"> </w:t>
      </w:r>
      <w:r>
        <w:t xml:space="preserve">= 0.412).</w:t>
      </w:r>
    </w:p>
    <w:p>
      <w:pPr>
        <w:pStyle w:val="BodyText"/>
      </w:pPr>
      <w:r>
        <w:t xml:space="preserve">The predictive power was strongest at specific biomass thresholds. When</w:t>
      </w:r>
      <w:r>
        <w:t xml:space="preserve"> </w:t>
      </w:r>
      <w:r>
        <w:rPr>
          <w:i/>
          <w:iCs/>
        </w:rPr>
        <w:t xml:space="preserve">P. agardhii</w:t>
      </w:r>
      <w:r>
        <w:t xml:space="preserve"> </w:t>
      </w:r>
      <w:r>
        <w:t xml:space="preserve">biomass at YQ05 exceeded 500 cells L</w:t>
      </w:r>
      <w:r>
        <w:rPr>
          <w:vertAlign w:val="superscript"/>
        </w:rPr>
        <w:t xml:space="preserve">-1</w:t>
      </w:r>
      <w:r>
        <w:t xml:space="preserve">, the probability of GSM exceeding 10 ng L</w:t>
      </w:r>
      <w:r>
        <w:rPr>
          <w:vertAlign w:val="superscript"/>
        </w:rPr>
        <w:t xml:space="preserve">-1</w:t>
      </w:r>
      <w:r>
        <w:t xml:space="preserve"> </w:t>
      </w:r>
      <w:r>
        <w:t xml:space="preserve">at YQ01 within 5 weeks was 61.9%, increasing to 87.5% when biomass exceeded 1000 cells L</w:t>
      </w:r>
      <w:r>
        <w:rPr>
          <w:vertAlign w:val="superscript"/>
        </w:rPr>
        <w:t xml:space="preserve">-1</w:t>
      </w:r>
      <w:r>
        <w:t xml:space="preserve">.</w:t>
      </w:r>
    </w:p>
    <w:tbl>
      <w:tblPr>
        <w:tblStyle w:val="Table"/>
        <w:tblW w:type="pct" w:w="5000"/>
        <w:tblLayout w:type="fixed"/>
        <w:tblLook w:firstRow="0" w:lastRow="0" w:firstColumn="0" w:lastColumn="0" w:noHBand="0" w:noVBand="0" w:val="0000"/>
      </w:tblPr>
      <w:tblGrid>
        <w:gridCol w:w="7920"/>
      </w:tblGrid>
      <w:tr>
        <w:tc>
          <w:tcPr/>
          <w:bookmarkStart w:id="47" w:name="fig-lag"/>
          <w:p>
            <w:pPr>
              <w:pStyle w:val="Compact"/>
              <w:jc w:val="center"/>
            </w:pPr>
            <w:r>
              <w:drawing>
                <wp:inline>
                  <wp:extent cx="4027170" cy="6039689"/>
                  <wp:effectExtent b="0" l="0" r="0" t="0"/>
                  <wp:docPr descr="" title="" id="45" name="Picture"/>
                  <a:graphic>
                    <a:graphicData uri="http://schemas.openxmlformats.org/drawingml/2006/picture">
                      <pic:pic>
                        <pic:nvPicPr>
                          <pic:cNvPr descr="../figures/lag_revised.png" id="46" name="Picture"/>
                          <pic:cNvPicPr>
                            <a:picLocks noChangeArrowheads="1" noChangeAspect="1"/>
                          </pic:cNvPicPr>
                        </pic:nvPicPr>
                        <pic:blipFill>
                          <a:blip r:embed="rId44"/>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 lag between geosmin and</w:t>
            </w:r>
            <w:r>
              <w:t xml:space="preserve"> </w:t>
            </w:r>
            <w:r>
              <w:rPr>
                <w:i/>
                <w:iCs/>
              </w:rPr>
              <w:t xml:space="preserve">Planktothrix</w:t>
            </w:r>
            <w:r>
              <w:t xml:space="preserve"> </w:t>
            </w:r>
            <w:r>
              <w:t xml:space="preserve">in Yuqiao Reservoir</w:t>
            </w:r>
          </w:p>
          <w:bookmarkEnd w:id="47"/>
        </w:tc>
      </w:tr>
    </w:tbl>
    <w:bookmarkEnd w:id="48"/>
    <w:bookmarkStart w:id="49" w:name="environmental-drivers-of-gsm-variability"/>
    <w:p>
      <w:pPr>
        <w:pStyle w:val="Heading2"/>
      </w:pPr>
      <w:r>
        <w:t xml:space="preserve">Environmental Drivers of GSM Variability</w:t>
      </w:r>
    </w:p>
    <w:p>
      <w:pPr>
        <w:pStyle w:val="BodyText"/>
      </w:pPr>
      <w:r>
        <w:t xml:space="preserve">Principal component analysis revealed that the first two principal components explained 60.6% of total variance. PC1 represented a thermal-nutrient productivity axis associated with temperature (loading = 0.342), TP (0.39), and Chl-a (0.428). PC2 represented a nitrogen availability axis correlated with ammonia (loading = -0.449) and TN (0.432). GSM showed moderate positive loadings on both PC1 (0.122) and PC2 (0.229).</w:t>
      </w:r>
    </w:p>
    <w:p>
      <w:pPr>
        <w:pStyle w:val="BodyText"/>
      </w:pPr>
      <w:r>
        <w:t xml:space="preserve">Site-specific analysis showed that at YQ01, GSM had a strong positive correlation with ammonia (R</w:t>
      </w:r>
      <w:r>
        <w:rPr>
          <w:vertAlign w:val="superscript"/>
        </w:rPr>
        <w:t xml:space="preserve">2</w:t>
      </w:r>
      <w:r>
        <w:t xml:space="preserve"> </w:t>
      </w:r>
      <w:r>
        <w:t xml:space="preserve">= 0.035,</w:t>
      </w:r>
      <w:r>
        <w:t xml:space="preserve"> </w:t>
      </w:r>
      <w:r>
        <w:rPr>
          <w:i/>
          <w:iCs/>
        </w:rPr>
        <w:t xml:space="preserve">p</w:t>
      </w:r>
      <w:r>
        <w:t xml:space="preserve"> </w:t>
      </w:r>
      <w:r>
        <w:t xml:space="preserve">&lt; 0.001), while at YQ05 the relationship was weaker (R</w:t>
      </w:r>
      <w:r>
        <w:rPr>
          <w:vertAlign w:val="superscript"/>
        </w:rPr>
        <w:t xml:space="preserve">2</w:t>
      </w:r>
      <w:r>
        <w:t xml:space="preserve"> </w:t>
      </w:r>
      <w:r>
        <w:t xml:space="preserve">= 0.203). At YQ01, 90% of samples with ammonia &gt; 0.4 mg L</w:t>
      </w:r>
      <w:r>
        <w:rPr>
          <w:vertAlign w:val="superscript"/>
        </w:rPr>
        <w:t xml:space="preserve">-1</w:t>
      </w:r>
      <w:r>
        <w:t xml:space="preserve"> </w:t>
      </w:r>
      <w:r>
        <w:t xml:space="preserve">had GSM &gt; 10 ng L</w:t>
      </w:r>
      <w:r>
        <w:rPr>
          <w:vertAlign w:val="superscript"/>
        </w:rPr>
        <w:t xml:space="preserve">-1</w:t>
      </w:r>
      <w:r>
        <w:t xml:space="preserve">, compared to 75% at YQ05. During peak GSM events (&gt; 30 ng L</w:t>
      </w:r>
      <w:r>
        <w:rPr>
          <w:vertAlign w:val="superscript"/>
        </w:rPr>
        <w:t xml:space="preserve">-1</w:t>
      </w:r>
      <w:r>
        <w:t xml:space="preserve">), median ammonia concentrations were 0.19 mg L</w:t>
      </w:r>
      <w:r>
        <w:rPr>
          <w:vertAlign w:val="superscript"/>
        </w:rPr>
        <w:t xml:space="preserve">-1</w:t>
      </w:r>
      <w:r>
        <w:t xml:space="preserve"> </w:t>
      </w:r>
      <w:r>
        <w:t xml:space="preserve">at YQ01 and NA mg L</w:t>
      </w:r>
      <w:r>
        <w:rPr>
          <w:vertAlign w:val="superscript"/>
        </w:rPr>
        <w:t xml:space="preserve">-1</w:t>
      </w:r>
      <w:r>
        <w:t xml:space="preserve"> </w:t>
      </w:r>
      <w:r>
        <w:t xml:space="preserve">at YQ05.</w:t>
      </w:r>
    </w:p>
    <w:bookmarkEnd w:id="49"/>
    <w:bookmarkEnd w:id="50"/>
    <w:bookmarkStart w:id="59" w:name="discussion"/>
    <w:p>
      <w:pPr>
        <w:pStyle w:val="Heading1"/>
      </w:pPr>
      <w:r>
        <w:t xml:space="preserve">Discussion</w:t>
      </w:r>
    </w:p>
    <w:bookmarkStart w:id="51" w:name="Xa47160cb54145cb889b0001c5a3bbb7be651482"/>
    <w:p>
      <w:pPr>
        <w:pStyle w:val="Heading2"/>
      </w:pPr>
      <w:r>
        <w:t xml:space="preserve">Widespread Occurrence of Geosmin as a Global Water Quality Challenge</w:t>
      </w:r>
    </w:p>
    <w:p>
      <w:pPr>
        <w:pStyle w:val="BodyText"/>
      </w:pPr>
      <w:r>
        <w:t xml:space="preserve">The national-scale survey demonstrates that geosmin (GSM) contamination is a pervasive issue across China’s drinking water sources, with 12.3% of sampling sites exceeding the common odor threshold of 10 ng L⁻¹. This widespread occurrence aligns with growing global reports of GSM episodes in both temperate and subtropical regions [cite]. The spatial heterogeneity observed, with distinct high-concentration clusters in the Yangtze River Delta and eastern coastal regions, suggests regional environmental drivers—potentially including climatic conditions, land use patterns, and watershed characteristics—that warrant further investigation. GSM’s persistence through conventional water treatment processes and its extremely low odor threshold (as low as 4 ng L⁻¹for sensitive individuals) pose significant challenges to drinking water safety and consumer acceptance. These challenges directly undermine Sustainable Development Goal 6 (Clean Water and Sanitation), particularly target 6.1 focused on achieving universal access to safe and affordable drinking water. The economic implications are substantial, with water utilities worldwide investing significant resources in advanced treatment technologies and management strategies to address GSM-related consumer complaints and non-compliance incidents [cite].</w:t>
      </w:r>
    </w:p>
    <w:bookmarkEnd w:id="51"/>
    <w:bookmarkStart w:id="52" w:name="X47c941584b1cc9ea843f5e0a1b10a511ea0fceb"/>
    <w:p>
      <w:pPr>
        <w:pStyle w:val="Heading2"/>
      </w:pPr>
      <w:r>
        <w:t xml:space="preserve">Littoral Zones as Ecological Hotspots for GSM Production: The Critical Role of Filamentous Cyanobacteria</w:t>
      </w:r>
    </w:p>
    <w:p>
      <w:pPr>
        <w:pStyle w:val="BodyText"/>
      </w:pPr>
      <w:r>
        <w:t xml:space="preserve">Our multi-year monitoring in Yuqiao Reservoir provides compelling evidence that littoral zones function as critical</w:t>
      </w:r>
      <w:r>
        <w:t xml:space="preserve"> </w:t>
      </w:r>
      <w:r>
        <w:t xml:space="preserve">“incubation hotspots”</w:t>
      </w:r>
      <w:r>
        <w:t xml:space="preserve"> </w:t>
      </w:r>
      <w:r>
        <w:t xml:space="preserve">for GSM-producing cyanobacteria, with filamentous taxa—particularly</w:t>
      </w:r>
      <w:r>
        <w:t xml:space="preserve"> </w:t>
      </w:r>
      <w:r>
        <w:rPr>
          <w:i/>
          <w:iCs/>
        </w:rPr>
        <w:t xml:space="preserve">Planktothrix agardhii</w:t>
      </w:r>
      <w:r>
        <w:t xml:space="preserve">—demonstrating specific adaptations to littoral environments that favor their proliferation and GSM production. The ecological niche of</w:t>
      </w:r>
      <w:r>
        <w:t xml:space="preserve"> </w:t>
      </w:r>
      <w:r>
        <w:rPr>
          <w:i/>
          <w:iCs/>
        </w:rPr>
        <w:t xml:space="preserve">Planktothrix</w:t>
      </w:r>
      <w:r>
        <w:t xml:space="preserve"> </w:t>
      </w:r>
      <w:r>
        <w:t xml:space="preserve">and related filamentous cyanobacteria is characterized by several key traits that explain their affinity for littoral zones. First, their filamentous morphology provides competitive advantages in shallow, intermittently mixed waters by facilitating buoyancy regulation and resistance to sedimentation [cite]. This allows them to maintain optimal positioning in the water column for light harvesting, a critical factor in nutrient-rich littoral zones where light attenuation can be rapid.</w:t>
      </w:r>
    </w:p>
    <w:p>
      <w:pPr>
        <w:pStyle w:val="BodyText"/>
      </w:pPr>
      <w:r>
        <w:t xml:space="preserve">Second, the low-light adaptation strategy of</w:t>
      </w:r>
      <w:r>
        <w:t xml:space="preserve"> </w:t>
      </w:r>
      <w:r>
        <w:rPr>
          <w:i/>
          <w:iCs/>
        </w:rPr>
        <w:t xml:space="preserve">P. agardhii</w:t>
      </w:r>
      <w:r>
        <w:t xml:space="preserve">, enabled by specific pigment complexes (phycobiliproteins), allows this taxon to thrive under the variable light conditions characteristic of littoral zones, where shading from shoreline vegetation and sediment resuspension create heterogeneous light fields [cite]. This adaptation is particularly relevant given our observation that</w:t>
      </w:r>
      <w:r>
        <w:t xml:space="preserve"> </w:t>
      </w:r>
      <w:r>
        <w:rPr>
          <w:i/>
          <w:iCs/>
        </w:rPr>
        <w:t xml:space="preserve">P. agardhii</w:t>
      </w:r>
      <w:r>
        <w:t xml:space="preserve"> </w:t>
      </w:r>
      <w:r>
        <w:t xml:space="preserve">maintained detectable biomass in littoral zones as early as April, when light conditions are suboptimal for many phytoplankton groups.</w:t>
      </w:r>
    </w:p>
    <w:p>
      <w:pPr>
        <w:pStyle w:val="BodyText"/>
      </w:pPr>
      <w:r>
        <w:t xml:space="preserve">Third, nutrient acquisition strategies of filamentous cyanobacteria, including the ability to store phosphorus and fix atmospheric nitrogen (in some taxa), provide competitive advantages in littoral environments where nutrient fluxes are dynamic and often pulsed [cite]. The stronger correlation between ammonia and GSM in littoral zones (R²= 0.365 at beach sites) versus the dam intake suggests that nitrogen availability—potentially from shoreline runoff—may be a key regulator of GSM production in these environments.</w:t>
      </w:r>
    </w:p>
    <w:p>
      <w:pPr>
        <w:pStyle w:val="BodyText"/>
      </w:pPr>
      <w:r>
        <w:t xml:space="preserve">The observed spatial decoupling—with littoral sites exhibiting earlier seasonal establishment and higher biomass of GSM producers compared to the dam intake—reflects these ecological specializations. The 5-6 week lag between</w:t>
      </w:r>
      <w:r>
        <w:t xml:space="preserve"> </w:t>
      </w:r>
      <w:r>
        <w:rPr>
          <w:i/>
          <w:iCs/>
        </w:rPr>
        <w:t xml:space="preserve">P. agardhii</w:t>
      </w:r>
      <w:r>
        <w:t xml:space="preserve"> </w:t>
      </w:r>
      <w:r>
        <w:t xml:space="preserve">biomass peaks in littoral zones and subsequent GSM elevations at the dam intake represents not merely hydrodynamic transport, but potentially includes continued metabolic activity during transit and accumulation processes in transitional zones. This mechanistic understanding challenges conventional reservoir management paradigms that primarily focus on pelagic zones and dam areas. Our findings align with emerging literature emphasizing the disproportionate role of nearshore environments in cyanobacterial bloom initiation and metabolite production, particularly for filamentous taxa with specific adaptations to littoral conditions [cite].</w:t>
      </w:r>
    </w:p>
    <w:bookmarkEnd w:id="52"/>
    <w:bookmarkStart w:id="53" w:name="X2354eb1c50e16ff162fe752f48d2453b2cf50e2"/>
    <w:p>
      <w:pPr>
        <w:pStyle w:val="Heading2"/>
      </w:pPr>
      <w:r>
        <w:t xml:space="preserve">Paradigm Shift in Monitoring Strategy: From Reactive to Proactive Management</w:t>
      </w:r>
    </w:p>
    <w:p>
      <w:pPr>
        <w:pStyle w:val="BodyText"/>
      </w:pPr>
      <w:r>
        <w:t xml:space="preserve">Current reservoir monitoring practices, predominantly focused on dam intakes, provide insufficient warning for timely intervention against GSM episodes. Our quantitative analysis demonstrates that littoral zone monitoring offers a critical 4-6 week early-warning window—a substantial operational advantage for water utilities. The predictive relationship established between littoral</w:t>
      </w:r>
      <w:r>
        <w:t xml:space="preserve"> </w:t>
      </w:r>
      <w:r>
        <w:rPr>
          <w:i/>
          <w:iCs/>
        </w:rPr>
        <w:t xml:space="preserve">P. agardhii</w:t>
      </w:r>
      <w:r>
        <w:t xml:space="preserve"> </w:t>
      </w:r>
      <w:r>
        <w:t xml:space="preserve">biomass and downstream GSM concentrations (R²= 0.412 at 5-week lag) provides a scientifically robust basis for operational decision-making. When</w:t>
      </w:r>
      <w:r>
        <w:t xml:space="preserve"> </w:t>
      </w:r>
      <w:r>
        <w:rPr>
          <w:i/>
          <w:iCs/>
        </w:rPr>
        <w:t xml:space="preserve">P. agardhii</w:t>
      </w:r>
      <w:r>
        <w:t xml:space="preserve"> </w:t>
      </w:r>
      <w:r>
        <w:t xml:space="preserve">biomass at YQ05 exceeded 500 cells L⁻¹, the probability of GSM exceeding 10 ng L⁻¹at YQ01 within 5 weeks was 61.9%, offering clear thresholds for action. This temporal lead enables implementation of preventive measures—such as optimized reservoir operation, selective withdrawal, or targeted pre-treatment—before GSM reaches problematic levels at the intake. We propose a tiered monitoring framework integrating: (1) sentinel stations in representative littoral zones for early detection, (2) spatial gradient stations tracking cyanobacterial transport pathways, and (3) intake stations for final water quality verification. This approach represents a fundamental shift from reactive response to proactive, risk-based management, potentially reducing treatment costs and minimizing service disruptions [cite].</w:t>
      </w:r>
    </w:p>
    <w:bookmarkEnd w:id="53"/>
    <w:bookmarkStart w:id="58" w:name="study-implications-and-limitations"/>
    <w:p>
      <w:pPr>
        <w:pStyle w:val="Heading2"/>
      </w:pPr>
      <w:r>
        <w:t xml:space="preserve">Study Implications and Limitations</w:t>
      </w:r>
    </w:p>
    <w:p>
      <w:pPr>
        <w:pStyle w:val="BodyText"/>
      </w:pPr>
      <w:r>
        <w:t xml:space="preserve">This research provides both mechanistic insights and practical tools for managing GSM risks in reservoir-based water supplies. The identification of specific predictive relationships (e.g., the 5-week lag between littoral</w:t>
      </w:r>
      <w:r>
        <w:t xml:space="preserve"> </w:t>
      </w:r>
      <w:r>
        <w:rPr>
          <w:i/>
          <w:iCs/>
        </w:rPr>
        <w:t xml:space="preserve">P. agardhii</w:t>
      </w:r>
      <w:r>
        <w:t xml:space="preserve"> </w:t>
      </w:r>
      <w:r>
        <w:t xml:space="preserve">biomass and intake GSM) and quantitative thresholds offers directly applicable guidance for water utilities. The demonstrated spatial heterogeneity in cyanobacterial succession patterns underscores the need for reservoir-specific management strategies rather than one-size-fits-all approaches.</w:t>
      </w:r>
    </w:p>
    <w:p>
      <w:pPr>
        <w:pStyle w:val="BodyText"/>
      </w:pPr>
      <w:r>
        <w:t xml:space="preserve">Several limitations warrant consideration. First, while the 4-6 year monitoring period captures interannual variability, longer-term data would strengthen confidence in the observed patterns, particularly in light of climate change impacts on cyanobacterial dynamics. Second, the study focused primarily on</w:t>
      </w:r>
      <w:r>
        <w:t xml:space="preserve"> </w:t>
      </w:r>
      <w:r>
        <w:rPr>
          <w:i/>
          <w:iCs/>
        </w:rPr>
        <w:t xml:space="preserve">P. agardhii</w:t>
      </w:r>
      <w:r>
        <w:t xml:space="preserve"> </w:t>
      </w:r>
      <w:r>
        <w:t xml:space="preserve">as the dominant GSM producer in Yuqiao Reservoir; in other systems with different cyanobacterial assemblages, the specific producer taxa and their ecological preferences may vary. Third, the predictive models, while statistically robust within the study reservoir, require validation across different reservoir types and geographical regions to assess their broader applicability. Future research should integrate molecular techniques to better characterize the diversity and metabolic potential of GSM-producing communities, incorporate high-resolution hydrodynamic modeling to elucidate transport pathways, and explore climate change scenarios to anticipate future risk patterns. Additionally, economic analyses comparing the costs of expanded monitoring against potential savings from reduced treatment interventions would strengthen the case for operational implementation.</w:t>
      </w:r>
    </w:p>
    <w:p>
      <w:pPr>
        <w:pStyle w:val="BodyText"/>
      </w:pPr>
      <w:r>
        <w:t xml:space="preserve">Despite these limitations, this study advances the scientific foundation for evidence-based management of taste-and-odor episodes in drinking water reservoirs. By elucidating the critical role of littoral zones in GSM production and establishing quantitative early-warning relationships, we provide water utilities with practical tools to enhance water security and service reliability in the face of increasing cyanobacterial challenges.</w:t>
      </w:r>
    </w:p>
    <w:tbl>
      <w:tblPr>
        <w:tblStyle w:val="Table"/>
        <w:tblW w:type="pct" w:w="5000"/>
        <w:tblLayout w:type="fixed"/>
        <w:tblLook w:firstRow="0" w:lastRow="0" w:firstColumn="0" w:lastColumn="0" w:noHBand="0" w:noVBand="0" w:val="0000"/>
      </w:tblPr>
      <w:tblGrid>
        <w:gridCol w:w="7920"/>
      </w:tblGrid>
      <w:tr>
        <w:tc>
          <w:tcPr/>
          <w:bookmarkStart w:id="57" w:name="fig-sketch"/>
          <w:p>
            <w:pPr>
              <w:pStyle w:val="Compact"/>
              <w:jc w:val="center"/>
            </w:pPr>
            <w:r>
              <w:drawing>
                <wp:inline>
                  <wp:extent cx="4602480" cy="1890488"/>
                  <wp:effectExtent b="0" l="0" r="0" t="0"/>
                  <wp:docPr descr="" title="" id="55" name="Picture"/>
                  <a:graphic>
                    <a:graphicData uri="http://schemas.openxmlformats.org/drawingml/2006/picture">
                      <pic:pic>
                        <pic:nvPicPr>
                          <pic:cNvPr descr="../figures/sketch_revised.png" id="56" name="Picture"/>
                          <pic:cNvPicPr>
                            <a:picLocks noChangeArrowheads="1" noChangeAspect="1"/>
                          </pic:cNvPicPr>
                        </pic:nvPicPr>
                        <pic:blipFill>
                          <a:blip r:embed="rId54"/>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5: sketch of geosmin producer</w:t>
            </w:r>
          </w:p>
          <w:bookmarkEnd w:id="57"/>
        </w:tc>
      </w:tr>
    </w:tbl>
    <w:bookmarkEnd w:id="58"/>
    <w:bookmarkEnd w:id="59"/>
    <w:bookmarkStart w:id="60" w:name="conclusions"/>
    <w:p>
      <w:pPr>
        <w:pStyle w:val="Heading1"/>
      </w:pPr>
      <w:r>
        <w:t xml:space="preserve">Conclusions</w:t>
      </w:r>
    </w:p>
    <w:bookmarkEnd w:id="60"/>
    <w:bookmarkStart w:id="61"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1"/>
    <w:bookmarkStart w:id="149" w:name="references"/>
    <w:p>
      <w:pPr>
        <w:pStyle w:val="Heading1"/>
      </w:pPr>
      <w:r>
        <w:t xml:space="preserve">References</w:t>
      </w:r>
    </w:p>
    <w:bookmarkStart w:id="148" w:name="refs"/>
    <w:bookmarkStart w:id="63"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62">
        <w:r>
          <w:rPr>
            <w:rStyle w:val="Hyperlink"/>
          </w:rPr>
          <w:t xml:space="preserve">https://doi.org/10.1016/j.jhazmat.2025.140118</w:t>
        </w:r>
      </w:hyperlink>
    </w:p>
    <w:bookmarkEnd w:id="63"/>
    <w:bookmarkStart w:id="65"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64">
        <w:r>
          <w:rPr>
            <w:rStyle w:val="Hyperlink"/>
          </w:rPr>
          <w:t xml:space="preserve">https://doi.org/10.1007/s00018-003-2079-y</w:t>
        </w:r>
      </w:hyperlink>
    </w:p>
    <w:bookmarkEnd w:id="65"/>
    <w:bookmarkStart w:id="66" w:name="ref-american2010algae"/>
    <w:p>
      <w:pPr>
        <w:pStyle w:val="Bibliography"/>
      </w:pPr>
      <w:r>
        <w:t xml:space="preserve">AWWA, A.W.W.A., 2010. Algae: Source to treatment. American Water Works Association.</w:t>
      </w:r>
    </w:p>
    <w:bookmarkEnd w:id="66"/>
    <w:bookmarkStart w:id="68"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67">
        <w:r>
          <w:rPr>
            <w:rStyle w:val="Hyperlink"/>
          </w:rPr>
          <w:t xml:space="preserve">https://doi.org/10.2166/wst.1992.0060</w:t>
        </w:r>
      </w:hyperlink>
    </w:p>
    <w:bookmarkEnd w:id="68"/>
    <w:bookmarkStart w:id="70" w:name="ref-burlingame2017humans"/>
    <w:p>
      <w:pPr>
        <w:pStyle w:val="Bibliography"/>
      </w:pPr>
      <w:r>
        <w:t xml:space="preserve">Burlingame, G.A., Doty, R.L., Dietrich, A.M., 2017. Humans as sensors to evaluate drinking water taste and odor: A review. Journal AWWA 109, 13–24.</w:t>
      </w:r>
      <w:r>
        <w:t xml:space="preserve"> </w:t>
      </w:r>
      <w:hyperlink r:id="rId69">
        <w:r>
          <w:rPr>
            <w:rStyle w:val="Hyperlink"/>
          </w:rPr>
          <w:t xml:space="preserve">https://doi.org/10.5942/jawwa.2017.109.0118</w:t>
        </w:r>
      </w:hyperlink>
    </w:p>
    <w:bookmarkEnd w:id="70"/>
    <w:bookmarkStart w:id="72"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71">
        <w:r>
          <w:rPr>
            <w:rStyle w:val="Hyperlink"/>
          </w:rPr>
          <w:t xml:space="preserve">https://doi.org/10.1289/ehp.01109663</w:t>
        </w:r>
      </w:hyperlink>
    </w:p>
    <w:bookmarkEnd w:id="72"/>
    <w:bookmarkStart w:id="74"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73">
        <w:r>
          <w:rPr>
            <w:rStyle w:val="Hyperlink"/>
          </w:rPr>
          <w:t xml:space="preserve">https://doi.org/10.1016/j.ecss.2016.01.043</w:t>
        </w:r>
      </w:hyperlink>
    </w:p>
    <w:bookmarkEnd w:id="74"/>
    <w:bookmarkStart w:id="76"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75">
        <w:r>
          <w:rPr>
            <w:rStyle w:val="Hyperlink"/>
          </w:rPr>
          <w:t xml:space="preserve">https://doi.org/10.2166/wpt.2022.167</w:t>
        </w:r>
      </w:hyperlink>
    </w:p>
    <w:bookmarkEnd w:id="76"/>
    <w:bookmarkStart w:id="78" w:name="ref-dordoni2023a"/>
    <w:p>
      <w:pPr>
        <w:pStyle w:val="Bibliography"/>
      </w:pPr>
      <w:r>
        <w:t xml:space="preserve">Dordoni, M., Zappalà, P., Barth, J.A.C., 2023. A preliminary global hydrochemical comparison of lakes and reservoirs. Frontiers in Water 5.</w:t>
      </w:r>
      <w:r>
        <w:t xml:space="preserve"> </w:t>
      </w:r>
      <w:hyperlink r:id="rId77">
        <w:r>
          <w:rPr>
            <w:rStyle w:val="Hyperlink"/>
          </w:rPr>
          <w:t xml:space="preserve">https://doi.org/10.3389/frwa.2023.1084050</w:t>
        </w:r>
      </w:hyperlink>
    </w:p>
    <w:bookmarkEnd w:id="78"/>
    <w:bookmarkStart w:id="80" w:name="ref-feng2021concerns"/>
    <w:p>
      <w:pPr>
        <w:pStyle w:val="Bibliography"/>
      </w:pPr>
      <w:r>
        <w:t xml:space="preserve">Feng, L., Dai, Y., Hou, X., Xu, Y., Liu, J., Zheng, C., 2021. Concerns about phytoplankton bloom trends in global lakes. Nature 590, E35–E47.</w:t>
      </w:r>
      <w:r>
        <w:t xml:space="preserve"> </w:t>
      </w:r>
      <w:hyperlink r:id="rId79">
        <w:r>
          <w:rPr>
            <w:rStyle w:val="Hyperlink"/>
          </w:rPr>
          <w:t xml:space="preserve">https://doi.org/10.1038/s41586-021-03254-3</w:t>
        </w:r>
      </w:hyperlink>
    </w:p>
    <w:bookmarkEnd w:id="80"/>
    <w:bookmarkStart w:id="82"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81">
        <w:r>
          <w:rPr>
            <w:rStyle w:val="Hyperlink"/>
          </w:rPr>
          <w:t xml:space="preserve">https://doi.org/10.1016/j.hal.2008.08.006</w:t>
        </w:r>
      </w:hyperlink>
    </w:p>
    <w:bookmarkEnd w:id="82"/>
    <w:bookmarkStart w:id="84" w:name="ref-huisman2018cyanobacterial"/>
    <w:p>
      <w:pPr>
        <w:pStyle w:val="Bibliography"/>
      </w:pPr>
      <w:r>
        <w:t xml:space="preserve">Huisman, J., Codd, G.A., Paerl, H.W., Ibelings, B.W., Verspagen, J.M.H., Visser, P.M., 2018. Cyanobacterial blooms. Nature Reviews Microbiology 16, 471–483.</w:t>
      </w:r>
      <w:r>
        <w:t xml:space="preserve"> </w:t>
      </w:r>
      <w:hyperlink r:id="rId83">
        <w:r>
          <w:rPr>
            <w:rStyle w:val="Hyperlink"/>
          </w:rPr>
          <w:t xml:space="preserve">https://doi.org/10.1038/s41579-018-0040-1</w:t>
        </w:r>
      </w:hyperlink>
    </w:p>
    <w:bookmarkEnd w:id="84"/>
    <w:bookmarkStart w:id="8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85">
        <w:r>
          <w:rPr>
            <w:rStyle w:val="Hyperlink"/>
          </w:rPr>
          <w:t xml:space="preserve">https://doi.org/10.1128/aem.02250-06</w:t>
        </w:r>
      </w:hyperlink>
    </w:p>
    <w:bookmarkEnd w:id="86"/>
    <w:bookmarkStart w:id="88"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87">
        <w:r>
          <w:rPr>
            <w:rStyle w:val="Hyperlink"/>
          </w:rPr>
          <w:t xml:space="preserve">https://doi.org/10.1111/j.1365-2486.2011.02488.x</w:t>
        </w:r>
      </w:hyperlink>
    </w:p>
    <w:bookmarkEnd w:id="88"/>
    <w:bookmarkStart w:id="90"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89">
        <w:r>
          <w:rPr>
            <w:rStyle w:val="Hyperlink"/>
          </w:rPr>
          <w:t xml:space="preserve">https://doi.org/10.1111/j.1365-2427.2006.01689.x</w:t>
        </w:r>
      </w:hyperlink>
    </w:p>
    <w:bookmarkEnd w:id="90"/>
    <w:bookmarkStart w:id="92"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91">
        <w:r>
          <w:rPr>
            <w:rStyle w:val="Hyperlink"/>
          </w:rPr>
          <w:t xml:space="preserve">https://doi.org/10.1016/j.hal.2010.03.003</w:t>
        </w:r>
      </w:hyperlink>
    </w:p>
    <w:bookmarkEnd w:id="92"/>
    <w:bookmarkStart w:id="93" w:name="ref-lin2018taste"/>
    <w:p>
      <w:pPr>
        <w:pStyle w:val="Bibliography"/>
      </w:pPr>
      <w:r>
        <w:t xml:space="preserve">Lin, T.-F., Watson, S., Suffet, I.H.M., 2018. Taste and odour in source and drinking water: Causes, controls, and consequences. IWA Publishing.</w:t>
      </w:r>
    </w:p>
    <w:bookmarkEnd w:id="93"/>
    <w:bookmarkStart w:id="95"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94">
        <w:r>
          <w:rPr>
            <w:rStyle w:val="Hyperlink"/>
          </w:rPr>
          <w:t xml:space="preserve">https://doi.org/10.1016/j.watres.2024.121122</w:t>
        </w:r>
      </w:hyperlink>
    </w:p>
    <w:bookmarkEnd w:id="95"/>
    <w:bookmarkStart w:id="97"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96">
        <w:r>
          <w:rPr>
            <w:rStyle w:val="Hyperlink"/>
          </w:rPr>
          <w:t xml:space="preserve">https://doi.org/10.1093/plankt/fbq033</w:t>
        </w:r>
      </w:hyperlink>
    </w:p>
    <w:bookmarkEnd w:id="97"/>
    <w:bookmarkStart w:id="99"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98">
        <w:r>
          <w:rPr>
            <w:rStyle w:val="Hyperlink"/>
          </w:rPr>
          <w:t xml:space="preserve">https://doi.org/10.1016/j.envint.2013.06.013</w:t>
        </w:r>
      </w:hyperlink>
    </w:p>
    <w:bookmarkEnd w:id="99"/>
    <w:bookmarkStart w:id="101"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00">
        <w:r>
          <w:rPr>
            <w:rStyle w:val="Hyperlink"/>
          </w:rPr>
          <w:t xml:space="preserve">https://doi.org/10.1007/s10661-021-08980-9</w:t>
        </w:r>
      </w:hyperlink>
    </w:p>
    <w:bookmarkEnd w:id="101"/>
    <w:bookmarkStart w:id="103"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02">
        <w:r>
          <w:rPr>
            <w:rStyle w:val="Hyperlink"/>
          </w:rPr>
          <w:t xml:space="preserve">https://doi.org/10.1016/j.hal.2011.10.027</w:t>
        </w:r>
      </w:hyperlink>
    </w:p>
    <w:bookmarkEnd w:id="103"/>
    <w:bookmarkStart w:id="105"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04">
        <w:r>
          <w:rPr>
            <w:rStyle w:val="Hyperlink"/>
          </w:rPr>
          <w:t xml:space="preserve">https://doi.org/10.1100/tsw.2001.16</w:t>
        </w:r>
      </w:hyperlink>
    </w:p>
    <w:bookmarkEnd w:id="105"/>
    <w:bookmarkStart w:id="107" w:name="ref-paerl2012climate"/>
    <w:p>
      <w:pPr>
        <w:pStyle w:val="Bibliography"/>
      </w:pPr>
      <w:r>
        <w:t xml:space="preserve">Paerl, H.W., Paul, V.J., 2012. Climate change: Links to global expansion of harmful cyanobacteria. Water Research 46, 1349–1363.</w:t>
      </w:r>
      <w:r>
        <w:t xml:space="preserve"> </w:t>
      </w:r>
      <w:hyperlink r:id="rId106">
        <w:r>
          <w:rPr>
            <w:rStyle w:val="Hyperlink"/>
          </w:rPr>
          <w:t xml:space="preserve">https://doi.org/10.1016/j.watres.2011.08.002</w:t>
        </w:r>
      </w:hyperlink>
    </w:p>
    <w:bookmarkEnd w:id="107"/>
    <w:bookmarkStart w:id="109"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08">
        <w:r>
          <w:rPr>
            <w:rStyle w:val="Hyperlink"/>
          </w:rPr>
          <w:t xml:space="preserve">https://doi.org/10.1016/j.watres.2010.09.018</w:t>
        </w:r>
      </w:hyperlink>
    </w:p>
    <w:bookmarkEnd w:id="109"/>
    <w:bookmarkStart w:id="111" w:name="ref-plaas2020toxic"/>
    <w:p>
      <w:pPr>
        <w:pStyle w:val="Bibliography"/>
      </w:pPr>
      <w:r>
        <w:t xml:space="preserve">Plaas, H.E., Paerl, H.W., 2020. Toxic cyanobacteria: A growing threat to water and air quality. Environmental Science &amp;amp; Technology 55, 44–64.</w:t>
      </w:r>
      <w:r>
        <w:t xml:space="preserve"> </w:t>
      </w:r>
      <w:hyperlink r:id="rId110">
        <w:r>
          <w:rPr>
            <w:rStyle w:val="Hyperlink"/>
          </w:rPr>
          <w:t xml:space="preserve">https://doi.org/10.1021/acs.est.0c06653</w:t>
        </w:r>
      </w:hyperlink>
    </w:p>
    <w:bookmarkEnd w:id="111"/>
    <w:bookmarkStart w:id="113"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12">
        <w:r>
          <w:rPr>
            <w:rStyle w:val="Hyperlink"/>
          </w:rPr>
          <w:t xml:space="preserve">https://doi.org/10.3389/fevo.2023.1216567</w:t>
        </w:r>
      </w:hyperlink>
    </w:p>
    <w:bookmarkEnd w:id="113"/>
    <w:bookmarkStart w:id="115"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14">
        <w:r>
          <w:rPr>
            <w:rStyle w:val="Hyperlink"/>
          </w:rPr>
          <w:t xml:space="preserve">https://doi.org/10.1016/j.watres.2022.118573</w:t>
        </w:r>
      </w:hyperlink>
    </w:p>
    <w:bookmarkEnd w:id="115"/>
    <w:bookmarkStart w:id="117"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16">
        <w:r>
          <w:rPr>
            <w:rStyle w:val="Hyperlink"/>
          </w:rPr>
          <w:t xml:space="preserve">https://doi.org/10.1016/j.watres.2020.115959</w:t>
        </w:r>
      </w:hyperlink>
    </w:p>
    <w:bookmarkEnd w:id="117"/>
    <w:bookmarkStart w:id="119"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18">
        <w:r>
          <w:rPr>
            <w:rStyle w:val="Hyperlink"/>
          </w:rPr>
          <w:t xml:space="preserve">https://doi.org/10.1080/07388550500248498</w:t>
        </w:r>
      </w:hyperlink>
    </w:p>
    <w:bookmarkEnd w:id="119"/>
    <w:bookmarkStart w:id="121"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20">
        <w:r>
          <w:rPr>
            <w:rStyle w:val="Hyperlink"/>
          </w:rPr>
          <w:t xml:space="preserve">https://doi.org/10.1016/s1001-0742(10)60367-1</w:t>
        </w:r>
      </w:hyperlink>
    </w:p>
    <w:bookmarkEnd w:id="121"/>
    <w:bookmarkStart w:id="123"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22">
        <w:r>
          <w:rPr>
            <w:rStyle w:val="Hyperlink"/>
          </w:rPr>
          <w:t xml:space="preserve">https://doi.org/10.1016/j.watres.2014.09.038</w:t>
        </w:r>
      </w:hyperlink>
    </w:p>
    <w:bookmarkEnd w:id="123"/>
    <w:bookmarkStart w:id="125"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24">
        <w:r>
          <w:rPr>
            <w:rStyle w:val="Hyperlink"/>
          </w:rPr>
          <w:t xml:space="preserve">https://doi.org/10.1016/j.watres.2021.116848</w:t>
        </w:r>
      </w:hyperlink>
    </w:p>
    <w:bookmarkEnd w:id="125"/>
    <w:bookmarkStart w:id="127"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26">
        <w:r>
          <w:rPr>
            <w:rStyle w:val="Hyperlink"/>
          </w:rPr>
          <w:t xml:space="preserve">https://doi.org/10.1007/s11783-013-0577-1</w:t>
        </w:r>
      </w:hyperlink>
    </w:p>
    <w:bookmarkEnd w:id="127"/>
    <w:bookmarkStart w:id="129" w:name="ref-thornton1984regional"/>
    <w:p>
      <w:pPr>
        <w:pStyle w:val="Bibliography"/>
      </w:pPr>
      <w:r>
        <w:t xml:space="preserve">Thornton, K.W., 1984. REGIONAL COMPARISONS OF LAKES AND RESERVOIRS: GEOLOGY, CLIMATOLOGY, AND MORPHOLOGY. Lake and Reservoir Management 1, 261–265.</w:t>
      </w:r>
      <w:r>
        <w:t xml:space="preserve"> </w:t>
      </w:r>
      <w:hyperlink r:id="rId128">
        <w:r>
          <w:rPr>
            <w:rStyle w:val="Hyperlink"/>
          </w:rPr>
          <w:t xml:space="preserve">https://doi.org/10.1080/07438148409354521</w:t>
        </w:r>
      </w:hyperlink>
    </w:p>
    <w:bookmarkEnd w:id="129"/>
    <w:bookmarkStart w:id="131"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130">
        <w:r>
          <w:rPr>
            <w:rStyle w:val="Hyperlink"/>
          </w:rPr>
          <w:t xml:space="preserve">https://doi.org/10.2166/wst.2007.184</w:t>
        </w:r>
      </w:hyperlink>
    </w:p>
    <w:bookmarkEnd w:id="131"/>
    <w:bookmarkStart w:id="133"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32">
        <w:r>
          <w:rPr>
            <w:rStyle w:val="Hyperlink"/>
          </w:rPr>
          <w:t xml:space="preserve">https://doi.org/10.2216/i0031-8884-42-4-332.1</w:t>
        </w:r>
      </w:hyperlink>
    </w:p>
    <w:bookmarkEnd w:id="133"/>
    <w:bookmarkStart w:id="135"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34">
        <w:r>
          <w:rPr>
            <w:rStyle w:val="Hyperlink"/>
          </w:rPr>
          <w:t xml:space="preserve">https://doi.org/10.1038/s43017-020-0067-5</w:t>
        </w:r>
      </w:hyperlink>
    </w:p>
    <w:bookmarkEnd w:id="135"/>
    <w:bookmarkStart w:id="137"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136">
        <w:r>
          <w:rPr>
            <w:rStyle w:val="Hyperlink"/>
          </w:rPr>
          <w:t xml:space="preserve">https://doi.org/10.1016/j.jhazmat.2021.128056</w:t>
        </w:r>
      </w:hyperlink>
    </w:p>
    <w:bookmarkEnd w:id="137"/>
    <w:bookmarkStart w:id="139"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138">
        <w:r>
          <w:rPr>
            <w:rStyle w:val="Hyperlink"/>
          </w:rPr>
          <w:t xml:space="preserve">https://doi.org/10.4319/lo.2010.55.1.0420</w:t>
        </w:r>
      </w:hyperlink>
    </w:p>
    <w:bookmarkEnd w:id="139"/>
    <w:bookmarkStart w:id="141"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40">
        <w:r>
          <w:rPr>
            <w:rStyle w:val="Hyperlink"/>
          </w:rPr>
          <w:t xml:space="preserve">https://doi.org/10.1126/science.319.5860.158a</w:t>
        </w:r>
      </w:hyperlink>
    </w:p>
    <w:bookmarkEnd w:id="141"/>
    <w:bookmarkStart w:id="143"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142">
        <w:r>
          <w:rPr>
            <w:rStyle w:val="Hyperlink"/>
          </w:rPr>
          <w:t xml:space="preserve">https://doi.org/10.1016/j.watres.2015.06.038</w:t>
        </w:r>
      </w:hyperlink>
    </w:p>
    <w:bookmarkEnd w:id="143"/>
    <w:bookmarkStart w:id="145"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144">
        <w:r>
          <w:rPr>
            <w:rStyle w:val="Hyperlink"/>
          </w:rPr>
          <w:t xml:space="preserve">https://doi.org/10.1016/j.watres.2023.119807</w:t>
        </w:r>
      </w:hyperlink>
    </w:p>
    <w:bookmarkEnd w:id="145"/>
    <w:bookmarkStart w:id="147" w:name="ref-zohary2014the"/>
    <w:p>
      <w:pPr>
        <w:pStyle w:val="Bibliography"/>
      </w:pPr>
      <w:r>
        <w:t xml:space="preserve">Zohary, T., Gasith, A., 2014. The littoral zone, in: Lake Kinneret. Springer Netherlands, pp. 517–532.</w:t>
      </w:r>
      <w:r>
        <w:t xml:space="preserve"> </w:t>
      </w:r>
      <w:hyperlink r:id="rId146">
        <w:r>
          <w:rPr>
            <w:rStyle w:val="Hyperlink"/>
          </w:rPr>
          <w:t xml:space="preserve">https://doi.org/10.1007/978-94-017-8944-8_29</w:t>
        </w:r>
      </w:hyperlink>
    </w:p>
    <w:bookmarkEnd w:id="147"/>
    <w:bookmarkEnd w:id="148"/>
    <w:bookmarkEnd w:id="14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png" /><Relationship Type="http://schemas.openxmlformats.org/officeDocument/2006/relationships/image" Id="rId44" Target="media/rId44.png" /><Relationship Type="http://schemas.openxmlformats.org/officeDocument/2006/relationships/image" Id="rId29" Target="media/rId29.png" /><Relationship Type="http://schemas.openxmlformats.org/officeDocument/2006/relationships/image" Id="rId54" Target="media/rId54.png" /><Relationship Type="http://schemas.openxmlformats.org/officeDocument/2006/relationships/image" Id="rId34" Target="media/rId34.png" /><Relationship Type="http://schemas.openxmlformats.org/officeDocument/2006/relationships/hyperlink" Id="rId146" Target="https://doi.org/10.1007/978-94-017-8944-8_29" TargetMode="External" /><Relationship Type="http://schemas.openxmlformats.org/officeDocument/2006/relationships/hyperlink" Id="rId64" Target="https://doi.org/10.1007/s00018-003-2079-y" TargetMode="External" /><Relationship Type="http://schemas.openxmlformats.org/officeDocument/2006/relationships/hyperlink" Id="rId100" Target="https://doi.org/10.1007/s10661-021-08980-9" TargetMode="External" /><Relationship Type="http://schemas.openxmlformats.org/officeDocument/2006/relationships/hyperlink" Id="rId126" Target="https://doi.org/10.1007/s11783-013-0577-1" TargetMode="External" /><Relationship Type="http://schemas.openxmlformats.org/officeDocument/2006/relationships/hyperlink" Id="rId73" Target="https://doi.org/10.1016/j.ecss.2016.01.043" TargetMode="External" /><Relationship Type="http://schemas.openxmlformats.org/officeDocument/2006/relationships/hyperlink" Id="rId98" Target="https://doi.org/10.1016/j.envint.2013.06.013" TargetMode="External" /><Relationship Type="http://schemas.openxmlformats.org/officeDocument/2006/relationships/hyperlink" Id="rId81" Target="https://doi.org/10.1016/j.hal.2008.08.006" TargetMode="External" /><Relationship Type="http://schemas.openxmlformats.org/officeDocument/2006/relationships/hyperlink" Id="rId91" Target="https://doi.org/10.1016/j.hal.2010.03.003" TargetMode="External" /><Relationship Type="http://schemas.openxmlformats.org/officeDocument/2006/relationships/hyperlink" Id="rId102" Target="https://doi.org/10.1016/j.hal.2011.10.027" TargetMode="External" /><Relationship Type="http://schemas.openxmlformats.org/officeDocument/2006/relationships/hyperlink" Id="rId136" Target="https://doi.org/10.1016/j.jhazmat.2021.128056" TargetMode="External" /><Relationship Type="http://schemas.openxmlformats.org/officeDocument/2006/relationships/hyperlink" Id="rId62" Target="https://doi.org/10.1016/j.jhazmat.2025.140118" TargetMode="External" /><Relationship Type="http://schemas.openxmlformats.org/officeDocument/2006/relationships/hyperlink" Id="rId108" Target="https://doi.org/10.1016/j.watres.2010.09.018" TargetMode="External" /><Relationship Type="http://schemas.openxmlformats.org/officeDocument/2006/relationships/hyperlink" Id="rId106" Target="https://doi.org/10.1016/j.watres.2011.08.002" TargetMode="External" /><Relationship Type="http://schemas.openxmlformats.org/officeDocument/2006/relationships/hyperlink" Id="rId122" Target="https://doi.org/10.1016/j.watres.2014.09.038" TargetMode="External" /><Relationship Type="http://schemas.openxmlformats.org/officeDocument/2006/relationships/hyperlink" Id="rId142" Target="https://doi.org/10.1016/j.watres.2015.06.038" TargetMode="External" /><Relationship Type="http://schemas.openxmlformats.org/officeDocument/2006/relationships/hyperlink" Id="rId116" Target="https://doi.org/10.1016/j.watres.2020.115959" TargetMode="External" /><Relationship Type="http://schemas.openxmlformats.org/officeDocument/2006/relationships/hyperlink" Id="rId124" Target="https://doi.org/10.1016/j.watres.2021.116848" TargetMode="External" /><Relationship Type="http://schemas.openxmlformats.org/officeDocument/2006/relationships/hyperlink" Id="rId114" Target="https://doi.org/10.1016/j.watres.2022.118573" TargetMode="External" /><Relationship Type="http://schemas.openxmlformats.org/officeDocument/2006/relationships/hyperlink" Id="rId144" Target="https://doi.org/10.1016/j.watres.2023.119807" TargetMode="External" /><Relationship Type="http://schemas.openxmlformats.org/officeDocument/2006/relationships/hyperlink" Id="rId94" Target="https://doi.org/10.1016/j.watres.2024.121122" TargetMode="External" /><Relationship Type="http://schemas.openxmlformats.org/officeDocument/2006/relationships/hyperlink" Id="rId120" Target="https://doi.org/10.1016/s1001-0742(10)60367-1" TargetMode="External" /><Relationship Type="http://schemas.openxmlformats.org/officeDocument/2006/relationships/hyperlink" Id="rId110" Target="https://doi.org/10.1021/acs.est.0c06653" TargetMode="External" /><Relationship Type="http://schemas.openxmlformats.org/officeDocument/2006/relationships/hyperlink" Id="rId83" Target="https://doi.org/10.1038/s41579-018-0040-1" TargetMode="External" /><Relationship Type="http://schemas.openxmlformats.org/officeDocument/2006/relationships/hyperlink" Id="rId79" Target="https://doi.org/10.1038/s41586-021-03254-3" TargetMode="External" /><Relationship Type="http://schemas.openxmlformats.org/officeDocument/2006/relationships/hyperlink" Id="rId134" Target="https://doi.org/10.1038/s43017-020-0067-5" TargetMode="External" /><Relationship Type="http://schemas.openxmlformats.org/officeDocument/2006/relationships/hyperlink" Id="rId118" Target="https://doi.org/10.1080/07388550500248498" TargetMode="External" /><Relationship Type="http://schemas.openxmlformats.org/officeDocument/2006/relationships/hyperlink" Id="rId128" Target="https://doi.org/10.1080/07438148409354521" TargetMode="External" /><Relationship Type="http://schemas.openxmlformats.org/officeDocument/2006/relationships/hyperlink" Id="rId96" Target="https://doi.org/10.1093/plankt/fbq033" TargetMode="External" /><Relationship Type="http://schemas.openxmlformats.org/officeDocument/2006/relationships/hyperlink" Id="rId104" Target="https://doi.org/10.1100/tsw.2001.16" TargetMode="External" /><Relationship Type="http://schemas.openxmlformats.org/officeDocument/2006/relationships/hyperlink" Id="rId89" Target="https://doi.org/10.1111/j.1365-2427.2006.01689.x" TargetMode="External" /><Relationship Type="http://schemas.openxmlformats.org/officeDocument/2006/relationships/hyperlink" Id="rId87" Target="https://doi.org/10.1111/j.1365-2486.2011.02488.x" TargetMode="External" /><Relationship Type="http://schemas.openxmlformats.org/officeDocument/2006/relationships/hyperlink" Id="rId140" Target="https://doi.org/10.1126/science.319.5860.158a" TargetMode="External" /><Relationship Type="http://schemas.openxmlformats.org/officeDocument/2006/relationships/hyperlink" Id="rId85" Target="https://doi.org/10.1128/aem.02250-06" TargetMode="External" /><Relationship Type="http://schemas.openxmlformats.org/officeDocument/2006/relationships/hyperlink" Id="rId71" Target="https://doi.org/10.1289/ehp.01109663" TargetMode="External" /><Relationship Type="http://schemas.openxmlformats.org/officeDocument/2006/relationships/hyperlink" Id="rId75" Target="https://doi.org/10.2166/wpt.2022.167" TargetMode="External" /><Relationship Type="http://schemas.openxmlformats.org/officeDocument/2006/relationships/hyperlink" Id="rId67" Target="https://doi.org/10.2166/wst.1992.0060" TargetMode="External" /><Relationship Type="http://schemas.openxmlformats.org/officeDocument/2006/relationships/hyperlink" Id="rId130" Target="https://doi.org/10.2166/wst.2007.184" TargetMode="External" /><Relationship Type="http://schemas.openxmlformats.org/officeDocument/2006/relationships/hyperlink" Id="rId132" Target="https://doi.org/10.2216/i0031-8884-42-4-332.1" TargetMode="External" /><Relationship Type="http://schemas.openxmlformats.org/officeDocument/2006/relationships/hyperlink" Id="rId112" Target="https://doi.org/10.3389/fevo.2023.1216567" TargetMode="External" /><Relationship Type="http://schemas.openxmlformats.org/officeDocument/2006/relationships/hyperlink" Id="rId77" Target="https://doi.org/10.3389/frwa.2023.1084050" TargetMode="External" /><Relationship Type="http://schemas.openxmlformats.org/officeDocument/2006/relationships/hyperlink" Id="rId138" Target="https://doi.org/10.4319/lo.2010.55.1.0420" TargetMode="External" /><Relationship Type="http://schemas.openxmlformats.org/officeDocument/2006/relationships/hyperlink" Id="rId69"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46" Target="https://doi.org/10.1007/978-94-017-8944-8_29" TargetMode="External" /><Relationship Type="http://schemas.openxmlformats.org/officeDocument/2006/relationships/hyperlink" Id="rId64" Target="https://doi.org/10.1007/s00018-003-2079-y" TargetMode="External" /><Relationship Type="http://schemas.openxmlformats.org/officeDocument/2006/relationships/hyperlink" Id="rId100" Target="https://doi.org/10.1007/s10661-021-08980-9" TargetMode="External" /><Relationship Type="http://schemas.openxmlformats.org/officeDocument/2006/relationships/hyperlink" Id="rId126" Target="https://doi.org/10.1007/s11783-013-0577-1" TargetMode="External" /><Relationship Type="http://schemas.openxmlformats.org/officeDocument/2006/relationships/hyperlink" Id="rId73" Target="https://doi.org/10.1016/j.ecss.2016.01.043" TargetMode="External" /><Relationship Type="http://schemas.openxmlformats.org/officeDocument/2006/relationships/hyperlink" Id="rId98" Target="https://doi.org/10.1016/j.envint.2013.06.013" TargetMode="External" /><Relationship Type="http://schemas.openxmlformats.org/officeDocument/2006/relationships/hyperlink" Id="rId81" Target="https://doi.org/10.1016/j.hal.2008.08.006" TargetMode="External" /><Relationship Type="http://schemas.openxmlformats.org/officeDocument/2006/relationships/hyperlink" Id="rId91" Target="https://doi.org/10.1016/j.hal.2010.03.003" TargetMode="External" /><Relationship Type="http://schemas.openxmlformats.org/officeDocument/2006/relationships/hyperlink" Id="rId102" Target="https://doi.org/10.1016/j.hal.2011.10.027" TargetMode="External" /><Relationship Type="http://schemas.openxmlformats.org/officeDocument/2006/relationships/hyperlink" Id="rId136" Target="https://doi.org/10.1016/j.jhazmat.2021.128056" TargetMode="External" /><Relationship Type="http://schemas.openxmlformats.org/officeDocument/2006/relationships/hyperlink" Id="rId62" Target="https://doi.org/10.1016/j.jhazmat.2025.140118" TargetMode="External" /><Relationship Type="http://schemas.openxmlformats.org/officeDocument/2006/relationships/hyperlink" Id="rId108" Target="https://doi.org/10.1016/j.watres.2010.09.018" TargetMode="External" /><Relationship Type="http://schemas.openxmlformats.org/officeDocument/2006/relationships/hyperlink" Id="rId106" Target="https://doi.org/10.1016/j.watres.2011.08.002" TargetMode="External" /><Relationship Type="http://schemas.openxmlformats.org/officeDocument/2006/relationships/hyperlink" Id="rId122" Target="https://doi.org/10.1016/j.watres.2014.09.038" TargetMode="External" /><Relationship Type="http://schemas.openxmlformats.org/officeDocument/2006/relationships/hyperlink" Id="rId142" Target="https://doi.org/10.1016/j.watres.2015.06.038" TargetMode="External" /><Relationship Type="http://schemas.openxmlformats.org/officeDocument/2006/relationships/hyperlink" Id="rId116" Target="https://doi.org/10.1016/j.watres.2020.115959" TargetMode="External" /><Relationship Type="http://schemas.openxmlformats.org/officeDocument/2006/relationships/hyperlink" Id="rId124" Target="https://doi.org/10.1016/j.watres.2021.116848" TargetMode="External" /><Relationship Type="http://schemas.openxmlformats.org/officeDocument/2006/relationships/hyperlink" Id="rId114" Target="https://doi.org/10.1016/j.watres.2022.118573" TargetMode="External" /><Relationship Type="http://schemas.openxmlformats.org/officeDocument/2006/relationships/hyperlink" Id="rId144" Target="https://doi.org/10.1016/j.watres.2023.119807" TargetMode="External" /><Relationship Type="http://schemas.openxmlformats.org/officeDocument/2006/relationships/hyperlink" Id="rId94" Target="https://doi.org/10.1016/j.watres.2024.121122" TargetMode="External" /><Relationship Type="http://schemas.openxmlformats.org/officeDocument/2006/relationships/hyperlink" Id="rId120" Target="https://doi.org/10.1016/s1001-0742(10)60367-1" TargetMode="External" /><Relationship Type="http://schemas.openxmlformats.org/officeDocument/2006/relationships/hyperlink" Id="rId110" Target="https://doi.org/10.1021/acs.est.0c06653" TargetMode="External" /><Relationship Type="http://schemas.openxmlformats.org/officeDocument/2006/relationships/hyperlink" Id="rId83" Target="https://doi.org/10.1038/s41579-018-0040-1" TargetMode="External" /><Relationship Type="http://schemas.openxmlformats.org/officeDocument/2006/relationships/hyperlink" Id="rId79" Target="https://doi.org/10.1038/s41586-021-03254-3" TargetMode="External" /><Relationship Type="http://schemas.openxmlformats.org/officeDocument/2006/relationships/hyperlink" Id="rId134" Target="https://doi.org/10.1038/s43017-020-0067-5" TargetMode="External" /><Relationship Type="http://schemas.openxmlformats.org/officeDocument/2006/relationships/hyperlink" Id="rId118" Target="https://doi.org/10.1080/07388550500248498" TargetMode="External" /><Relationship Type="http://schemas.openxmlformats.org/officeDocument/2006/relationships/hyperlink" Id="rId128" Target="https://doi.org/10.1080/07438148409354521" TargetMode="External" /><Relationship Type="http://schemas.openxmlformats.org/officeDocument/2006/relationships/hyperlink" Id="rId96" Target="https://doi.org/10.1093/plankt/fbq033" TargetMode="External" /><Relationship Type="http://schemas.openxmlformats.org/officeDocument/2006/relationships/hyperlink" Id="rId104" Target="https://doi.org/10.1100/tsw.2001.16" TargetMode="External" /><Relationship Type="http://schemas.openxmlformats.org/officeDocument/2006/relationships/hyperlink" Id="rId89" Target="https://doi.org/10.1111/j.1365-2427.2006.01689.x" TargetMode="External" /><Relationship Type="http://schemas.openxmlformats.org/officeDocument/2006/relationships/hyperlink" Id="rId87" Target="https://doi.org/10.1111/j.1365-2486.2011.02488.x" TargetMode="External" /><Relationship Type="http://schemas.openxmlformats.org/officeDocument/2006/relationships/hyperlink" Id="rId140" Target="https://doi.org/10.1126/science.319.5860.158a" TargetMode="External" /><Relationship Type="http://schemas.openxmlformats.org/officeDocument/2006/relationships/hyperlink" Id="rId85" Target="https://doi.org/10.1128/aem.02250-06" TargetMode="External" /><Relationship Type="http://schemas.openxmlformats.org/officeDocument/2006/relationships/hyperlink" Id="rId71" Target="https://doi.org/10.1289/ehp.01109663" TargetMode="External" /><Relationship Type="http://schemas.openxmlformats.org/officeDocument/2006/relationships/hyperlink" Id="rId75" Target="https://doi.org/10.2166/wpt.2022.167" TargetMode="External" /><Relationship Type="http://schemas.openxmlformats.org/officeDocument/2006/relationships/hyperlink" Id="rId67" Target="https://doi.org/10.2166/wst.1992.0060" TargetMode="External" /><Relationship Type="http://schemas.openxmlformats.org/officeDocument/2006/relationships/hyperlink" Id="rId130" Target="https://doi.org/10.2166/wst.2007.184" TargetMode="External" /><Relationship Type="http://schemas.openxmlformats.org/officeDocument/2006/relationships/hyperlink" Id="rId132" Target="https://doi.org/10.2216/i0031-8884-42-4-332.1" TargetMode="External" /><Relationship Type="http://schemas.openxmlformats.org/officeDocument/2006/relationships/hyperlink" Id="rId112" Target="https://doi.org/10.3389/fevo.2023.1216567" TargetMode="External" /><Relationship Type="http://schemas.openxmlformats.org/officeDocument/2006/relationships/hyperlink" Id="rId77" Target="https://doi.org/10.3389/frwa.2023.1084050" TargetMode="External" /><Relationship Type="http://schemas.openxmlformats.org/officeDocument/2006/relationships/hyperlink" Id="rId138" Target="https://doi.org/10.4319/lo.2010.55.1.0420" TargetMode="External" /><Relationship Type="http://schemas.openxmlformats.org/officeDocument/2006/relationships/hyperlink" Id="rId69"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2025-12-30T04:51:13Z</dcterms:created>
  <dcterms:modified xsi:type="dcterms:W3CDTF">2025-12-30T04:51:13Z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