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6.png" ContentType="image/png"/>
  <Override PartName="/word/media/rId51.png" ContentType="image/png"/>
  <Override PartName="/word/media/rId29.png" ContentType="image/png"/>
  <Override PartName="/word/media/rId60.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6"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189 locations. Measured concentrations spanned over four orders of magnitude, ranging from below detection limits to a maximum of 7100 ng L</w:t>
      </w:r>
      <w:r>
        <w:rPr>
          <w:vertAlign w:val="superscript"/>
        </w:rPr>
        <w:t xml:space="preserve">-1</w:t>
      </w:r>
      <w:r>
        <w:t xml:space="preserve">, recorded at a site in Zhejiang Province. Overall, 14.5%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7"/>
        </w:tc>
      </w:tr>
    </w:tbl>
    <w:bookmarkEnd w:id="38"/>
    <w:bookmarkStart w:id="39"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39"/>
    <w:bookmarkStart w:id="40"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0"/>
    <w:bookmarkStart w:id="45"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4" w:name="fig-gsmepisodes"/>
          <w:p>
            <w:pPr>
              <w:pStyle w:val="Compact"/>
              <w:jc w:val="center"/>
            </w:pPr>
            <w:r>
              <w:drawing>
                <wp:inline>
                  <wp:extent cx="3451860" cy="3655340"/>
                  <wp:effectExtent b="0" l="0" r="0" t="0"/>
                  <wp:docPr descr="" title="" id="42" name="Picture"/>
                  <a:graphic>
                    <a:graphicData uri="http://schemas.openxmlformats.org/drawingml/2006/picture">
                      <pic:pic>
                        <pic:nvPicPr>
                          <pic:cNvPr descr="../figures/gsmepisodes_revised.png" id="43" name="Picture"/>
                          <pic:cNvPicPr>
                            <a:picLocks noChangeArrowheads="1" noChangeAspect="1"/>
                          </pic:cNvPicPr>
                        </pic:nvPicPr>
                        <pic:blipFill>
                          <a:blip r:embed="rId41"/>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4"/>
        </w:tc>
      </w:tr>
    </w:tbl>
    <w:bookmarkEnd w:id="45"/>
    <w:bookmarkStart w:id="50"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49" w:name="fig-lag"/>
          <w:p>
            <w:pPr>
              <w:pStyle w:val="Compact"/>
              <w:jc w:val="center"/>
            </w:pPr>
            <w:r>
              <w:drawing>
                <wp:inline>
                  <wp:extent cx="4027170" cy="6039689"/>
                  <wp:effectExtent b="0" l="0" r="0" t="0"/>
                  <wp:docPr descr="" title="" id="47" name="Picture"/>
                  <a:graphic>
                    <a:graphicData uri="http://schemas.openxmlformats.org/drawingml/2006/picture">
                      <pic:pic>
                        <pic:nvPicPr>
                          <pic:cNvPr descr="../figures/lag_revised.png" id="48" name="Picture"/>
                          <pic:cNvPicPr>
                            <a:picLocks noChangeArrowheads="1" noChangeAspect="1"/>
                          </pic:cNvPicPr>
                        </pic:nvPicPr>
                        <pic:blipFill>
                          <a:blip r:embed="rId46"/>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49"/>
        </w:tc>
      </w:tr>
    </w:tbl>
    <w:bookmarkEnd w:id="50"/>
    <w:bookmarkStart w:id="55" w:name="X62752fdce27d0c40031c6e6579a30488a5c9d78"/>
    <w:p>
      <w:pPr>
        <w:pStyle w:val="Heading2"/>
      </w:pPr>
      <w:r>
        <w:t xml:space="preserve">Ammonia as a Key Environmental Driver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4" w:name="fig-mech"/>
          <w:p>
            <w:pPr>
              <w:pStyle w:val="Compact"/>
              <w:jc w:val="center"/>
            </w:pPr>
            <w:r>
              <w:drawing>
                <wp:inline>
                  <wp:extent cx="4027170" cy="4245072"/>
                  <wp:effectExtent b="0" l="0" r="0" t="0"/>
                  <wp:docPr descr="" title="" id="52" name="Picture"/>
                  <a:graphic>
                    <a:graphicData uri="http://schemas.openxmlformats.org/drawingml/2006/picture">
                      <pic:pic>
                        <pic:nvPicPr>
                          <pic:cNvPr descr="../figures/mech_revised.png" id="53" name="Picture"/>
                          <pic:cNvPicPr>
                            <a:picLocks noChangeArrowheads="1" noChangeAspect="1"/>
                          </pic:cNvPicPr>
                        </pic:nvPicPr>
                        <pic:blipFill>
                          <a:blip r:embed="rId51"/>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4"/>
        </w:tc>
      </w:tr>
    </w:tbl>
    <w:bookmarkEnd w:id="55"/>
    <w:bookmarkEnd w:id="56"/>
    <w:bookmarkStart w:id="65" w:name="discussion"/>
    <w:p>
      <w:pPr>
        <w:pStyle w:val="Heading1"/>
      </w:pPr>
      <w:r>
        <w:t xml:space="preserve">Discussion</w:t>
      </w:r>
    </w:p>
    <w:bookmarkStart w:id="57"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14.5%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57"/>
    <w:bookmarkStart w:id="58"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58"/>
    <w:bookmarkStart w:id="59"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59"/>
    <w:bookmarkStart w:id="64"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63" w:name="fig-sketch"/>
          <w:p>
            <w:pPr>
              <w:pStyle w:val="Compact"/>
              <w:jc w:val="center"/>
            </w:pPr>
            <w:r>
              <w:drawing>
                <wp:inline>
                  <wp:extent cx="4602480" cy="1890488"/>
                  <wp:effectExtent b="0" l="0" r="0" t="0"/>
                  <wp:docPr descr="" title="" id="61" name="Picture"/>
                  <a:graphic>
                    <a:graphicData uri="http://schemas.openxmlformats.org/drawingml/2006/picture">
                      <pic:pic>
                        <pic:nvPicPr>
                          <pic:cNvPr descr="../figures/sketch_revised.png" id="62" name="Picture"/>
                          <pic:cNvPicPr>
                            <a:picLocks noChangeArrowheads="1" noChangeAspect="1"/>
                          </pic:cNvPicPr>
                        </pic:nvPicPr>
                        <pic:blipFill>
                          <a:blip r:embed="rId60"/>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sketch of geosmin producer</w:t>
            </w:r>
          </w:p>
          <w:bookmarkEnd w:id="63"/>
        </w:tc>
      </w:tr>
    </w:tbl>
    <w:bookmarkEnd w:id="64"/>
    <w:bookmarkEnd w:id="65"/>
    <w:bookmarkStart w:id="66" w:name="conclusions"/>
    <w:p>
      <w:pPr>
        <w:pStyle w:val="Heading1"/>
      </w:pPr>
      <w:r>
        <w:t xml:space="preserve">Conclusions</w:t>
      </w:r>
    </w:p>
    <w:bookmarkEnd w:id="66"/>
    <w:bookmarkStart w:id="6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7"/>
    <w:bookmarkStart w:id="155" w:name="references"/>
    <w:p>
      <w:pPr>
        <w:pStyle w:val="Heading1"/>
      </w:pPr>
      <w:r>
        <w:t xml:space="preserve">References</w:t>
      </w:r>
    </w:p>
    <w:bookmarkStart w:id="154" w:name="refs"/>
    <w:bookmarkStart w:id="69"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8">
        <w:r>
          <w:rPr>
            <w:rStyle w:val="Hyperlink"/>
          </w:rPr>
          <w:t xml:space="preserve">https://doi.org/10.1016/j.jhazmat.2025.140118</w:t>
        </w:r>
      </w:hyperlink>
    </w:p>
    <w:bookmarkEnd w:id="69"/>
    <w:bookmarkStart w:id="71"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0">
        <w:r>
          <w:rPr>
            <w:rStyle w:val="Hyperlink"/>
          </w:rPr>
          <w:t xml:space="preserve">https://doi.org/10.1007/s00018-003-2079-y</w:t>
        </w:r>
      </w:hyperlink>
    </w:p>
    <w:bookmarkEnd w:id="71"/>
    <w:bookmarkStart w:id="72" w:name="ref-american2010algae"/>
    <w:p>
      <w:pPr>
        <w:pStyle w:val="Bibliography"/>
      </w:pPr>
      <w:r>
        <w:t xml:space="preserve">AWWA, A.W.W.A., 2010. Algae: Source to treatment. American Water Works Association.</w:t>
      </w:r>
    </w:p>
    <w:bookmarkEnd w:id="72"/>
    <w:bookmarkStart w:id="74"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3">
        <w:r>
          <w:rPr>
            <w:rStyle w:val="Hyperlink"/>
          </w:rPr>
          <w:t xml:space="preserve">https://doi.org/10.2166/wst.1992.0060</w:t>
        </w:r>
      </w:hyperlink>
    </w:p>
    <w:bookmarkEnd w:id="74"/>
    <w:bookmarkStart w:id="76" w:name="ref-burlingame2017humans"/>
    <w:p>
      <w:pPr>
        <w:pStyle w:val="Bibliography"/>
      </w:pPr>
      <w:r>
        <w:t xml:space="preserve">Burlingame, G.A., Doty, R.L., Dietrich, A.M., 2017. Humans as sensors to evaluate drinking water taste and odor: A review. Journal AWWA 109, 13–24.</w:t>
      </w:r>
      <w:r>
        <w:t xml:space="preserve"> </w:t>
      </w:r>
      <w:hyperlink r:id="rId75">
        <w:r>
          <w:rPr>
            <w:rStyle w:val="Hyperlink"/>
          </w:rPr>
          <w:t xml:space="preserve">https://doi.org/10.5942/jawwa.2017.109.0118</w:t>
        </w:r>
      </w:hyperlink>
    </w:p>
    <w:bookmarkEnd w:id="76"/>
    <w:bookmarkStart w:id="7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7">
        <w:r>
          <w:rPr>
            <w:rStyle w:val="Hyperlink"/>
          </w:rPr>
          <w:t xml:space="preserve">https://doi.org/10.1289/ehp.01109663</w:t>
        </w:r>
      </w:hyperlink>
    </w:p>
    <w:bookmarkEnd w:id="78"/>
    <w:bookmarkStart w:id="8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9">
        <w:r>
          <w:rPr>
            <w:rStyle w:val="Hyperlink"/>
          </w:rPr>
          <w:t xml:space="preserve">https://doi.org/10.1016/j.ecss.2016.01.043</w:t>
        </w:r>
      </w:hyperlink>
    </w:p>
    <w:bookmarkEnd w:id="80"/>
    <w:bookmarkStart w:id="8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1">
        <w:r>
          <w:rPr>
            <w:rStyle w:val="Hyperlink"/>
          </w:rPr>
          <w:t xml:space="preserve">https://doi.org/10.2166/wpt.2022.167</w:t>
        </w:r>
      </w:hyperlink>
    </w:p>
    <w:bookmarkEnd w:id="82"/>
    <w:bookmarkStart w:id="84" w:name="ref-dordoni2023a"/>
    <w:p>
      <w:pPr>
        <w:pStyle w:val="Bibliography"/>
      </w:pPr>
      <w:r>
        <w:t xml:space="preserve">Dordoni, M., Zappalà, P., Barth, J.A.C., 2023. A preliminary global hydrochemical comparison of lakes and reservoirs. Frontiers in Water 5.</w:t>
      </w:r>
      <w:r>
        <w:t xml:space="preserve"> </w:t>
      </w:r>
      <w:hyperlink r:id="rId83">
        <w:r>
          <w:rPr>
            <w:rStyle w:val="Hyperlink"/>
          </w:rPr>
          <w:t xml:space="preserve">https://doi.org/10.3389/frwa.2023.1084050</w:t>
        </w:r>
      </w:hyperlink>
    </w:p>
    <w:bookmarkEnd w:id="84"/>
    <w:bookmarkStart w:id="86" w:name="ref-feng2021concerns"/>
    <w:p>
      <w:pPr>
        <w:pStyle w:val="Bibliography"/>
      </w:pPr>
      <w:r>
        <w:t xml:space="preserve">Feng, L., Dai, Y., Hou, X., Xu, Y., Liu, J., Zheng, C., 2021. Concerns about phytoplankton bloom trends in global lakes. Nature 590, E35–E47.</w:t>
      </w:r>
      <w:r>
        <w:t xml:space="preserve"> </w:t>
      </w:r>
      <w:hyperlink r:id="rId85">
        <w:r>
          <w:rPr>
            <w:rStyle w:val="Hyperlink"/>
          </w:rPr>
          <w:t xml:space="preserve">https://doi.org/10.1038/s41586-021-03254-3</w:t>
        </w:r>
      </w:hyperlink>
    </w:p>
    <w:bookmarkEnd w:id="86"/>
    <w:bookmarkStart w:id="88"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7">
        <w:r>
          <w:rPr>
            <w:rStyle w:val="Hyperlink"/>
          </w:rPr>
          <w:t xml:space="preserve">https://doi.org/10.1016/j.hal.2008.08.006</w:t>
        </w:r>
      </w:hyperlink>
    </w:p>
    <w:bookmarkEnd w:id="88"/>
    <w:bookmarkStart w:id="90" w:name="ref-huisman2018cyanobacterial"/>
    <w:p>
      <w:pPr>
        <w:pStyle w:val="Bibliography"/>
      </w:pPr>
      <w:r>
        <w:t xml:space="preserve">Huisman, J., Codd, G.A., Paerl, H.W., Ibelings, B.W., Verspagen, J.M.H., Visser, P.M., 2018. Cyanobacterial blooms. Nature Reviews Microbiology 16, 471–483.</w:t>
      </w:r>
      <w:r>
        <w:t xml:space="preserve"> </w:t>
      </w:r>
      <w:hyperlink r:id="rId89">
        <w:r>
          <w:rPr>
            <w:rStyle w:val="Hyperlink"/>
          </w:rPr>
          <w:t xml:space="preserve">https://doi.org/10.1038/s41579-018-0040-1</w:t>
        </w:r>
      </w:hyperlink>
    </w:p>
    <w:bookmarkEnd w:id="90"/>
    <w:bookmarkStart w:id="92"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91">
        <w:r>
          <w:rPr>
            <w:rStyle w:val="Hyperlink"/>
          </w:rPr>
          <w:t xml:space="preserve">https://doi.org/10.1128/aem.02250-06</w:t>
        </w:r>
      </w:hyperlink>
    </w:p>
    <w:bookmarkEnd w:id="92"/>
    <w:bookmarkStart w:id="94"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93">
        <w:r>
          <w:rPr>
            <w:rStyle w:val="Hyperlink"/>
          </w:rPr>
          <w:t xml:space="preserve">https://doi.org/10.1111/j.1365-2486.2011.02488.x</w:t>
        </w:r>
      </w:hyperlink>
    </w:p>
    <w:bookmarkEnd w:id="94"/>
    <w:bookmarkStart w:id="96"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95">
        <w:r>
          <w:rPr>
            <w:rStyle w:val="Hyperlink"/>
          </w:rPr>
          <w:t xml:space="preserve">https://doi.org/10.1111/j.1365-2427.2006.01689.x</w:t>
        </w:r>
      </w:hyperlink>
    </w:p>
    <w:bookmarkEnd w:id="96"/>
    <w:bookmarkStart w:id="98"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7">
        <w:r>
          <w:rPr>
            <w:rStyle w:val="Hyperlink"/>
          </w:rPr>
          <w:t xml:space="preserve">https://doi.org/10.1016/j.hal.2010.03.003</w:t>
        </w:r>
      </w:hyperlink>
    </w:p>
    <w:bookmarkEnd w:id="98"/>
    <w:bookmarkStart w:id="99" w:name="ref-lin2018taste"/>
    <w:p>
      <w:pPr>
        <w:pStyle w:val="Bibliography"/>
      </w:pPr>
      <w:r>
        <w:t xml:space="preserve">Lin, T.-F., Watson, S., Suffet, I.H.M., 2018. Taste and odour in source and drinking water: Causes, controls, and consequences. IWA Publishing.</w:t>
      </w:r>
    </w:p>
    <w:bookmarkEnd w:id="99"/>
    <w:bookmarkStart w:id="101"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00">
        <w:r>
          <w:rPr>
            <w:rStyle w:val="Hyperlink"/>
          </w:rPr>
          <w:t xml:space="preserve">https://doi.org/10.1016/j.watres.2024.121122</w:t>
        </w:r>
      </w:hyperlink>
    </w:p>
    <w:bookmarkEnd w:id="101"/>
    <w:bookmarkStart w:id="103"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02">
        <w:r>
          <w:rPr>
            <w:rStyle w:val="Hyperlink"/>
          </w:rPr>
          <w:t xml:space="preserve">https://doi.org/10.1093/plankt/fbq033</w:t>
        </w:r>
      </w:hyperlink>
    </w:p>
    <w:bookmarkEnd w:id="103"/>
    <w:bookmarkStart w:id="105"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04">
        <w:r>
          <w:rPr>
            <w:rStyle w:val="Hyperlink"/>
          </w:rPr>
          <w:t xml:space="preserve">https://doi.org/10.1016/j.envint.2013.06.013</w:t>
        </w:r>
      </w:hyperlink>
    </w:p>
    <w:bookmarkEnd w:id="105"/>
    <w:bookmarkStart w:id="107"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6">
        <w:r>
          <w:rPr>
            <w:rStyle w:val="Hyperlink"/>
          </w:rPr>
          <w:t xml:space="preserve">https://doi.org/10.1007/s10661-021-08980-9</w:t>
        </w:r>
      </w:hyperlink>
    </w:p>
    <w:bookmarkEnd w:id="107"/>
    <w:bookmarkStart w:id="10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08">
        <w:r>
          <w:rPr>
            <w:rStyle w:val="Hyperlink"/>
          </w:rPr>
          <w:t xml:space="preserve">https://doi.org/10.1016/j.hal.2011.10.027</w:t>
        </w:r>
      </w:hyperlink>
    </w:p>
    <w:bookmarkEnd w:id="109"/>
    <w:bookmarkStart w:id="11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10">
        <w:r>
          <w:rPr>
            <w:rStyle w:val="Hyperlink"/>
          </w:rPr>
          <w:t xml:space="preserve">https://doi.org/10.1100/tsw.2001.16</w:t>
        </w:r>
      </w:hyperlink>
    </w:p>
    <w:bookmarkEnd w:id="111"/>
    <w:bookmarkStart w:id="113" w:name="ref-paerl2012climate"/>
    <w:p>
      <w:pPr>
        <w:pStyle w:val="Bibliography"/>
      </w:pPr>
      <w:r>
        <w:t xml:space="preserve">Paerl, H.W., Paul, V.J., 2012. Climate change: Links to global expansion of harmful cyanobacteria. Water Research 46, 1349–1363.</w:t>
      </w:r>
      <w:r>
        <w:t xml:space="preserve"> </w:t>
      </w:r>
      <w:hyperlink r:id="rId112">
        <w:r>
          <w:rPr>
            <w:rStyle w:val="Hyperlink"/>
          </w:rPr>
          <w:t xml:space="preserve">https://doi.org/10.1016/j.watres.2011.08.002</w:t>
        </w:r>
      </w:hyperlink>
    </w:p>
    <w:bookmarkEnd w:id="113"/>
    <w:bookmarkStart w:id="11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14">
        <w:r>
          <w:rPr>
            <w:rStyle w:val="Hyperlink"/>
          </w:rPr>
          <w:t xml:space="preserve">https://doi.org/10.1016/j.watres.2010.09.018</w:t>
        </w:r>
      </w:hyperlink>
    </w:p>
    <w:bookmarkEnd w:id="115"/>
    <w:bookmarkStart w:id="117" w:name="ref-plaas2020toxic"/>
    <w:p>
      <w:pPr>
        <w:pStyle w:val="Bibliography"/>
      </w:pPr>
      <w:r>
        <w:t xml:space="preserve">Plaas, H.E., Paerl, H.W., 2020. Toxic cyanobacteria: A growing threat to water and air quality. Environmental Science &amp;amp; Technology 55, 44–64.</w:t>
      </w:r>
      <w:r>
        <w:t xml:space="preserve"> </w:t>
      </w:r>
      <w:hyperlink r:id="rId116">
        <w:r>
          <w:rPr>
            <w:rStyle w:val="Hyperlink"/>
          </w:rPr>
          <w:t xml:space="preserve">https://doi.org/10.1021/acs.est.0c06653</w:t>
        </w:r>
      </w:hyperlink>
    </w:p>
    <w:bookmarkEnd w:id="117"/>
    <w:bookmarkStart w:id="119"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18">
        <w:r>
          <w:rPr>
            <w:rStyle w:val="Hyperlink"/>
          </w:rPr>
          <w:t xml:space="preserve">https://doi.org/10.3389/fevo.2023.1216567</w:t>
        </w:r>
      </w:hyperlink>
    </w:p>
    <w:bookmarkEnd w:id="119"/>
    <w:bookmarkStart w:id="12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20">
        <w:r>
          <w:rPr>
            <w:rStyle w:val="Hyperlink"/>
          </w:rPr>
          <w:t xml:space="preserve">https://doi.org/10.1016/j.watres.2022.118573</w:t>
        </w:r>
      </w:hyperlink>
    </w:p>
    <w:bookmarkEnd w:id="121"/>
    <w:bookmarkStart w:id="12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22">
        <w:r>
          <w:rPr>
            <w:rStyle w:val="Hyperlink"/>
          </w:rPr>
          <w:t xml:space="preserve">https://doi.org/10.1016/j.watres.2020.115959</w:t>
        </w:r>
      </w:hyperlink>
    </w:p>
    <w:bookmarkEnd w:id="123"/>
    <w:bookmarkStart w:id="125"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24">
        <w:r>
          <w:rPr>
            <w:rStyle w:val="Hyperlink"/>
          </w:rPr>
          <w:t xml:space="preserve">https://doi.org/10.1080/07388550500248498</w:t>
        </w:r>
      </w:hyperlink>
    </w:p>
    <w:bookmarkEnd w:id="125"/>
    <w:bookmarkStart w:id="127"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6">
        <w:r>
          <w:rPr>
            <w:rStyle w:val="Hyperlink"/>
          </w:rPr>
          <w:t xml:space="preserve">https://doi.org/10.1016/s1001-0742(10)60367-1</w:t>
        </w:r>
      </w:hyperlink>
    </w:p>
    <w:bookmarkEnd w:id="127"/>
    <w:bookmarkStart w:id="12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8">
        <w:r>
          <w:rPr>
            <w:rStyle w:val="Hyperlink"/>
          </w:rPr>
          <w:t xml:space="preserve">https://doi.org/10.1016/j.watres.2014.09.038</w:t>
        </w:r>
      </w:hyperlink>
    </w:p>
    <w:bookmarkEnd w:id="129"/>
    <w:bookmarkStart w:id="131"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30">
        <w:r>
          <w:rPr>
            <w:rStyle w:val="Hyperlink"/>
          </w:rPr>
          <w:t xml:space="preserve">https://doi.org/10.1016/j.watres.2021.116848</w:t>
        </w:r>
      </w:hyperlink>
    </w:p>
    <w:bookmarkEnd w:id="131"/>
    <w:bookmarkStart w:id="13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32">
        <w:r>
          <w:rPr>
            <w:rStyle w:val="Hyperlink"/>
          </w:rPr>
          <w:t xml:space="preserve">https://doi.org/10.1007/s11783-013-0577-1</w:t>
        </w:r>
      </w:hyperlink>
    </w:p>
    <w:bookmarkEnd w:id="133"/>
    <w:bookmarkStart w:id="135" w:name="ref-thornton1984regional"/>
    <w:p>
      <w:pPr>
        <w:pStyle w:val="Bibliography"/>
      </w:pPr>
      <w:r>
        <w:t xml:space="preserve">Thornton, K.W., 1984. REGIONAL COMPARISONS OF LAKES AND RESERVOIRS: GEOLOGY, CLIMATOLOGY, AND MORPHOLOGY. Lake and Reservoir Management 1, 261–265.</w:t>
      </w:r>
      <w:r>
        <w:t xml:space="preserve"> </w:t>
      </w:r>
      <w:hyperlink r:id="rId134">
        <w:r>
          <w:rPr>
            <w:rStyle w:val="Hyperlink"/>
          </w:rPr>
          <w:t xml:space="preserve">https://doi.org/10.1080/07438148409354521</w:t>
        </w:r>
      </w:hyperlink>
    </w:p>
    <w:bookmarkEnd w:id="135"/>
    <w:bookmarkStart w:id="137"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6">
        <w:r>
          <w:rPr>
            <w:rStyle w:val="Hyperlink"/>
          </w:rPr>
          <w:t xml:space="preserve">https://doi.org/10.2166/wst.2007.184</w:t>
        </w:r>
      </w:hyperlink>
    </w:p>
    <w:bookmarkEnd w:id="137"/>
    <w:bookmarkStart w:id="13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38">
        <w:r>
          <w:rPr>
            <w:rStyle w:val="Hyperlink"/>
          </w:rPr>
          <w:t xml:space="preserve">https://doi.org/10.2216/i0031-8884-42-4-332.1</w:t>
        </w:r>
      </w:hyperlink>
    </w:p>
    <w:bookmarkEnd w:id="139"/>
    <w:bookmarkStart w:id="141"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40">
        <w:r>
          <w:rPr>
            <w:rStyle w:val="Hyperlink"/>
          </w:rPr>
          <w:t xml:space="preserve">https://doi.org/10.1038/s43017-020-0067-5</w:t>
        </w:r>
      </w:hyperlink>
    </w:p>
    <w:bookmarkEnd w:id="141"/>
    <w:bookmarkStart w:id="14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42">
        <w:r>
          <w:rPr>
            <w:rStyle w:val="Hyperlink"/>
          </w:rPr>
          <w:t xml:space="preserve">https://doi.org/10.1016/j.jhazmat.2021.128056</w:t>
        </w:r>
      </w:hyperlink>
    </w:p>
    <w:bookmarkEnd w:id="143"/>
    <w:bookmarkStart w:id="14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44">
        <w:r>
          <w:rPr>
            <w:rStyle w:val="Hyperlink"/>
          </w:rPr>
          <w:t xml:space="preserve">https://doi.org/10.4319/lo.2010.55.1.0420</w:t>
        </w:r>
      </w:hyperlink>
    </w:p>
    <w:bookmarkEnd w:id="145"/>
    <w:bookmarkStart w:id="14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6">
        <w:r>
          <w:rPr>
            <w:rStyle w:val="Hyperlink"/>
          </w:rPr>
          <w:t xml:space="preserve">https://doi.org/10.1126/science.319.5860.158a</w:t>
        </w:r>
      </w:hyperlink>
    </w:p>
    <w:bookmarkEnd w:id="147"/>
    <w:bookmarkStart w:id="14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48">
        <w:r>
          <w:rPr>
            <w:rStyle w:val="Hyperlink"/>
          </w:rPr>
          <w:t xml:space="preserve">https://doi.org/10.1016/j.watres.2015.06.038</w:t>
        </w:r>
      </w:hyperlink>
    </w:p>
    <w:bookmarkEnd w:id="149"/>
    <w:bookmarkStart w:id="151"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50">
        <w:r>
          <w:rPr>
            <w:rStyle w:val="Hyperlink"/>
          </w:rPr>
          <w:t xml:space="preserve">https://doi.org/10.1016/j.watres.2023.119807</w:t>
        </w:r>
      </w:hyperlink>
    </w:p>
    <w:bookmarkEnd w:id="151"/>
    <w:bookmarkStart w:id="153" w:name="ref-zohary2014the"/>
    <w:p>
      <w:pPr>
        <w:pStyle w:val="Bibliography"/>
      </w:pPr>
      <w:r>
        <w:t xml:space="preserve">Zohary, T., Gasith, A., 2014. The littoral zone, in: Lake Kinneret. Springer Netherlands, pp. 517–532.</w:t>
      </w:r>
      <w:r>
        <w:t xml:space="preserve"> </w:t>
      </w:r>
      <w:hyperlink r:id="rId152">
        <w:r>
          <w:rPr>
            <w:rStyle w:val="Hyperlink"/>
          </w:rPr>
          <w:t xml:space="preserve">https://doi.org/10.1007/978-94-017-8944-8_29</w:t>
        </w:r>
      </w:hyperlink>
    </w:p>
    <w:bookmarkEnd w:id="153"/>
    <w:bookmarkEnd w:id="154"/>
    <w:bookmarkEnd w:id="15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29" Target="media/rId29.png" /><Relationship Type="http://schemas.openxmlformats.org/officeDocument/2006/relationships/image" Id="rId60" Target="media/rId60.png" /><Relationship Type="http://schemas.openxmlformats.org/officeDocument/2006/relationships/image" Id="rId34" Target="media/rId34.png" /><Relationship Type="http://schemas.openxmlformats.org/officeDocument/2006/relationships/hyperlink" Id="rId152" Target="https://doi.org/10.1007/978-94-017-8944-8_29" TargetMode="External" /><Relationship Type="http://schemas.openxmlformats.org/officeDocument/2006/relationships/hyperlink" Id="rId70" Target="https://doi.org/10.1007/s00018-003-2079-y" TargetMode="External" /><Relationship Type="http://schemas.openxmlformats.org/officeDocument/2006/relationships/hyperlink" Id="rId106" Target="https://doi.org/10.1007/s10661-021-08980-9" TargetMode="External" /><Relationship Type="http://schemas.openxmlformats.org/officeDocument/2006/relationships/hyperlink" Id="rId132"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04" Target="https://doi.org/10.1016/j.envint.2013.06.013" TargetMode="External" /><Relationship Type="http://schemas.openxmlformats.org/officeDocument/2006/relationships/hyperlink" Id="rId87" Target="https://doi.org/10.1016/j.hal.2008.08.006" TargetMode="External" /><Relationship Type="http://schemas.openxmlformats.org/officeDocument/2006/relationships/hyperlink" Id="rId97" Target="https://doi.org/10.1016/j.hal.2010.03.003" TargetMode="External" /><Relationship Type="http://schemas.openxmlformats.org/officeDocument/2006/relationships/hyperlink" Id="rId108" Target="https://doi.org/10.1016/j.hal.2011.10.027" TargetMode="External" /><Relationship Type="http://schemas.openxmlformats.org/officeDocument/2006/relationships/hyperlink" Id="rId142" Target="https://doi.org/10.1016/j.jhazmat.2021.128056" TargetMode="External" /><Relationship Type="http://schemas.openxmlformats.org/officeDocument/2006/relationships/hyperlink" Id="rId68" Target="https://doi.org/10.1016/j.jhazmat.2025.140118" TargetMode="External" /><Relationship Type="http://schemas.openxmlformats.org/officeDocument/2006/relationships/hyperlink" Id="rId114" Target="https://doi.org/10.1016/j.watres.2010.09.018" TargetMode="External" /><Relationship Type="http://schemas.openxmlformats.org/officeDocument/2006/relationships/hyperlink" Id="rId112" Target="https://doi.org/10.1016/j.watres.2011.08.002" TargetMode="External" /><Relationship Type="http://schemas.openxmlformats.org/officeDocument/2006/relationships/hyperlink" Id="rId128" Target="https://doi.org/10.1016/j.watres.2014.09.038" TargetMode="External" /><Relationship Type="http://schemas.openxmlformats.org/officeDocument/2006/relationships/hyperlink" Id="rId148" Target="https://doi.org/10.1016/j.watres.2015.06.038" TargetMode="External" /><Relationship Type="http://schemas.openxmlformats.org/officeDocument/2006/relationships/hyperlink" Id="rId122" Target="https://doi.org/10.1016/j.watres.2020.115959" TargetMode="External" /><Relationship Type="http://schemas.openxmlformats.org/officeDocument/2006/relationships/hyperlink" Id="rId130" Target="https://doi.org/10.1016/j.watres.2021.116848" TargetMode="External" /><Relationship Type="http://schemas.openxmlformats.org/officeDocument/2006/relationships/hyperlink" Id="rId120" Target="https://doi.org/10.1016/j.watres.2022.118573" TargetMode="External" /><Relationship Type="http://schemas.openxmlformats.org/officeDocument/2006/relationships/hyperlink" Id="rId150" Target="https://doi.org/10.1016/j.watres.2023.119807" TargetMode="External" /><Relationship Type="http://schemas.openxmlformats.org/officeDocument/2006/relationships/hyperlink" Id="rId100" Target="https://doi.org/10.1016/j.watres.2024.121122" TargetMode="External" /><Relationship Type="http://schemas.openxmlformats.org/officeDocument/2006/relationships/hyperlink" Id="rId126" Target="https://doi.org/10.1016/s1001-0742(10)60367-1" TargetMode="External" /><Relationship Type="http://schemas.openxmlformats.org/officeDocument/2006/relationships/hyperlink" Id="rId116" Target="https://doi.org/10.1021/acs.est.0c06653" TargetMode="External" /><Relationship Type="http://schemas.openxmlformats.org/officeDocument/2006/relationships/hyperlink" Id="rId8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140" Target="https://doi.org/10.1038/s43017-020-0067-5" TargetMode="External" /><Relationship Type="http://schemas.openxmlformats.org/officeDocument/2006/relationships/hyperlink" Id="rId124"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02" Target="https://doi.org/10.1093/plankt/fbq033" TargetMode="External" /><Relationship Type="http://schemas.openxmlformats.org/officeDocument/2006/relationships/hyperlink" Id="rId110" Target="https://doi.org/10.1100/tsw.2001.16" TargetMode="External" /><Relationship Type="http://schemas.openxmlformats.org/officeDocument/2006/relationships/hyperlink" Id="rId95" Target="https://doi.org/10.1111/j.1365-2427.2006.01689.x" TargetMode="External" /><Relationship Type="http://schemas.openxmlformats.org/officeDocument/2006/relationships/hyperlink" Id="rId93" Target="https://doi.org/10.1111/j.1365-2486.2011.02488.x" TargetMode="External" /><Relationship Type="http://schemas.openxmlformats.org/officeDocument/2006/relationships/hyperlink" Id="rId146" Target="https://doi.org/10.1126/science.319.5860.158a" TargetMode="External" /><Relationship Type="http://schemas.openxmlformats.org/officeDocument/2006/relationships/hyperlink" Id="rId91"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3" Target="https://doi.org/10.2166/wst.1992.0060" TargetMode="External" /><Relationship Type="http://schemas.openxmlformats.org/officeDocument/2006/relationships/hyperlink" Id="rId136" Target="https://doi.org/10.2166/wst.2007.184" TargetMode="External" /><Relationship Type="http://schemas.openxmlformats.org/officeDocument/2006/relationships/hyperlink" Id="rId138" Target="https://doi.org/10.2216/i0031-8884-42-4-332.1" TargetMode="External" /><Relationship Type="http://schemas.openxmlformats.org/officeDocument/2006/relationships/hyperlink" Id="rId118" Target="https://doi.org/10.3389/fevo.2023.1216567" TargetMode="External" /><Relationship Type="http://schemas.openxmlformats.org/officeDocument/2006/relationships/hyperlink" Id="rId83" Target="https://doi.org/10.3389/frwa.2023.1084050" TargetMode="External" /><Relationship Type="http://schemas.openxmlformats.org/officeDocument/2006/relationships/hyperlink" Id="rId144" Target="https://doi.org/10.4319/lo.2010.55.1.0420" TargetMode="External" /><Relationship Type="http://schemas.openxmlformats.org/officeDocument/2006/relationships/hyperlink" Id="rId7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52" Target="https://doi.org/10.1007/978-94-017-8944-8_29" TargetMode="External" /><Relationship Type="http://schemas.openxmlformats.org/officeDocument/2006/relationships/hyperlink" Id="rId70" Target="https://doi.org/10.1007/s00018-003-2079-y" TargetMode="External" /><Relationship Type="http://schemas.openxmlformats.org/officeDocument/2006/relationships/hyperlink" Id="rId106" Target="https://doi.org/10.1007/s10661-021-08980-9" TargetMode="External" /><Relationship Type="http://schemas.openxmlformats.org/officeDocument/2006/relationships/hyperlink" Id="rId132" Target="https://doi.org/10.1007/s11783-013-0577-1" TargetMode="External" /><Relationship Type="http://schemas.openxmlformats.org/officeDocument/2006/relationships/hyperlink" Id="rId79" Target="https://doi.org/10.1016/j.ecss.2016.01.043" TargetMode="External" /><Relationship Type="http://schemas.openxmlformats.org/officeDocument/2006/relationships/hyperlink" Id="rId104" Target="https://doi.org/10.1016/j.envint.2013.06.013" TargetMode="External" /><Relationship Type="http://schemas.openxmlformats.org/officeDocument/2006/relationships/hyperlink" Id="rId87" Target="https://doi.org/10.1016/j.hal.2008.08.006" TargetMode="External" /><Relationship Type="http://schemas.openxmlformats.org/officeDocument/2006/relationships/hyperlink" Id="rId97" Target="https://doi.org/10.1016/j.hal.2010.03.003" TargetMode="External" /><Relationship Type="http://schemas.openxmlformats.org/officeDocument/2006/relationships/hyperlink" Id="rId108" Target="https://doi.org/10.1016/j.hal.2011.10.027" TargetMode="External" /><Relationship Type="http://schemas.openxmlformats.org/officeDocument/2006/relationships/hyperlink" Id="rId142" Target="https://doi.org/10.1016/j.jhazmat.2021.128056" TargetMode="External" /><Relationship Type="http://schemas.openxmlformats.org/officeDocument/2006/relationships/hyperlink" Id="rId68" Target="https://doi.org/10.1016/j.jhazmat.2025.140118" TargetMode="External" /><Relationship Type="http://schemas.openxmlformats.org/officeDocument/2006/relationships/hyperlink" Id="rId114" Target="https://doi.org/10.1016/j.watres.2010.09.018" TargetMode="External" /><Relationship Type="http://schemas.openxmlformats.org/officeDocument/2006/relationships/hyperlink" Id="rId112" Target="https://doi.org/10.1016/j.watres.2011.08.002" TargetMode="External" /><Relationship Type="http://schemas.openxmlformats.org/officeDocument/2006/relationships/hyperlink" Id="rId128" Target="https://doi.org/10.1016/j.watres.2014.09.038" TargetMode="External" /><Relationship Type="http://schemas.openxmlformats.org/officeDocument/2006/relationships/hyperlink" Id="rId148" Target="https://doi.org/10.1016/j.watres.2015.06.038" TargetMode="External" /><Relationship Type="http://schemas.openxmlformats.org/officeDocument/2006/relationships/hyperlink" Id="rId122" Target="https://doi.org/10.1016/j.watres.2020.115959" TargetMode="External" /><Relationship Type="http://schemas.openxmlformats.org/officeDocument/2006/relationships/hyperlink" Id="rId130" Target="https://doi.org/10.1016/j.watres.2021.116848" TargetMode="External" /><Relationship Type="http://schemas.openxmlformats.org/officeDocument/2006/relationships/hyperlink" Id="rId120" Target="https://doi.org/10.1016/j.watres.2022.118573" TargetMode="External" /><Relationship Type="http://schemas.openxmlformats.org/officeDocument/2006/relationships/hyperlink" Id="rId150" Target="https://doi.org/10.1016/j.watres.2023.119807" TargetMode="External" /><Relationship Type="http://schemas.openxmlformats.org/officeDocument/2006/relationships/hyperlink" Id="rId100" Target="https://doi.org/10.1016/j.watres.2024.121122" TargetMode="External" /><Relationship Type="http://schemas.openxmlformats.org/officeDocument/2006/relationships/hyperlink" Id="rId126" Target="https://doi.org/10.1016/s1001-0742(10)60367-1" TargetMode="External" /><Relationship Type="http://schemas.openxmlformats.org/officeDocument/2006/relationships/hyperlink" Id="rId116" Target="https://doi.org/10.1021/acs.est.0c06653" TargetMode="External" /><Relationship Type="http://schemas.openxmlformats.org/officeDocument/2006/relationships/hyperlink" Id="rId8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140" Target="https://doi.org/10.1038/s43017-020-0067-5" TargetMode="External" /><Relationship Type="http://schemas.openxmlformats.org/officeDocument/2006/relationships/hyperlink" Id="rId124"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02" Target="https://doi.org/10.1093/plankt/fbq033" TargetMode="External" /><Relationship Type="http://schemas.openxmlformats.org/officeDocument/2006/relationships/hyperlink" Id="rId110" Target="https://doi.org/10.1100/tsw.2001.16" TargetMode="External" /><Relationship Type="http://schemas.openxmlformats.org/officeDocument/2006/relationships/hyperlink" Id="rId95" Target="https://doi.org/10.1111/j.1365-2427.2006.01689.x" TargetMode="External" /><Relationship Type="http://schemas.openxmlformats.org/officeDocument/2006/relationships/hyperlink" Id="rId93" Target="https://doi.org/10.1111/j.1365-2486.2011.02488.x" TargetMode="External" /><Relationship Type="http://schemas.openxmlformats.org/officeDocument/2006/relationships/hyperlink" Id="rId146" Target="https://doi.org/10.1126/science.319.5860.158a" TargetMode="External" /><Relationship Type="http://schemas.openxmlformats.org/officeDocument/2006/relationships/hyperlink" Id="rId91" Target="https://doi.org/10.1128/aem.02250-06" TargetMode="External" /><Relationship Type="http://schemas.openxmlformats.org/officeDocument/2006/relationships/hyperlink" Id="rId77" Target="https://doi.org/10.1289/ehp.01109663" TargetMode="External" /><Relationship Type="http://schemas.openxmlformats.org/officeDocument/2006/relationships/hyperlink" Id="rId81" Target="https://doi.org/10.2166/wpt.2022.167" TargetMode="External" /><Relationship Type="http://schemas.openxmlformats.org/officeDocument/2006/relationships/hyperlink" Id="rId73" Target="https://doi.org/10.2166/wst.1992.0060" TargetMode="External" /><Relationship Type="http://schemas.openxmlformats.org/officeDocument/2006/relationships/hyperlink" Id="rId136" Target="https://doi.org/10.2166/wst.2007.184" TargetMode="External" /><Relationship Type="http://schemas.openxmlformats.org/officeDocument/2006/relationships/hyperlink" Id="rId138" Target="https://doi.org/10.2216/i0031-8884-42-4-332.1" TargetMode="External" /><Relationship Type="http://schemas.openxmlformats.org/officeDocument/2006/relationships/hyperlink" Id="rId118" Target="https://doi.org/10.3389/fevo.2023.1216567" TargetMode="External" /><Relationship Type="http://schemas.openxmlformats.org/officeDocument/2006/relationships/hyperlink" Id="rId83" Target="https://doi.org/10.3389/frwa.2023.1084050" TargetMode="External" /><Relationship Type="http://schemas.openxmlformats.org/officeDocument/2006/relationships/hyperlink" Id="rId144" Target="https://doi.org/10.4319/lo.2010.55.1.0420" TargetMode="External" /><Relationship Type="http://schemas.openxmlformats.org/officeDocument/2006/relationships/hyperlink" Id="rId7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2026-01-01T10:44:09Z</dcterms:created>
  <dcterms:modified xsi:type="dcterms:W3CDTF">2026-01-01T10:44:09Z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