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7.png" ContentType="image/png"/>
  <Override PartName="/word/media/rId52.png" ContentType="image/png"/>
  <Override PartName="/word/media/rId30.png" ContentType="image/png"/>
  <Override PartName="/word/media/rId60.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Cyanobacterial blooms threaten drinking water safety through the production of taste-and-odor compounds such as geosmin. However, the spatiotemporal mechanisms linking bloom dynamics to odor episodes in reservoirs—critical drinking water sources—remain poorly quantified, hindering effective management. This study integrated a national-scale survey with a five-year, high-frequency monitoring program in Yuqiao Reservoir, a major water source in northern China. Nationally, geosmin was detected in 188 of 214 sites, with 14% exceeding the 10 ng L⁻¹odor threshold, confirming its widespread occurrence. In Yuqiao Reservoir,</w:t>
      </w:r>
      <w:r>
        <w:t xml:space="preserve"> </w:t>
      </w:r>
      <w:r>
        <w:rPr>
          <w:i/>
          <w:iCs/>
        </w:rPr>
        <w:t xml:space="preserve">Planktothrix agardhii</w:t>
      </w:r>
      <w:r>
        <w:t xml:space="preserve"> </w:t>
      </w:r>
      <w:r>
        <w:t xml:space="preserve">was identified as the dominant geosmin producer. A pronounced spatiotemporal decoupling was observed: littoral zones acted as production hotspots, with</w:t>
      </w:r>
      <w:r>
        <w:t xml:space="preserve"> </w:t>
      </w:r>
      <w:r>
        <w:rPr>
          <w:i/>
          <w:iCs/>
        </w:rPr>
        <w:t xml:space="preserve">P. agardhii</w:t>
      </w:r>
      <w:r>
        <w:t xml:space="preserve"> </w:t>
      </w:r>
      <w:r>
        <w:t xml:space="preserve">biomass peaking 8 days earlier than at the dam intake. Time-lagged correlation revealed that littoral biomass predicted intake geosmin with a 5-week lead time (R²= 0.412). Ammonia was a key driver, showing the strongest correlation with geosmin in littoral zones (R²= 0.365). We propose a conceptual transport model and a tiered monitoring framework that shifts focus from reactive intake sampling to proactive sentinel stations in littoral zones. This approach provides a critical early-warning window, enabling preventive measures to safeguard drinking water quality against geosmin episodes.</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geosmin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geosmin-producing cyanobacterial taxa are phylogenetically more diverse than those associated with MIB</w:t>
      </w:r>
      <w:r>
        <w:t xml:space="preserve"> </w:t>
      </w:r>
      <w:r>
        <w:t xml:space="preserve">(AWWA, 2010)</w:t>
      </w:r>
      <w:r>
        <w:t xml:space="preserve">, complicating source-tracking and management efforts. A national survey conducted as part of this study confirms that geosmin is a widespread contaminant across China’s drinking water sources, establishing the broad relevance of the reservoir-specific mechanisms investigated here.</w:t>
      </w:r>
    </w:p>
    <w:p>
      <w:pPr>
        <w:pStyle w:val="BodyText"/>
      </w:pPr>
      <w:r>
        <w:t xml:space="preserve">To address these emerging challenges, we conducted a multi-year, spatially resolved monitoring study in Yuqiao Reservoir—a major drinking water source for Tianjin, China, with a documented history of geosmin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9"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one of the most extensive national surveys of this odorant to date. The dataset integrates our own multi-year monitoring results with high-quality geosmin measurements. Besides, we have also included a study with 33 reservoirs in Guangdong province</w:t>
      </w:r>
      <w:r>
        <w:t xml:space="preserve"> </w:t>
      </w:r>
      <w:r>
        <w:t xml:space="preserve">(Zhou et al., 2024)</w:t>
      </w:r>
      <w:r>
        <w:t xml:space="preserve">. In total, geosmin data from 214 distinct sampling sites across multiple provinces were analyzed to characterize its nationwide occurrence and spatial heterogeneity.</w:t>
      </w:r>
    </w:p>
    <w:p>
      <w:pPr>
        <w:pStyle w:val="BodyText"/>
      </w:pPr>
      <w:r>
        <w:t xml:space="preserve">zhai2017disinfection</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critical drinking water source for Tianjin, China</w:t>
      </w:r>
      <w:r>
        <w:t xml:space="preserve"> </w:t>
      </w:r>
      <w:r>
        <w:t xml:space="preserve">(Xu et al., 2014; Zhai et al., 2017)</w:t>
      </w:r>
      <w:r>
        <w:t xml:space="preserve">. It has experienced persistent seasonal taste-and-odor episodes in recent years</w:t>
      </w:r>
      <w:r>
        <w:t xml:space="preserve"> </w:t>
      </w:r>
      <w:r>
        <w:t xml:space="preserve">(Cai et al., 2017; Qiu et al., 2021)</w:t>
      </w:r>
      <w:r>
        <w:t xml:space="preserve">. Reflecting its distinct bathymetry and hydrodynamic gradients, seven sampling sites (YQ01–YQ07) were established along a littoral-to-dam transect. Site YQ01, located in the deep lacustrine zone near the dam (max depth ~12 m), was sampled vertically (integrated water column). The remaining sites (YQ02–YQ07) were situated in shallower littoral and transitional zones (depth 2–4 m), where only surface water samples were collected. During the annual odor season, high-frequency sampling was conducted 2–3 times per week from 2019 to 2024. Samples for geosmin analysis, water chemistry, and phytoplankton were collected concurrently. All samples were stored at 4°C in the dark and processed within 24 hours.</w:t>
      </w:r>
    </w:p>
    <w:bookmarkEnd w:id="24"/>
    <w:bookmarkStart w:id="25"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using headspace solid-phase microextraction (HS-SPME) coupled with gas chromatography-mass spectrometry (GC-MS; Agilent 6890GC-5973MSD) following a well-established protocol</w:t>
      </w:r>
      <w:r>
        <w:t xml:space="preserve"> </w:t>
      </w:r>
      <w:r>
        <w:t xml:space="preserve">(Su et al., 2015)</w:t>
      </w:r>
      <w:r>
        <w:t xml:space="preserve">. The method detection limit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performed using a multiparameter sonde (EXO2, Xylem, USA). Ammonium (NH</w:t>
      </w:r>
      <w:r>
        <w:rPr>
          <w:vertAlign w:val="subscript"/>
        </w:rPr>
        <w:t xml:space="preserve">4</w:t>
      </w:r>
      <w:r>
        <w:rPr>
          <w:vertAlign w:val="superscript"/>
        </w:rPr>
        <w:t xml:space="preserve">+</w:t>
      </w:r>
      <w:r>
        <w:t xml:space="preserve">-N), total nitrogen (TN), and total phosphorus (TP) were analyzed according to Chinese national standard methods for water quality.</w:t>
      </w:r>
    </w:p>
    <w:p>
      <w:pPr>
        <w:pStyle w:val="BodyText"/>
      </w:pPr>
      <w:r>
        <w:rPr>
          <w:b/>
          <w:bCs/>
        </w:rPr>
        <w:t xml:space="preserve">Phytoplankton analysis.</w:t>
      </w:r>
      <w:r>
        <w:t xml:space="preserve"> </w:t>
      </w:r>
      <w:r>
        <w:t xml:space="preserve">Phytoplankton samples were fixed with Lugol’s iodine solution (final concentration 5%). After 48-h sedimentation, samples were concentrated to 10 mL. Cell identification and enumeration were performed under an inverted microscope (Olympus BX51) using a Sedgewick–Rafter counting chamber. Biomass was expressed as cell density.</w:t>
      </w:r>
    </w:p>
    <w:bookmarkEnd w:id="25"/>
    <w:bookmarkStart w:id="26" w:name="X5e404bfe7259253ba2d893cf6c75420807e87cb"/>
    <w:p>
      <w:pPr>
        <w:pStyle w:val="Heading2"/>
      </w:pPr>
      <w:r>
        <w:t xml:space="preserve">Molecular identification of geosmin-producing cyanobacteria</w:t>
      </w:r>
    </w:p>
    <w:p>
      <w:pPr>
        <w:pStyle w:val="BodyText"/>
      </w:pPr>
      <w:r>
        <w:t xml:space="preserve">Water samples for molecular analysis were collected concurrently with geosmin samples. Biomass was collected on 1.2-μm polycarbonate filters (Millipore) and stored at–80°C. Total genomic DNA was extracted using the FastDNA™Spin Kit for Soil (MP Biomedicals). The geosmin synthase gene (</w:t>
      </w:r>
      <w:r>
        <w:rPr>
          <w:i/>
          <w:iCs/>
        </w:rPr>
        <w:t xml:space="preserve">geoA</w:t>
      </w:r>
      <w:r>
        <w:t xml:space="preserve">) was amplified using cyanobacterium-specific primers</w:t>
      </w:r>
      <w:r>
        <w:t xml:space="preserve"> </w:t>
      </w:r>
      <w:r>
        <w:t xml:space="preserve">(Giglio et al., 2008; Su et al., 2013)</w:t>
      </w:r>
      <w:r>
        <w:t xml:space="preserve">. Amplicons were visualized via agarose gel electrophoresis, and positive products were subjected to high-throughput sequencing. After quality filtering and primer removal, sequences were clustered into operational taxonomic units (OTUs) at 97% similarity. Representative sequences were taxonomically assigned via BLAST against public</w:t>
      </w:r>
      <w:r>
        <w:t xml:space="preserve"> </w:t>
      </w:r>
      <w:r>
        <w:rPr>
          <w:i/>
          <w:iCs/>
        </w:rPr>
        <w:t xml:space="preserve">geoA</w:t>
      </w:r>
      <w:r>
        <w:t xml:space="preserve"> </w:t>
      </w:r>
      <w:r>
        <w:t xml:space="preserve">databases, and a maximum-likelihood phylogenetic tree was constructed to confirm the identity of the dominant geosmin producer.</w:t>
      </w:r>
    </w:p>
    <w:bookmarkEnd w:id="26"/>
    <w:bookmarkStart w:id="28"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To reduce noise from irregular sampling and align different time series, all data were aggregated to weekly means. For each sampling date, the corresponding week was defined from the preceding Monday.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 weekly mean</w:t>
      </w:r>
      <w:r>
        <w:t xml:space="preserve"> </w:t>
      </w:r>
      <w:r>
        <w:rPr>
          <w:i/>
          <w:iCs/>
        </w:rPr>
        <w:t xml:space="preserve">Planktothrix agardhii</w:t>
      </w:r>
      <w:r>
        <w:t xml:space="preserve"> </w:t>
      </w:r>
      <w:r>
        <w:t xml:space="preserve">biomass. For each site and lag period, a log–log linear model was fitted:</w:t>
      </w:r>
    </w:p>
    <w:p>
      <w:pPr>
        <w:pStyle w:val="BodyText"/>
      </w:pPr>
      <w:bookmarkStart w:id="27"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7"/>
    </w:p>
    <w:p>
      <w:pPr>
        <w:pStyle w:val="BodyText"/>
      </w:pPr>
      <w:r>
        <w:t xml:space="preserve">where</w:t>
      </w:r>
      <w:r>
        <w:t xml:space="preserve"> </w:t>
      </w:r>
      <w:r>
        <w:rPr>
          <w:i/>
          <w:iCs/>
        </w:rPr>
        <w:t xml:space="preserve">G</w:t>
      </w:r>
      <w:r>
        <w:t xml:space="preserve"> </w:t>
      </w:r>
      <w:r>
        <w:t xml:space="preserve">is geosmin concentration (ng L</w:t>
      </w:r>
      <w:r>
        <w:rPr>
          <w:vertAlign w:val="superscript"/>
        </w:rPr>
        <w:t xml:space="preserve">-1</w:t>
      </w:r>
      <w:r>
        <w:t xml:space="preserve">) and</w:t>
      </w:r>
      <w:r>
        <w:t xml:space="preserve"> </w:t>
      </w:r>
      <w:r>
        <w:rPr>
          <w:i/>
          <w:iCs/>
        </w:rPr>
        <w:t xml:space="preserve">P</w:t>
      </w:r>
      <w:r>
        <w:t xml:space="preserve"> </w:t>
      </w:r>
      <w:r>
        <w:t xml:space="preserve">is</w:t>
      </w:r>
      <w:r>
        <w:t xml:space="preserve"> </w:t>
      </w:r>
      <w:r>
        <w:rPr>
          <w:i/>
          <w:iCs/>
        </w:rPr>
        <w:t xml:space="preserve">P. agardhii</w:t>
      </w:r>
      <w:r>
        <w:t xml:space="preserve"> </w:t>
      </w:r>
      <w:r>
        <w:t xml:space="preserve">cell density (cells L</w:t>
      </w:r>
      <w:r>
        <w:rPr>
          <w:vertAlign w:val="superscript"/>
        </w:rPr>
        <w:t xml:space="preserve">-1</w:t>
      </w:r>
      <w:r>
        <w:t xml:space="preserve">). To minimize the influence of background low values, only paired observations with geosmin &gt; 2 ng L</w:t>
      </w:r>
      <w:r>
        <w:rPr>
          <w:vertAlign w:val="superscript"/>
        </w:rPr>
        <w:t xml:space="preserve">-1</w:t>
      </w:r>
      <w:r>
        <w:t xml:space="preserve"> </w:t>
      </w:r>
      <w:r>
        <w:t xml:space="preserve">and positive biomass were included. A site was included in the lag analysis only if it contained≥20 valid weekly observations. The coefficient of determination (R</w:t>
      </w:r>
      <w:r>
        <w:rPr>
          <w:vertAlign w:val="superscript"/>
        </w:rPr>
        <w:t xml:space="preserve">2</w:t>
      </w:r>
      <w:r>
        <w:t xml:space="preserve">) was used to assess model fit. The lag period yielding the maximum R</w:t>
      </w:r>
      <w:r>
        <w:rPr>
          <w:vertAlign w:val="superscript"/>
        </w:rPr>
        <w:t xml:space="preserve">2</w:t>
      </w:r>
      <w:r>
        <w:t xml:space="preserve"> </w:t>
      </w:r>
      <w:r>
        <w:t xml:space="preserve">was defined as the optimal early-warning window for that site. The significance of the regression slope was evaluated using a t-test.</w:t>
      </w:r>
    </w:p>
    <w:p>
      <w:pPr>
        <w:pStyle w:val="BodyText"/>
      </w:pPr>
      <w:r>
        <w:rPr>
          <w:b/>
          <w:bCs/>
        </w:rPr>
        <w:t xml:space="preserve">Multivariate and spatial analysis.</w:t>
      </w:r>
      <w:r>
        <w:t xml:space="preserve"> </w:t>
      </w:r>
      <w:r>
        <w:t xml:space="preserve">Principal component analysis (PCA) was performed on standardized geosmin and environmental variables to explore their multivariate relationships. Zone-specific regression analyses (littoral, transitional, dam) were conducted to compare the strength of the ammonia–geosmin relationship across reservoir zones. Bathymetric data from field surveys were spatially interpolated using ordinary kriging to create a continuous depth map, illustrating the gradient from shallow littoral to deep lacustrine zones.</w:t>
      </w:r>
    </w:p>
    <w:p>
      <w:pPr>
        <w:pStyle w:val="BodyText"/>
      </w:pPr>
      <w:r>
        <w:rPr>
          <w:b/>
          <w:bCs/>
        </w:rPr>
        <w:t xml:space="preserve">Software.</w:t>
      </w:r>
      <w:r>
        <w:t xml:space="preserve"> </w:t>
      </w:r>
      <w:r>
        <w:t xml:space="preserve">All statistical analyses and visualizations were performed in R (version 4.4.2) using packages including</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w:t>
      </w:r>
    </w:p>
    <w:bookmarkEnd w:id="28"/>
    <w:bookmarkEnd w:id="29"/>
    <w:bookmarkStart w:id="57" w:name="results"/>
    <w:p>
      <w:pPr>
        <w:pStyle w:val="Heading1"/>
      </w:pPr>
      <w:r>
        <w:t xml:space="preserve">Results</w:t>
      </w:r>
    </w:p>
    <w:bookmarkStart w:id="34"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188 locations. Measured concentrations spanned over four orders of magnitude, ranging from below detection limits to a maximum of 150 ng L</w:t>
      </w:r>
      <w:r>
        <w:rPr>
          <w:vertAlign w:val="superscript"/>
        </w:rPr>
        <w:t xml:space="preserve">-1</w:t>
      </w:r>
      <w:r>
        <w:t xml:space="preserve">, recorded at a site in Zhejiang Province. Overall, 14%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3" w:name="fig-nationalgsm"/>
          <w:p>
            <w:pPr>
              <w:pStyle w:val="Compact"/>
              <w:jc w:val="center"/>
            </w:pPr>
            <w:r>
              <w:drawing>
                <wp:inline>
                  <wp:extent cx="4602480" cy="3835400"/>
                  <wp:effectExtent b="0" l="0" r="0" t="0"/>
                  <wp:docPr descr="" title="" id="31" name="Picture"/>
                  <a:graphic>
                    <a:graphicData uri="http://schemas.openxmlformats.org/drawingml/2006/picture">
                      <pic:pic>
                        <pic:nvPicPr>
                          <pic:cNvPr descr="../figures/nationalgsm.png" id="32" name="Picture"/>
                          <pic:cNvPicPr>
                            <a:picLocks noChangeArrowheads="1" noChangeAspect="1"/>
                          </pic:cNvPicPr>
                        </pic:nvPicPr>
                        <pic:blipFill>
                          <a:blip r:embed="rId30"/>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3"/>
        </w:tc>
      </w:tr>
    </w:tbl>
    <w:bookmarkEnd w:id="34"/>
    <w:bookmarkStart w:id="39"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8" w:name="fig-yqgsminvest"/>
          <w:p>
            <w:pPr>
              <w:pStyle w:val="Compact"/>
              <w:jc w:val="center"/>
            </w:pPr>
            <w:r>
              <w:drawing>
                <wp:inline>
                  <wp:extent cx="5177790" cy="4836770"/>
                  <wp:effectExtent b="0" l="0" r="0" t="0"/>
                  <wp:docPr descr="" title="" id="36" name="Picture"/>
                  <a:graphic>
                    <a:graphicData uri="http://schemas.openxmlformats.org/drawingml/2006/picture">
                      <pic:pic>
                        <pic:nvPicPr>
                          <pic:cNvPr descr="../figures/yqgsminvest_revised.png" id="37" name="Picture"/>
                          <pic:cNvPicPr>
                            <a:picLocks noChangeArrowheads="1" noChangeAspect="1"/>
                          </pic:cNvPicPr>
                        </pic:nvPicPr>
                        <pic:blipFill>
                          <a:blip r:embed="rId35"/>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8"/>
        </w:tc>
      </w:tr>
    </w:tbl>
    <w:bookmarkEnd w:id="39"/>
    <w:bookmarkStart w:id="40"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40"/>
    <w:bookmarkStart w:id="41"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1"/>
    <w:bookmarkStart w:id="46"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5" w:name="fig-gsmepisodes"/>
          <w:p>
            <w:pPr>
              <w:pStyle w:val="Compact"/>
              <w:jc w:val="center"/>
            </w:pPr>
            <w:r>
              <w:drawing>
                <wp:inline>
                  <wp:extent cx="3451860" cy="3655340"/>
                  <wp:effectExtent b="0" l="0" r="0" t="0"/>
                  <wp:docPr descr="" title="" id="43" name="Picture"/>
                  <a:graphic>
                    <a:graphicData uri="http://schemas.openxmlformats.org/drawingml/2006/picture">
                      <pic:pic>
                        <pic:nvPicPr>
                          <pic:cNvPr descr="../figures/gsmepisodes_revised.png" id="44" name="Picture"/>
                          <pic:cNvPicPr>
                            <a:picLocks noChangeArrowheads="1" noChangeAspect="1"/>
                          </pic:cNvPicPr>
                        </pic:nvPicPr>
                        <pic:blipFill>
                          <a:blip r:embed="rId42"/>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5"/>
        </w:tc>
      </w:tr>
    </w:tbl>
    <w:bookmarkEnd w:id="46"/>
    <w:bookmarkStart w:id="51"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50" w:name="fig-lag"/>
          <w:p>
            <w:pPr>
              <w:pStyle w:val="Compact"/>
              <w:jc w:val="center"/>
            </w:pPr>
            <w:r>
              <w:drawing>
                <wp:inline>
                  <wp:extent cx="4027170" cy="6039689"/>
                  <wp:effectExtent b="0" l="0" r="0" t="0"/>
                  <wp:docPr descr="" title="" id="48" name="Picture"/>
                  <a:graphic>
                    <a:graphicData uri="http://schemas.openxmlformats.org/drawingml/2006/picture">
                      <pic:pic>
                        <pic:nvPicPr>
                          <pic:cNvPr descr="../figures/lag_revised.png" id="49" name="Picture"/>
                          <pic:cNvPicPr>
                            <a:picLocks noChangeArrowheads="1" noChangeAspect="1"/>
                          </pic:cNvPicPr>
                        </pic:nvPicPr>
                        <pic:blipFill>
                          <a:blip r:embed="rId47"/>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0"/>
        </w:tc>
      </w:tr>
    </w:tbl>
    <w:bookmarkEnd w:id="51"/>
    <w:bookmarkStart w:id="56" w:name="X7c289579419a9ca0dfbb59352a798fc58302bd4"/>
    <w:p>
      <w:pPr>
        <w:pStyle w:val="Heading2"/>
      </w:pPr>
      <w:r>
        <w:t xml:space="preserve">Environmental drivers of geosmin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5" w:name="fig-mech"/>
          <w:p>
            <w:pPr>
              <w:pStyle w:val="Compact"/>
              <w:jc w:val="center"/>
            </w:pPr>
            <w:r>
              <w:drawing>
                <wp:inline>
                  <wp:extent cx="4027170" cy="4245072"/>
                  <wp:effectExtent b="0" l="0" r="0" t="0"/>
                  <wp:docPr descr="" title="" id="53" name="Picture"/>
                  <a:graphic>
                    <a:graphicData uri="http://schemas.openxmlformats.org/drawingml/2006/picture">
                      <pic:pic>
                        <pic:nvPicPr>
                          <pic:cNvPr descr="../figures/mech_revised.png" id="54" name="Picture"/>
                          <pic:cNvPicPr>
                            <a:picLocks noChangeArrowheads="1" noChangeAspect="1"/>
                          </pic:cNvPicPr>
                        </pic:nvPicPr>
                        <pic:blipFill>
                          <a:blip r:embed="rId52"/>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5"/>
        </w:tc>
      </w:tr>
    </w:tbl>
    <w:bookmarkEnd w:id="56"/>
    <w:bookmarkEnd w:id="57"/>
    <w:bookmarkStart w:id="66" w:name="discussion"/>
    <w:p>
      <w:pPr>
        <w:pStyle w:val="Heading1"/>
      </w:pPr>
      <w:r>
        <w:t xml:space="preserve">Discussion</w:t>
      </w:r>
    </w:p>
    <w:bookmarkStart w:id="58" w:name="Xf2bd0ebdfcd659165f9e7cd509a3c17314b2994"/>
    <w:p>
      <w:pPr>
        <w:pStyle w:val="Heading2"/>
      </w:pPr>
      <w:r>
        <w:t xml:space="preserve">Geosmin as a prevalent challenge for drinking water security in China</w:t>
      </w:r>
    </w:p>
    <w:p>
      <w:pPr>
        <w:pStyle w:val="BodyText"/>
      </w:pPr>
      <w:r>
        <w:t xml:space="preserve">Our nationwide survey reveals that geosmin contamination is widespread across China’s major drinking water sources, with 14% of the surveyed sites exceeding the common odor threshold of 10 ng L</w:t>
      </w:r>
      <w:r>
        <w:rPr>
          <w:vertAlign w:val="superscript"/>
        </w:rPr>
        <w:t xml:space="preserve">-1</w:t>
      </w:r>
      <w:r>
        <w:t xml:space="preserve"> </w:t>
      </w:r>
      <w:r>
        <w:t xml:space="preserve">(</w:t>
      </w:r>
      <w:r>
        <w:t xml:space="preserve">(AWWA, 2010)</w:t>
      </w:r>
      <w:r>
        <w:t xml:space="preserve">). This finding underscores geosmin as a significant and pervasive water quality issue, corroborating similar reports from diverse climatic regions globally</w:t>
      </w:r>
      <w:r>
        <w:t xml:space="preserve"> </w:t>
      </w:r>
      <w:r>
        <w:t xml:space="preserve">(Devi et al., 2021; Lin et al., 2018)</w:t>
      </w:r>
      <w:r>
        <w:t xml:space="preserve">. The pronounced spatial heterogeneity—marked by elevated concentrations in eastern and southern regions such as the Yangtze River Delta and Pearl River Delta—suggests that regional factors, including climate, watershed land use, and nutrient loading patterns, are critical drivers of geosmin risk. The compound’s low odor threshold and resistance to conventional treatment</w:t>
      </w:r>
      <w:r>
        <w:t xml:space="preserve"> </w:t>
      </w:r>
      <w:r>
        <w:t xml:space="preserve">(Cook et al., 2001; Mustapha et al., 2021; Zamyadi et al., 2015)</w:t>
      </w:r>
      <w:r>
        <w:t xml:space="preserve"> </w:t>
      </w:r>
      <w:r>
        <w:t xml:space="preserve">pose substantial challenges for water utilities</w:t>
      </w:r>
      <w:r>
        <w:t xml:space="preserve"> </w:t>
      </w:r>
      <w:r>
        <w:t xml:space="preserve">(Srinivasan and Sorial, 2011)</w:t>
      </w:r>
      <w:r>
        <w:t xml:space="preserve">, directly impacting consumer acceptance and compliance with water safety objectives linked to Sustainable Development Goal 6</w:t>
      </w:r>
      <w:r>
        <w:t xml:space="preserve"> </w:t>
      </w:r>
      <w:r>
        <w:t xml:space="preserve">(Arora and Mishra, 2022)</w:t>
      </w:r>
      <w:r>
        <w:t xml:space="preserve">. The economic ramifications are considerable, driving investments in advanced treatment technologies and proactive management strategies worldwide</w:t>
      </w:r>
      <w:r>
        <w:t xml:space="preserve"> </w:t>
      </w:r>
      <w:r>
        <w:t xml:space="preserve">(Yuan and Hofmann, 2022)</w:t>
      </w:r>
      <w:r>
        <w:t xml:space="preserve">.</w:t>
      </w:r>
    </w:p>
    <w:bookmarkEnd w:id="58"/>
    <w:bookmarkStart w:id="59" w:name="X84e82477e594d1f551fa28a152edfa69965f48b"/>
    <w:p>
      <w:pPr>
        <w:pStyle w:val="Heading2"/>
      </w:pPr>
      <w:r>
        <w:t xml:space="preserve">Littoral zones as production hotspots: ecological mechanisms and spatiotemporal decoupling</w:t>
      </w:r>
    </w:p>
    <w:p>
      <w:pPr>
        <w:pStyle w:val="BodyText"/>
      </w:pPr>
      <w:r>
        <w:t xml:space="preserve">Actinomycetes are recognized as major biotic sources of taste-and-odor compounds, including geosmin and 2‑MIB, in soils and freshwater sediments</w:t>
      </w:r>
      <w:r>
        <w:t xml:space="preserve"> </w:t>
      </w:r>
      <w:r>
        <w:t xml:space="preserve">(Gerber, 1979; Gerber and Lechevalier, 1965; Guo et al., 2024; Jensen et al., 1994)</w:t>
      </w:r>
      <w:r>
        <w:t xml:space="preserve">. In the present study, however, synchronous peaks of</w:t>
      </w:r>
      <w:r>
        <w:t xml:space="preserve"> </w:t>
      </w:r>
      <w:r>
        <w:rPr>
          <w:i/>
          <w:iCs/>
        </w:rPr>
        <w:t xml:space="preserve">Planktothrix agardhii</w:t>
      </w:r>
      <w:r>
        <w:t xml:space="preserve"> </w:t>
      </w:r>
      <w:r>
        <w:t xml:space="preserve">biomass and geosmin concentrations—particularly at littoral sites with zero‑lag correlation (R</w:t>
      </w:r>
      <w:r>
        <w:rPr>
          <w:vertAlign w:val="superscript"/>
        </w:rPr>
        <w:t xml:space="preserve">2</w:t>
      </w:r>
      <w:r>
        <w:t xml:space="preserve"> </w:t>
      </w:r>
      <w:r>
        <w:t xml:space="preserve">= 0.5)—together with the molecular identification of</w:t>
      </w:r>
      <w:r>
        <w:t xml:space="preserve"> </w:t>
      </w:r>
      <w:r>
        <w:rPr>
          <w:i/>
          <w:iCs/>
        </w:rPr>
        <w:t xml:space="preserve">P. agardhii</w:t>
      </w:r>
      <w:r>
        <w:t xml:space="preserve"> </w:t>
      </w:r>
      <w:r>
        <w:t xml:space="preserve">as the dominant geosmin producer via gene sequencing of</w:t>
      </w:r>
      <w:r>
        <w:t xml:space="preserve"> </w:t>
      </w:r>
      <w:r>
        <w:rPr>
          <w:rStyle w:val="VerbatimChar"/>
        </w:rPr>
        <w:t xml:space="preserve">GeoA</w:t>
      </w:r>
      <w:r>
        <w:t xml:space="preserve"> </w:t>
      </w:r>
      <w:r>
        <w:t xml:space="preserve">gene and isolation (</w:t>
      </w:r>
      <w:hyperlink w:anchor="fig-yqgsminvest">
        <w:r>
          <w:rPr>
            <w:rStyle w:val="Hyperlink"/>
          </w:rPr>
          <w:t xml:space="preserve">Fig. 2</w:t>
        </w:r>
      </w:hyperlink>
      <w:r>
        <w:t xml:space="preserve">D, </w:t>
      </w:r>
      <w:hyperlink w:anchor="fig-yqgsminvest">
        <w:r>
          <w:rPr>
            <w:rStyle w:val="Hyperlink"/>
          </w:rPr>
          <w:t xml:space="preserve">Fig. 2</w:t>
        </w:r>
      </w:hyperlink>
      <w:r>
        <w:t xml:space="preserve">F), strongly indicate cyanobacterial origin. This aligns with a growing body of evidence that cyanobacteria constitute the primary biotic source of such odorants in many freshwater systems</w:t>
      </w:r>
      <w:r>
        <w:t xml:space="preserve"> </w:t>
      </w:r>
      <w:r>
        <w:t xml:space="preserve">(Chislock et al., 2021; Hooper et al., 2023; Izaguirre, 1992; Pham et al., 2020; Su et al., 2013; Suurnäkki et al., 2015)</w:t>
      </w:r>
      <w:r>
        <w:t xml:space="preserve">. While actinomycetes in sediments are known geosmin producers, their contribution in well‑oxygenated water columns of managed reservoirs like Yuqiao is likely secondary. We argue that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a well‑oxygenated water body provides compelling evidence that geosmin is primarily derived from cyanobacterial activity. This view is consistent with studies linking specific cyanobacterial blooms to geosmin episodes in drinking‑water reservoirs worldwide</w:t>
      </w:r>
      <w:r>
        <w:t xml:space="preserve"> </w:t>
      </w:r>
      <w:r>
        <w:t xml:space="preserve">(Churro et al., 2020; Hayashi et al., 2019; John et al., 2018)</w:t>
      </w:r>
      <w:r>
        <w:t xml:space="preserve">.</w:t>
      </w:r>
    </w:p>
    <w:p>
      <w:pPr>
        <w:pStyle w:val="BodyText"/>
      </w:pPr>
      <w:r>
        <w:t xml:space="preserve">The sustained monitoring in Yuqiao Reservoir elucidates littoral zones as critical ecological niches for the proliferation of geosmin-producing cyanobacteria, particularly</w:t>
      </w:r>
      <w:r>
        <w:t xml:space="preserve"> </w:t>
      </w:r>
      <w:r>
        <w:rPr>
          <w:i/>
          <w:iCs/>
        </w:rPr>
        <w:t xml:space="preserve">Planktothrix agardhii</w:t>
      </w:r>
      <w:r>
        <w:t xml:space="preserve">. The distinct spatiotemporal patterns—earlier onset, higher biomass, and stronger correlation with ammonia in littoral areas—highlight a production-transport decoupling central to reservoir-wide odor episodes. The affinity of filamentous cyanobacteria like</w:t>
      </w:r>
      <w:r>
        <w:t xml:space="preserve"> </w:t>
      </w:r>
      <w:r>
        <w:rPr>
          <w:i/>
          <w:iCs/>
        </w:rPr>
        <w:t xml:space="preserve">P. agardhii</w:t>
      </w:r>
      <w:r>
        <w:t xml:space="preserve"> </w:t>
      </w:r>
      <w:r>
        <w:t xml:space="preserve">for littoral environments can be attributed to several adaptive traits. Their filamentous morphology confers advantages in shallow, intermittently mixed waters through regulated buoyancy and reduced sedimentation losses, enabling optimal positioning for light harvesting</w:t>
      </w:r>
      <w:r>
        <w:t xml:space="preserve"> </w:t>
      </w:r>
      <w:r>
        <w:t xml:space="preserve">(Jia et al., 2019; Su et al., 2019)</w:t>
      </w:r>
      <w:r>
        <w:t xml:space="preserve">. This is complemented by low-light adaptations via phycobiliprotein pigments</w:t>
      </w:r>
      <w:r>
        <w:t xml:space="preserve"> </w:t>
      </w:r>
      <w:r>
        <w:t xml:space="preserve">(Cao et al., 2025; Komárek and Johansen, 2015)</w:t>
      </w:r>
      <w:r>
        <w:t xml:space="preserve">, allowing persistence under the variable light regimes typical of littoral zones</w:t>
      </w:r>
      <w:r>
        <w:t xml:space="preserve"> </w:t>
      </w:r>
      <w:r>
        <w:t xml:space="preserve">(Scott and Marcarelli, 2012; Zohary and Gasith, 2014)</w:t>
      </w:r>
      <w:r>
        <w:t xml:space="preserve">. Furthermore, the strong correlation observed between ammonia and geosmin specifically in littoral sites (R</w:t>
      </w:r>
      <w:r>
        <w:rPr>
          <w:vertAlign w:val="superscript"/>
        </w:rPr>
        <w:t xml:space="preserve">2</w:t>
      </w:r>
      <w:r>
        <w:t xml:space="preserve"> </w:t>
      </w:r>
      <w:r>
        <w:t xml:space="preserve">= 0.37) suggests that nitrogen availability, likely influenced by shoreline inputs, is a key regulatory factor for production in these zones. In contrast, the weakened correlation at the dam intake (R</w:t>
      </w:r>
      <w:r>
        <w:rPr>
          <w:vertAlign w:val="superscript"/>
        </w:rPr>
        <w:t xml:space="preserve">2</w:t>
      </w:r>
      <w:r>
        <w:t xml:space="preserve"> </w:t>
      </w:r>
      <w:r>
        <w:t xml:space="preserve">= 0.03) reflects the integration and modification of signals during transport.</w:t>
      </w:r>
    </w:p>
    <w:p>
      <w:pPr>
        <w:pStyle w:val="BodyText"/>
      </w:pPr>
      <w:r>
        <w:t xml:space="preserve">The systematic spatial decoupling is evidenced by the consistent 8-day lag in major bloom events between littoral sites and the dam. This lag represents not merely physical advection but may also involve continued metabolic activity and potential accumulation in transitional zones. These findings challenge conventional reservoir management focused predominantly on pelagic or intake monitoring and align with growing recognition of nearshore areas as initiation sites for cyanobacterial metabolites.</w:t>
      </w:r>
    </w:p>
    <w:bookmarkEnd w:id="59"/>
    <w:bookmarkStart w:id="64" w:name="Xc2e09787129afd5a6ae29ac9d042c9e751cf6bf"/>
    <w:p>
      <w:pPr>
        <w:pStyle w:val="Heading2"/>
      </w:pPr>
      <w:r>
        <w:t xml:space="preserve">Towards a proactive monitoring paradigm: quantitative predictive tools</w:t>
      </w:r>
    </w:p>
    <w:p>
      <w:pPr>
        <w:pStyle w:val="BodyText"/>
      </w:pPr>
      <w:r>
        <w:t xml:space="preserve">The conceptual model depicted in</w:t>
      </w:r>
      <w:r>
        <w:t xml:space="preserve"> </w:t>
      </w:r>
      <w:hyperlink w:anchor="fig-sketch">
        <w:r>
          <w:rPr>
            <w:rStyle w:val="Hyperlink"/>
          </w:rPr>
          <w:t xml:space="preserve">Fig. 6</w:t>
        </w:r>
      </w:hyperlink>
      <w:r>
        <w:t xml:space="preserve"> </w:t>
      </w:r>
      <w:r>
        <w:t xml:space="preserve">synthesizes the spatiotemporal mechanism underpinning our proposed management shift. It illustrates that the highest metabolic activity of geosmin-producing cyanobacteria is concentrated in littoral zones, driven by localized nutrient inputs and favorable physical conditions</w:t>
      </w:r>
      <w:r>
        <w:t xml:space="preserve"> </w:t>
      </w:r>
      <w:r>
        <w:t xml:space="preserve">(Zohary and Gasith, 2014)</w:t>
      </w:r>
      <w:r>
        <w:t xml:space="preserve">. The geosmin produced in these hotspots is subsequently advected through the limnetic zone, resulting in a distinct transport lag before it accumulates in the lacustrine zone and reaches the dam intake. This hydro-ecological sequence reveals a critical flaw in conventional, intake-centric monitoring</w:t>
      </w:r>
      <w:r>
        <w:t xml:space="preserve"> </w:t>
      </w:r>
      <w:r>
        <w:t xml:space="preserve">(Mohanty et al., 2024)</w:t>
      </w:r>
      <w:r>
        <w:t xml:space="preserve">: by the time geosmin is detected at the dam, its impact on treatment is immediate, leaving minimal time for preventive intervention</w:t>
      </w:r>
      <w:r>
        <w:t xml:space="preserve"> </w:t>
      </w:r>
      <w:r>
        <w:t xml:space="preserve">(Zamyadi et al., 2015)</w:t>
      </w:r>
      <w:r>
        <w:t xml:space="preserve">. This flaw is particularly acute for cyanobacteria, which can undergo rapid exponential growth, leading to sudden, log‑phase surges in metabolite concentrations that overwhelm conventional response protocols</w:t>
      </w:r>
      <w:r>
        <w:t xml:space="preserve"> </w:t>
      </w:r>
      <w:r>
        <w:t xml:space="preserve">(Oliver and Ganf, 2000)</w:t>
      </w:r>
      <w:r>
        <w:t xml:space="preserve">.</w:t>
      </w:r>
    </w:p>
    <w:p>
      <w:pPr>
        <w:pStyle w:val="BodyText"/>
      </w:pPr>
      <w:r>
        <w:t xml:space="preserve">To capitalize on the inherent early-warning signal embedded within this process, we propose a tiered monitoring framework comprising: (1) sentinel stations in representative littoral zones for early detection of producer biomass, (2) gradient stations along the main transport pathway to track bloom progression, and (3) final verification at the intake. By shifting the primary monitoring focus upstream to the production source, utilities gain the crucial 4–6 week lead time—quantified by our lagged correlation analysis (R</w:t>
      </w:r>
      <w:r>
        <w:rPr>
          <w:vertAlign w:val="superscript"/>
        </w:rPr>
        <w:t xml:space="preserve">2</w:t>
      </w:r>
      <w:r>
        <w:t xml:space="preserve"> </w:t>
      </w:r>
      <w:r>
        <w:t xml:space="preserve">= 0.41 at 5 weeks)—necessary to detect incipient risk during the early growth phase, well before the problematic log‑phase surge. This lead time enables the implementation of preventive measures—such as optimized reservoir operation</w:t>
      </w:r>
      <w:r>
        <w:t xml:space="preserve"> </w:t>
      </w:r>
      <w:r>
        <w:t xml:space="preserve">(Fang et al., 2024; Lu et al., 2023; Su et al., 2017)</w:t>
      </w:r>
      <w:r>
        <w:t xml:space="preserve">, selective withdrawal, or pre‑emptive treatment adjustments—that can effectively disrupt the progression from initial proliferation to full‑blown water quality crisis. Thereby, the majority of algal‑derived contamination events, which are characterized by their sudden onset, can be anticipated and mitigated at source, rather than reacted to after the fact. This concept aligns with the growing emphasis on source water protection and early-warning systems in water security management</w:t>
      </w:r>
      <w:r>
        <w:t xml:space="preserve"> </w:t>
      </w:r>
      <w:r>
        <w:t xml:space="preserve">(Recknagel et al., 2017)</w:t>
      </w:r>
      <w:r>
        <w:t xml:space="preserve">.</w:t>
      </w:r>
    </w:p>
    <w:p>
      <w:pPr>
        <w:pStyle w:val="BodyText"/>
      </w:pPr>
      <w:r>
        <w:t xml:space="preserve">This transformation from a reactive to a predictive paradigm fundamentally redefines resilience. It moves beyond merely coping with crises to preventing them, which can significantly reduce treatment costs, minimize service disruptions, and safeguard public trust in the water supply. Proactive monitoring of littoral sentinel sites is not merely an added layer of surveillance; it is a strategic re‑allocation of resources to intercept algal‑derived risks at their earliest, most manageable stage.</w:t>
      </w:r>
    </w:p>
    <w:tbl>
      <w:tblPr>
        <w:tblStyle w:val="Table"/>
        <w:tblW w:type="pct" w:w="5000"/>
        <w:tblLayout w:type="fixed"/>
        <w:tblLook w:firstRow="0" w:lastRow="0" w:firstColumn="0" w:lastColumn="0" w:noHBand="0" w:noVBand="0" w:val="0000"/>
      </w:tblPr>
      <w:tblGrid>
        <w:gridCol w:w="7920"/>
      </w:tblGrid>
      <w:tr>
        <w:tc>
          <w:tcPr/>
          <w:bookmarkStart w:id="63" w:name="fig-sketch"/>
          <w:p>
            <w:pPr>
              <w:pStyle w:val="Compact"/>
              <w:jc w:val="center"/>
            </w:pPr>
            <w:r>
              <w:drawing>
                <wp:inline>
                  <wp:extent cx="4602480" cy="1890488"/>
                  <wp:effectExtent b="0" l="0" r="0" t="0"/>
                  <wp:docPr descr="" title="" id="61" name="Picture"/>
                  <a:graphic>
                    <a:graphicData uri="http://schemas.openxmlformats.org/drawingml/2006/picture">
                      <pic:pic>
                        <pic:nvPicPr>
                          <pic:cNvPr descr="../figures/sketch_revised.png" id="62" name="Picture"/>
                          <pic:cNvPicPr>
                            <a:picLocks noChangeArrowheads="1" noChangeAspect="1"/>
                          </pic:cNvPicPr>
                        </pic:nvPicPr>
                        <pic:blipFill>
                          <a:blip r:embed="rId60"/>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3"/>
        </w:tc>
      </w:tr>
    </w:tbl>
    <w:bookmarkEnd w:id="64"/>
    <w:bookmarkStart w:id="65" w:name="Xb43e125eff47b8ce4d694863e61d4015866fc1b"/>
    <w:p>
      <w:pPr>
        <w:pStyle w:val="Heading2"/>
      </w:pPr>
      <w:r>
        <w:t xml:space="preserve">Implications, limitations, and future perspectives</w:t>
      </w:r>
    </w:p>
    <w:p>
      <w:pPr>
        <w:pStyle w:val="BodyText"/>
      </w:pPr>
      <w:r>
        <w:t xml:space="preserve">This study provides mechanistic insights into geosmin dynamics in a drinking water reservoir and translates them into practical monitoring tools. The identification of littoral zones as production hotspots and the quantification of time-lagged predictive relationships offer a blueprint for evidence-based management.</w:t>
      </w:r>
    </w:p>
    <w:p>
      <w:pPr>
        <w:pStyle w:val="BodyText"/>
      </w:pPr>
      <w:r>
        <w:t xml:space="preserve">Several limitations should be acknowledged. First, while the 4–6 year dataset captures clear seasonal and interannual patterns, longer-term monitoring would strengthen the understanding of trends, particularly under climate change scenarios. Second, the dominant role of</w:t>
      </w:r>
      <w:r>
        <w:t xml:space="preserve"> </w:t>
      </w:r>
      <w:r>
        <w:rPr>
          <w:i/>
          <w:iCs/>
        </w:rPr>
        <w:t xml:space="preserve">P. agardhii</w:t>
      </w:r>
      <w:r>
        <w:t xml:space="preserve"> </w:t>
      </w:r>
      <w:r>
        <w:t xml:space="preserve">is specific to Yuqiao Reservoir; other systems may harbor different producer taxa (e.g.,</w:t>
      </w:r>
      <w:r>
        <w:t xml:space="preserve"> </w:t>
      </w:r>
      <w:r>
        <w:rPr>
          <w:i/>
          <w:iCs/>
        </w:rPr>
        <w:t xml:space="preserve">Dolichospermum</w:t>
      </w:r>
      <w:r>
        <w:t xml:space="preserve">,</w:t>
      </w:r>
      <w:r>
        <w:t xml:space="preserve"> </w:t>
      </w:r>
      <w:r>
        <w:rPr>
          <w:i/>
          <w:iCs/>
        </w:rPr>
        <w:t xml:space="preserve">Aphanizomenon</w:t>
      </w:r>
      <w:r>
        <w:t xml:space="preserve">) with distinct ecological drivers</w:t>
      </w:r>
      <w:r>
        <w:t xml:space="preserve"> </w:t>
      </w:r>
      <w:r>
        <w:t xml:space="preserve">(Choo et al., 2025; Izaguirre and Taylor, 2004; Su et al., 2013)</w:t>
      </w:r>
      <w:r>
        <w:t xml:space="preserve">. Third, the predictive models require validation across diverse reservoir types and geographical settings to assess their broader applicability.</w:t>
      </w:r>
    </w:p>
    <w:p>
      <w:pPr>
        <w:pStyle w:val="BodyText"/>
      </w:pPr>
      <w:r>
        <w:t xml:space="preserve">Future research should focus on: (1) integrating molecular tools to characterize the diversity and expression of geosmin synthesis genes within cyanobacterial communities, (2) coupling ecological monitoring with high-resolution hydrodynamic modeling to precisely quantify transport pathways and residence times, and (3) conducting cost-benefit analyses to evaluate the economic viability of implementing expanded littoral monitoring programs. Furthermore, investigating the interactions between climate variables (e.g., warming, extreme precipitation) and the identified production-transport mechanisms will be crucial for forecasting future risk scenarios.</w:t>
      </w:r>
      <w:r>
        <w:t xml:space="preserve"> </w:t>
      </w:r>
      <w:r>
        <w:t xml:space="preserve">By unraveling the spatiotemporal mechanisms of geosmin production and transport, and by establishing quantifiable early-warning indicators, this work provides a scientific foundation for moving beyond reactive response. It equips water managers with a proactive strategy to safeguard drinking water quality against this persistent olfactory challenge.</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8"/>
    <w:bookmarkStart w:id="229" w:name="references"/>
    <w:p>
      <w:pPr>
        <w:pStyle w:val="Heading1"/>
      </w:pPr>
      <w:r>
        <w:t xml:space="preserve">References</w:t>
      </w:r>
    </w:p>
    <w:bookmarkStart w:id="22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9">
        <w:r>
          <w:rPr>
            <w:rStyle w:val="Hyperlink"/>
          </w:rPr>
          <w:t xml:space="preserve">https://doi.org/10.1016/j.jhazmat.2025.140118</w:t>
        </w:r>
      </w:hyperlink>
    </w:p>
    <w:bookmarkEnd w:id="70"/>
    <w:bookmarkStart w:id="72" w:name="ref-arora2022sustainable"/>
    <w:p>
      <w:pPr>
        <w:pStyle w:val="Bibliography"/>
      </w:pPr>
      <w:r>
        <w:t xml:space="preserve">Arora, N.K., Mishra, I., 2022. Sustainable development goal 6: Global water security. Environmental Sustainability 5, 271–275.</w:t>
      </w:r>
      <w:r>
        <w:t xml:space="preserve"> </w:t>
      </w:r>
      <w:hyperlink r:id="rId71">
        <w:r>
          <w:rPr>
            <w:rStyle w:val="Hyperlink"/>
          </w:rPr>
          <w:t xml:space="preserve">https://doi.org/10.1007/s42398-022-00246-5</w:t>
        </w:r>
      </w:hyperlink>
    </w:p>
    <w:bookmarkEnd w:id="72"/>
    <w:bookmarkStart w:id="74"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3">
        <w:r>
          <w:rPr>
            <w:rStyle w:val="Hyperlink"/>
          </w:rPr>
          <w:t xml:space="preserve">https://doi.org/10.1007/s00018-003-2079-y</w:t>
        </w:r>
      </w:hyperlink>
    </w:p>
    <w:bookmarkEnd w:id="74"/>
    <w:bookmarkStart w:id="75" w:name="ref-american2010algae"/>
    <w:p>
      <w:pPr>
        <w:pStyle w:val="Bibliography"/>
      </w:pPr>
      <w:r>
        <w:t xml:space="preserve">AWWA, A.W.W.A., 2010. Algae: Source to treatment. American Water Works Association.</w:t>
      </w:r>
    </w:p>
    <w:bookmarkEnd w:id="75"/>
    <w:bookmarkStart w:id="77"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76">
        <w:r>
          <w:rPr>
            <w:rStyle w:val="Hyperlink"/>
          </w:rPr>
          <w:t xml:space="preserve">https://doi.org/10.2166/wst.1992.0060</w:t>
        </w:r>
      </w:hyperlink>
    </w:p>
    <w:bookmarkEnd w:id="77"/>
    <w:bookmarkStart w:id="79" w:name="ref-burlingame2017humans"/>
    <w:p>
      <w:pPr>
        <w:pStyle w:val="Bibliography"/>
      </w:pPr>
      <w:r>
        <w:t xml:space="preserve">Burlingame, G.A., Doty, R.L., Dietrich, A.M., 2017. Humans as sensors to evaluate drinking water taste and odor: A review. Journal AWWA 109, 13–24.</w:t>
      </w:r>
      <w:r>
        <w:t xml:space="preserve"> </w:t>
      </w:r>
      <w:hyperlink r:id="rId78">
        <w:r>
          <w:rPr>
            <w:rStyle w:val="Hyperlink"/>
          </w:rPr>
          <w:t xml:space="preserve">https://doi.org/10.5942/jawwa.2017.109.0118</w:t>
        </w:r>
      </w:hyperlink>
    </w:p>
    <w:bookmarkEnd w:id="79"/>
    <w:bookmarkStart w:id="81"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0">
        <w:r>
          <w:rPr>
            <w:rStyle w:val="Hyperlink"/>
          </w:rPr>
          <w:t xml:space="preserve">https://doi.org/10.1016/j.hal.2017.09.006</w:t>
        </w:r>
      </w:hyperlink>
    </w:p>
    <w:bookmarkEnd w:id="81"/>
    <w:bookmarkStart w:id="83"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2">
        <w:r>
          <w:rPr>
            <w:rStyle w:val="Hyperlink"/>
          </w:rPr>
          <w:t xml:space="preserve">https://doi.org/10.1016/j.watres.2025.123336</w:t>
        </w:r>
      </w:hyperlink>
    </w:p>
    <w:bookmarkEnd w:id="83"/>
    <w:bookmarkStart w:id="85"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4">
        <w:r>
          <w:rPr>
            <w:rStyle w:val="Hyperlink"/>
          </w:rPr>
          <w:t xml:space="preserve">https://doi.org/10.1289/ehp.01109663</w:t>
        </w:r>
      </w:hyperlink>
    </w:p>
    <w:bookmarkEnd w:id="85"/>
    <w:bookmarkStart w:id="87"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86">
        <w:r>
          <w:rPr>
            <w:rStyle w:val="Hyperlink"/>
          </w:rPr>
          <w:t xml:space="preserve">https://doi.org/10.1016/j.ecss.2016.01.043</w:t>
        </w:r>
      </w:hyperlink>
    </w:p>
    <w:bookmarkEnd w:id="87"/>
    <w:bookmarkStart w:id="89"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88">
        <w:r>
          <w:rPr>
            <w:rStyle w:val="Hyperlink"/>
          </w:rPr>
          <w:t xml:space="preserve">https://doi.org/10.2166/wpt.2022.167</w:t>
        </w:r>
      </w:hyperlink>
    </w:p>
    <w:bookmarkEnd w:id="89"/>
    <w:bookmarkStart w:id="91"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0">
        <w:r>
          <w:rPr>
            <w:rStyle w:val="Hyperlink"/>
          </w:rPr>
          <w:t xml:space="preserve">https://doi.org/10.1007/s11356-021-12973-z</w:t>
        </w:r>
      </w:hyperlink>
    </w:p>
    <w:bookmarkEnd w:id="91"/>
    <w:bookmarkStart w:id="9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2">
        <w:r>
          <w:rPr>
            <w:rStyle w:val="Hyperlink"/>
          </w:rPr>
          <w:t xml:space="preserve">https://doi.org/10.1016/j.watres.2025.124388</w:t>
        </w:r>
      </w:hyperlink>
    </w:p>
    <w:bookmarkEnd w:id="93"/>
    <w:bookmarkStart w:id="9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4">
        <w:r>
          <w:rPr>
            <w:rStyle w:val="Hyperlink"/>
          </w:rPr>
          <w:t xml:space="preserve">https://doi.org/10.1038/s41598-020-64774-y</w:t>
        </w:r>
      </w:hyperlink>
    </w:p>
    <w:bookmarkEnd w:id="95"/>
    <w:bookmarkStart w:id="97"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96">
        <w:r>
          <w:rPr>
            <w:rStyle w:val="Hyperlink"/>
          </w:rPr>
          <w:t xml:space="preserve">https://doi.org/10.1016/S0043-1354(00)00363-8</w:t>
        </w:r>
      </w:hyperlink>
    </w:p>
    <w:bookmarkEnd w:id="97"/>
    <w:bookmarkStart w:id="9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8">
        <w:r>
          <w:rPr>
            <w:rStyle w:val="Hyperlink"/>
          </w:rPr>
          <w:t xml:space="preserve">https://doi.org/10.1016/j.watres.2020.116478</w:t>
        </w:r>
      </w:hyperlink>
    </w:p>
    <w:bookmarkEnd w:id="99"/>
    <w:bookmarkStart w:id="101" w:name="ref-dordoni2023a"/>
    <w:p>
      <w:pPr>
        <w:pStyle w:val="Bibliography"/>
      </w:pPr>
      <w:r>
        <w:t xml:space="preserve">Dordoni, M., Zappalà, P., Barth, J.A.C., 2023. A preliminary global hydrochemical comparison of lakes and reservoirs. Frontiers in Water 5.</w:t>
      </w:r>
      <w:r>
        <w:t xml:space="preserve"> </w:t>
      </w:r>
      <w:hyperlink r:id="rId100">
        <w:r>
          <w:rPr>
            <w:rStyle w:val="Hyperlink"/>
          </w:rPr>
          <w:t xml:space="preserve">https://doi.org/10.3389/frwa.2023.1084050</w:t>
        </w:r>
      </w:hyperlink>
    </w:p>
    <w:bookmarkEnd w:id="101"/>
    <w:bookmarkStart w:id="103"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02">
        <w:r>
          <w:rPr>
            <w:rStyle w:val="Hyperlink"/>
          </w:rPr>
          <w:t xml:space="preserve">https://doi.org/10.1016/j.watres.2024.122509</w:t>
        </w:r>
      </w:hyperlink>
    </w:p>
    <w:bookmarkEnd w:id="103"/>
    <w:bookmarkStart w:id="105" w:name="ref-feng2021concerns"/>
    <w:p>
      <w:pPr>
        <w:pStyle w:val="Bibliography"/>
      </w:pPr>
      <w:r>
        <w:t xml:space="preserve">Feng, L., Dai, Y., Hou, X., Xu, Y., Liu, J., Zheng, C., 2021. Concerns about phytoplankton bloom trends in global lakes. Nature 590, E35–E47.</w:t>
      </w:r>
      <w:r>
        <w:t xml:space="preserve"> </w:t>
      </w:r>
      <w:hyperlink r:id="rId104">
        <w:r>
          <w:rPr>
            <w:rStyle w:val="Hyperlink"/>
          </w:rPr>
          <w:t xml:space="preserve">https://doi.org/10.1038/s41586-021-03254-3</w:t>
        </w:r>
      </w:hyperlink>
    </w:p>
    <w:bookmarkEnd w:id="105"/>
    <w:bookmarkStart w:id="107"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06">
        <w:r>
          <w:rPr>
            <w:rStyle w:val="Hyperlink"/>
          </w:rPr>
          <w:t xml:space="preserve">https://doi.org/10.3109/10408417909082014</w:t>
        </w:r>
      </w:hyperlink>
    </w:p>
    <w:bookmarkEnd w:id="107"/>
    <w:bookmarkStart w:id="109" w:name="ref-gerber1965geosmin"/>
    <w:p>
      <w:pPr>
        <w:pStyle w:val="Bibliography"/>
      </w:pPr>
      <w:r>
        <w:t xml:space="preserve">Gerber, N.N., Lechevalier, H.A., 1965.</w:t>
      </w:r>
      <w:r>
        <w:t xml:space="preserve"> </w:t>
      </w:r>
      <w:hyperlink r:id="rId108">
        <w:r>
          <w:rPr>
            <w:rStyle w:val="Hyperlink"/>
          </w:rPr>
          <w:t xml:space="preserve">Geosmin, an earthy-smelling substance isolated from actinomycetes</w:t>
        </w:r>
      </w:hyperlink>
      <w:r>
        <w:t xml:space="preserve">. Applied Microbiology 13, 935–938.</w:t>
      </w:r>
    </w:p>
    <w:bookmarkEnd w:id="109"/>
    <w:bookmarkStart w:id="11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10">
        <w:r>
          <w:rPr>
            <w:rStyle w:val="Hyperlink"/>
          </w:rPr>
          <w:t xml:space="preserve">https://doi.org/10.1021/es102992p</w:t>
        </w:r>
      </w:hyperlink>
    </w:p>
    <w:bookmarkEnd w:id="111"/>
    <w:bookmarkStart w:id="113"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12">
        <w:r>
          <w:rPr>
            <w:rStyle w:val="Hyperlink"/>
          </w:rPr>
          <w:t xml:space="preserve">https://doi.org/10.1021/es801465w</w:t>
        </w:r>
      </w:hyperlink>
    </w:p>
    <w:bookmarkEnd w:id="113"/>
    <w:bookmarkStart w:id="115"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14">
        <w:r>
          <w:rPr>
            <w:rStyle w:val="Hyperlink"/>
          </w:rPr>
          <w:t xml:space="preserve">https://doi.org/10.1016/j.watres.2024.122767</w:t>
        </w:r>
      </w:hyperlink>
    </w:p>
    <w:bookmarkEnd w:id="115"/>
    <w:bookmarkStart w:id="117"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16">
        <w:r>
          <w:rPr>
            <w:rStyle w:val="Hyperlink"/>
          </w:rPr>
          <w:t xml:space="preserve">https://doi.org/10.1016/j.hal.2019.01.010</w:t>
        </w:r>
      </w:hyperlink>
    </w:p>
    <w:bookmarkEnd w:id="117"/>
    <w:bookmarkStart w:id="119"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18">
        <w:r>
          <w:rPr>
            <w:rStyle w:val="Hyperlink"/>
          </w:rPr>
          <w:t xml:space="preserve">https://doi.org/10.1016/j.hal.2008.08.006</w:t>
        </w:r>
      </w:hyperlink>
    </w:p>
    <w:bookmarkEnd w:id="119"/>
    <w:bookmarkStart w:id="121"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20">
        <w:r>
          <w:rPr>
            <w:rStyle w:val="Hyperlink"/>
          </w:rPr>
          <w:t xml:space="preserve">https://doi.org/10.1016/j.watres.2023.119693</w:t>
        </w:r>
      </w:hyperlink>
    </w:p>
    <w:bookmarkEnd w:id="121"/>
    <w:bookmarkStart w:id="123" w:name="ref-huisman2018cyanobacterial"/>
    <w:p>
      <w:pPr>
        <w:pStyle w:val="Bibliography"/>
      </w:pPr>
      <w:r>
        <w:t xml:space="preserve">Huisman, J., Codd, G.A., Paerl, H.W., Ibelings, B.W., Verspagen, J.M.H., Visser, P.M., 2018. Cyanobacterial blooms. Nature Reviews Microbiology 16, 471–483.</w:t>
      </w:r>
      <w:r>
        <w:t xml:space="preserve"> </w:t>
      </w:r>
      <w:hyperlink r:id="rId122">
        <w:r>
          <w:rPr>
            <w:rStyle w:val="Hyperlink"/>
          </w:rPr>
          <w:t xml:space="preserve">https://doi.org/10.1038/s41579-018-0040-1</w:t>
        </w:r>
      </w:hyperlink>
    </w:p>
    <w:bookmarkEnd w:id="123"/>
    <w:bookmarkStart w:id="125"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24">
        <w:r>
          <w:rPr>
            <w:rStyle w:val="Hyperlink"/>
          </w:rPr>
          <w:t xml:space="preserve">https://doi.org/10.2166/wst.1992.0055</w:t>
        </w:r>
      </w:hyperlink>
    </w:p>
    <w:bookmarkEnd w:id="125"/>
    <w:bookmarkStart w:id="127" w:name="ref-izaguirre2004a"/>
    <w:p>
      <w:pPr>
        <w:pStyle w:val="Bibliography"/>
      </w:pPr>
      <w:r>
        <w:t xml:space="preserve">Izaguirre, G., Taylor, W.D., 2004. A guide to geosmin- and MIB-producing cyanobacteria in the united states. Water Science and Technology 49, 19–24.</w:t>
      </w:r>
      <w:r>
        <w:t xml:space="preserve"> </w:t>
      </w:r>
      <w:hyperlink r:id="rId126">
        <w:r>
          <w:rPr>
            <w:rStyle w:val="Hyperlink"/>
          </w:rPr>
          <w:t xml:space="preserve">https://doi.org/10.2166/wst.2004.0524</w:t>
        </w:r>
      </w:hyperlink>
    </w:p>
    <w:bookmarkEnd w:id="127"/>
    <w:bookmarkStart w:id="129"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28">
        <w:r>
          <w:rPr>
            <w:rStyle w:val="Hyperlink"/>
          </w:rPr>
          <w:t xml:space="preserve">https://doi.org/0043-1354(94)90306-9</w:t>
        </w:r>
      </w:hyperlink>
    </w:p>
    <w:bookmarkEnd w:id="129"/>
    <w:bookmarkStart w:id="131"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30">
        <w:r>
          <w:rPr>
            <w:rStyle w:val="Hyperlink"/>
          </w:rPr>
          <w:t xml:space="preserve">https://doi.org/10.1016/j.hal.2019.101658</w:t>
        </w:r>
      </w:hyperlink>
    </w:p>
    <w:bookmarkEnd w:id="131"/>
    <w:bookmarkStart w:id="133"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32">
        <w:r>
          <w:rPr>
            <w:rStyle w:val="Hyperlink"/>
          </w:rPr>
          <w:t xml:space="preserve">https://doi.org/10.1016/j.watres.2018.02.041</w:t>
        </w:r>
      </w:hyperlink>
    </w:p>
    <w:bookmarkEnd w:id="133"/>
    <w:bookmarkStart w:id="135"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34">
        <w:r>
          <w:rPr>
            <w:rStyle w:val="Hyperlink"/>
          </w:rPr>
          <w:t xml:space="preserve">https://doi.org/10.1128/aem.02250-06</w:t>
        </w:r>
      </w:hyperlink>
    </w:p>
    <w:bookmarkEnd w:id="135"/>
    <w:bookmarkStart w:id="137"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36">
        <w:r>
          <w:rPr>
            <w:rStyle w:val="Hyperlink"/>
          </w:rPr>
          <w:t xml:space="preserve">https://doi.org/10.1016/b978-0-12-385876-4.00004-9</w:t>
        </w:r>
      </w:hyperlink>
    </w:p>
    <w:bookmarkEnd w:id="137"/>
    <w:bookmarkStart w:id="139"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38">
        <w:r>
          <w:rPr>
            <w:rStyle w:val="Hyperlink"/>
          </w:rPr>
          <w:t xml:space="preserve">https://doi.org/10.1111/j.1365-2486.2011.02488.x</w:t>
        </w:r>
      </w:hyperlink>
    </w:p>
    <w:bookmarkEnd w:id="139"/>
    <w:bookmarkStart w:id="141"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40">
        <w:r>
          <w:rPr>
            <w:rStyle w:val="Hyperlink"/>
          </w:rPr>
          <w:t xml:space="preserve">https://doi.org/10.1016/j.jglr.2014.03.016</w:t>
        </w:r>
      </w:hyperlink>
    </w:p>
    <w:bookmarkEnd w:id="141"/>
    <w:bookmarkStart w:id="143"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142">
        <w:r>
          <w:rPr>
            <w:rStyle w:val="Hyperlink"/>
          </w:rPr>
          <w:t xml:space="preserve">https://doi.org/10.1111/j.1365-2427.2006.01689.x</w:t>
        </w:r>
      </w:hyperlink>
    </w:p>
    <w:bookmarkEnd w:id="143"/>
    <w:bookmarkStart w:id="145"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44">
        <w:r>
          <w:rPr>
            <w:rStyle w:val="Hyperlink"/>
          </w:rPr>
          <w:t xml:space="preserve">https://doi.org/10.1016/j.hal.2010.03.003</w:t>
        </w:r>
      </w:hyperlink>
    </w:p>
    <w:bookmarkEnd w:id="145"/>
    <w:bookmarkStart w:id="146" w:name="ref-lin2018taste"/>
    <w:p>
      <w:pPr>
        <w:pStyle w:val="Bibliography"/>
      </w:pPr>
      <w:r>
        <w:t xml:space="preserve">Lin, T.-F., Watson, S., Suffet, I.H.M., 2018. Taste and odour in source and drinking water: Causes, controls, and consequences. IWA Publishing.</w:t>
      </w:r>
    </w:p>
    <w:bookmarkEnd w:id="146"/>
    <w:bookmarkStart w:id="148"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7">
        <w:r>
          <w:rPr>
            <w:rStyle w:val="Hyperlink"/>
          </w:rPr>
          <w:t xml:space="preserve">https://doi.org/10.1016/j.watres.2023.120485</w:t>
        </w:r>
      </w:hyperlink>
    </w:p>
    <w:bookmarkEnd w:id="148"/>
    <w:bookmarkStart w:id="150"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49">
        <w:r>
          <w:rPr>
            <w:rStyle w:val="Hyperlink"/>
          </w:rPr>
          <w:t xml:space="preserve">https://doi.org/10.1016/j.watres.2024.121122</w:t>
        </w:r>
      </w:hyperlink>
    </w:p>
    <w:bookmarkEnd w:id="150"/>
    <w:bookmarkStart w:id="15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51">
        <w:r>
          <w:rPr>
            <w:rStyle w:val="Hyperlink"/>
          </w:rPr>
          <w:t xml:space="preserve">https://doi.org/10.1093/plankt/fbq033</w:t>
        </w:r>
      </w:hyperlink>
    </w:p>
    <w:bookmarkEnd w:id="152"/>
    <w:bookmarkStart w:id="15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53">
        <w:r>
          <w:rPr>
            <w:rStyle w:val="Hyperlink"/>
          </w:rPr>
          <w:t xml:space="preserve">https://doi.org/10.1016/j.envint.2013.06.013</w:t>
        </w:r>
      </w:hyperlink>
    </w:p>
    <w:bookmarkEnd w:id="154"/>
    <w:bookmarkStart w:id="15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55"/>
    <w:bookmarkStart w:id="157"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56">
        <w:r>
          <w:rPr>
            <w:rStyle w:val="Hyperlink"/>
          </w:rPr>
          <w:t xml:space="preserve">https://doi.org/10.1007/s10661-021-08980-9</w:t>
        </w:r>
      </w:hyperlink>
    </w:p>
    <w:bookmarkEnd w:id="157"/>
    <w:bookmarkStart w:id="15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58">
        <w:r>
          <w:rPr>
            <w:rStyle w:val="Hyperlink"/>
          </w:rPr>
          <w:t xml:space="preserve">https://doi.org/10.1016/j.hal.2011.10.027</w:t>
        </w:r>
      </w:hyperlink>
    </w:p>
    <w:bookmarkEnd w:id="159"/>
    <w:bookmarkStart w:id="160" w:name="ref-oliver2000freshwater"/>
    <w:p>
      <w:pPr>
        <w:pStyle w:val="Bibliography"/>
      </w:pPr>
      <w:r>
        <w:t xml:space="preserve">Oliver, R.L., Ganf, G.G., 2000. Freshwater blooms, in: The Ecology of Cyanobacteria: Their Diversity in Time and Space. Springer, pp. 149–194.</w:t>
      </w:r>
    </w:p>
    <w:bookmarkEnd w:id="160"/>
    <w:bookmarkStart w:id="162"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61">
        <w:r>
          <w:rPr>
            <w:rStyle w:val="Hyperlink"/>
          </w:rPr>
          <w:t xml:space="preserve">https://doi.org/10.1100/tsw.2001.16</w:t>
        </w:r>
      </w:hyperlink>
    </w:p>
    <w:bookmarkEnd w:id="162"/>
    <w:bookmarkStart w:id="164" w:name="ref-paerl2012climate"/>
    <w:p>
      <w:pPr>
        <w:pStyle w:val="Bibliography"/>
      </w:pPr>
      <w:r>
        <w:t xml:space="preserve">Paerl, H.W., Paul, V.J., 2012. Climate change: Links to global expansion of harmful cyanobacteria. Water Research 46, 1349–1363.</w:t>
      </w:r>
      <w:r>
        <w:t xml:space="preserve"> </w:t>
      </w:r>
      <w:hyperlink r:id="rId163">
        <w:r>
          <w:rPr>
            <w:rStyle w:val="Hyperlink"/>
          </w:rPr>
          <w:t xml:space="preserve">https://doi.org/10.1016/j.watres.2011.08.002</w:t>
        </w:r>
      </w:hyperlink>
    </w:p>
    <w:bookmarkEnd w:id="164"/>
    <w:bookmarkStart w:id="166"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65">
        <w:r>
          <w:rPr>
            <w:rStyle w:val="Hyperlink"/>
          </w:rPr>
          <w:t xml:space="preserve">https://doi.org/10.1016/j.watres.2010.09.018</w:t>
        </w:r>
      </w:hyperlink>
    </w:p>
    <w:bookmarkEnd w:id="166"/>
    <w:bookmarkStart w:id="168"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67">
        <w:r>
          <w:rPr>
            <w:rStyle w:val="Hyperlink"/>
          </w:rPr>
          <w:t xml:space="preserve">https://doi.org/10.1007/s10201-020-00630-2</w:t>
        </w:r>
      </w:hyperlink>
    </w:p>
    <w:bookmarkEnd w:id="168"/>
    <w:bookmarkStart w:id="170" w:name="ref-plaas2020toxic"/>
    <w:p>
      <w:pPr>
        <w:pStyle w:val="Bibliography"/>
      </w:pPr>
      <w:r>
        <w:t xml:space="preserve">Plaas, H.E., Paerl, H.W., 2020. Toxic cyanobacteria: A growing threat to water and air quality. Environmental Science &amp;amp; Technology 55, 44–64.</w:t>
      </w:r>
      <w:r>
        <w:t xml:space="preserve"> </w:t>
      </w:r>
      <w:hyperlink r:id="rId169">
        <w:r>
          <w:rPr>
            <w:rStyle w:val="Hyperlink"/>
          </w:rPr>
          <w:t xml:space="preserve">https://doi.org/10.1021/acs.est.0c06653</w:t>
        </w:r>
      </w:hyperlink>
    </w:p>
    <w:bookmarkEnd w:id="170"/>
    <w:bookmarkStart w:id="17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71">
        <w:r>
          <w:rPr>
            <w:rStyle w:val="Hyperlink"/>
          </w:rPr>
          <w:t xml:space="preserve">https://doi.org/10.1016/j.envpol.2021.117772</w:t>
        </w:r>
      </w:hyperlink>
    </w:p>
    <w:bookmarkEnd w:id="172"/>
    <w:bookmarkStart w:id="17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73">
        <w:r>
          <w:rPr>
            <w:rStyle w:val="Hyperlink"/>
          </w:rPr>
          <w:t xml:space="preserve">https://doi.org/10.3389/fevo.2023.1216567</w:t>
        </w:r>
      </w:hyperlink>
    </w:p>
    <w:bookmarkEnd w:id="174"/>
    <w:bookmarkStart w:id="176"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75">
        <w:r>
          <w:rPr>
            <w:rStyle w:val="Hyperlink"/>
          </w:rPr>
          <w:t xml:space="preserve">https://doi.org/10.1016/j.hal.2017.09.003</w:t>
        </w:r>
      </w:hyperlink>
    </w:p>
    <w:bookmarkEnd w:id="176"/>
    <w:bookmarkStart w:id="178"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77">
        <w:r>
          <w:rPr>
            <w:rStyle w:val="Hyperlink"/>
          </w:rPr>
          <w:t xml:space="preserve">https://doi.org/10.1016/j.watres.2022.118573</w:t>
        </w:r>
      </w:hyperlink>
    </w:p>
    <w:bookmarkEnd w:id="178"/>
    <w:bookmarkStart w:id="180"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79">
        <w:r>
          <w:rPr>
            <w:rStyle w:val="Hyperlink"/>
          </w:rPr>
          <w:t xml:space="preserve">https://doi.org/10.1016/j.watres.2020.115959</w:t>
        </w:r>
      </w:hyperlink>
    </w:p>
    <w:bookmarkEnd w:id="180"/>
    <w:bookmarkStart w:id="182"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81">
        <w:r>
          <w:rPr>
            <w:rStyle w:val="Hyperlink"/>
          </w:rPr>
          <w:t xml:space="preserve">https://doi.org/10.1007/978-94-007-3855-3_9</w:t>
        </w:r>
      </w:hyperlink>
    </w:p>
    <w:bookmarkEnd w:id="182"/>
    <w:bookmarkStart w:id="184"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83">
        <w:r>
          <w:rPr>
            <w:rStyle w:val="Hyperlink"/>
          </w:rPr>
          <w:t xml:space="preserve">https://doi.org/10.1080/07388550500248498</w:t>
        </w:r>
      </w:hyperlink>
    </w:p>
    <w:bookmarkEnd w:id="184"/>
    <w:bookmarkStart w:id="186"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85">
        <w:r>
          <w:rPr>
            <w:rStyle w:val="Hyperlink"/>
          </w:rPr>
          <w:t xml:space="preserve">https://doi.org/10.1016/s1001-0742(10)60367-1</w:t>
        </w:r>
      </w:hyperlink>
    </w:p>
    <w:bookmarkEnd w:id="186"/>
    <w:bookmarkStart w:id="188"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87">
        <w:r>
          <w:rPr>
            <w:rStyle w:val="Hyperlink"/>
          </w:rPr>
          <w:t xml:space="preserve">https://doi.org/J.scitotenv.2018.08.307</w:t>
        </w:r>
      </w:hyperlink>
    </w:p>
    <w:bookmarkEnd w:id="188"/>
    <w:bookmarkStart w:id="190"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189">
        <w:r>
          <w:rPr>
            <w:rStyle w:val="Hyperlink"/>
          </w:rPr>
          <w:t xml:space="preserve">https://doi.org/10.1016/j.watres.2013.03.043</w:t>
        </w:r>
      </w:hyperlink>
    </w:p>
    <w:bookmarkEnd w:id="190"/>
    <w:bookmarkStart w:id="192"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191">
        <w:r>
          <w:rPr>
            <w:rStyle w:val="Hyperlink"/>
          </w:rPr>
          <w:t xml:space="preserve">https://doi.org/10.1016/j.scitotenv.2016.08.134</w:t>
        </w:r>
      </w:hyperlink>
    </w:p>
    <w:bookmarkEnd w:id="192"/>
    <w:bookmarkStart w:id="194"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93">
        <w:r>
          <w:rPr>
            <w:rStyle w:val="Hyperlink"/>
          </w:rPr>
          <w:t xml:space="preserve">https://doi.org/10.1016/j.watres.2014.09.038</w:t>
        </w:r>
      </w:hyperlink>
    </w:p>
    <w:bookmarkEnd w:id="194"/>
    <w:bookmarkStart w:id="196"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95">
        <w:r>
          <w:rPr>
            <w:rStyle w:val="Hyperlink"/>
          </w:rPr>
          <w:t xml:space="preserve">https://doi.org/10.1016/j.watres.2021.116848</w:t>
        </w:r>
      </w:hyperlink>
    </w:p>
    <w:bookmarkEnd w:id="196"/>
    <w:bookmarkStart w:id="19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97">
        <w:r>
          <w:rPr>
            <w:rStyle w:val="Hyperlink"/>
          </w:rPr>
          <w:t xml:space="preserve">https://doi.org/10.1007/s11783-013-0577-1</w:t>
        </w:r>
      </w:hyperlink>
    </w:p>
    <w:bookmarkEnd w:id="198"/>
    <w:bookmarkStart w:id="20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99">
        <w:r>
          <w:rPr>
            <w:rStyle w:val="Hyperlink"/>
          </w:rPr>
          <w:t xml:space="preserve">https://doi.org/10.1016/j.watres.2014.09.037</w:t>
        </w:r>
      </w:hyperlink>
    </w:p>
    <w:bookmarkEnd w:id="200"/>
    <w:bookmarkStart w:id="202" w:name="ref-thornton1984regional"/>
    <w:p>
      <w:pPr>
        <w:pStyle w:val="Bibliography"/>
      </w:pPr>
      <w:r>
        <w:t xml:space="preserve">Thornton, K.W., 1984. REGIONAL COMPARISONS OF LAKES AND RESERVOIRS: GEOLOGY, CLIMATOLOGY, AND MORPHOLOGY. Lake and Reservoir Management 1, 261–265.</w:t>
      </w:r>
      <w:r>
        <w:t xml:space="preserve"> </w:t>
      </w:r>
      <w:hyperlink r:id="rId201">
        <w:r>
          <w:rPr>
            <w:rStyle w:val="Hyperlink"/>
          </w:rPr>
          <w:t xml:space="preserve">https://doi.org/10.1080/07438148409354521</w:t>
        </w:r>
      </w:hyperlink>
    </w:p>
    <w:bookmarkEnd w:id="202"/>
    <w:bookmarkStart w:id="204"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203">
        <w:r>
          <w:rPr>
            <w:rStyle w:val="Hyperlink"/>
          </w:rPr>
          <w:t xml:space="preserve">https://doi.org/10.2166/wst.2007.184</w:t>
        </w:r>
      </w:hyperlink>
    </w:p>
    <w:bookmarkEnd w:id="204"/>
    <w:bookmarkStart w:id="206"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05">
        <w:r>
          <w:rPr>
            <w:rStyle w:val="Hyperlink"/>
          </w:rPr>
          <w:t xml:space="preserve">https://doi.org/10.2216/i0031-8884-42-4-332.1</w:t>
        </w:r>
      </w:hyperlink>
    </w:p>
    <w:bookmarkEnd w:id="206"/>
    <w:bookmarkStart w:id="208"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207">
        <w:r>
          <w:rPr>
            <w:rStyle w:val="Hyperlink"/>
          </w:rPr>
          <w:t xml:space="preserve">https://doi.org/10.1038/s43017-020-0067-5</w:t>
        </w:r>
      </w:hyperlink>
    </w:p>
    <w:bookmarkEnd w:id="208"/>
    <w:bookmarkStart w:id="210"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09">
        <w:r>
          <w:rPr>
            <w:rStyle w:val="Hyperlink"/>
          </w:rPr>
          <w:t xml:space="preserve">https://doi.org/10.1016/j.jhazmat.2021.128056</w:t>
        </w:r>
      </w:hyperlink>
    </w:p>
    <w:bookmarkEnd w:id="210"/>
    <w:bookmarkStart w:id="212"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11">
        <w:r>
          <w:rPr>
            <w:rStyle w:val="Hyperlink"/>
          </w:rPr>
          <w:t xml:space="preserve">https://doi.org/10.4319/lo.2010.55.1.0420</w:t>
        </w:r>
      </w:hyperlink>
    </w:p>
    <w:bookmarkEnd w:id="212"/>
    <w:bookmarkStart w:id="214" w:name="ref-xu2014spatiotemporal"/>
    <w:p>
      <w:pPr>
        <w:pStyle w:val="Bibliography"/>
      </w:pPr>
      <w:r>
        <w:t xml:space="preserve">Xu, Y., Xie, R., Wang, Y., Sha, J., 2014. Spatio-temporal variations of water quality in yuqiao reservoir basin, north china. Frontiers of Environmental Science &amp;amp; Engineering 9, 649–664.</w:t>
      </w:r>
      <w:r>
        <w:t xml:space="preserve"> </w:t>
      </w:r>
      <w:hyperlink r:id="rId213">
        <w:r>
          <w:rPr>
            <w:rStyle w:val="Hyperlink"/>
          </w:rPr>
          <w:t xml:space="preserve">https://doi.org/10.1007/s11783-014-0702-9</w:t>
        </w:r>
      </w:hyperlink>
    </w:p>
    <w:bookmarkEnd w:id="214"/>
    <w:bookmarkStart w:id="21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15">
        <w:r>
          <w:rPr>
            <w:rStyle w:val="Hyperlink"/>
          </w:rPr>
          <w:t xml:space="preserve">https://doi.org/10.1126/science.319.5860.158a</w:t>
        </w:r>
      </w:hyperlink>
    </w:p>
    <w:bookmarkEnd w:id="216"/>
    <w:bookmarkStart w:id="21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17">
        <w:r>
          <w:rPr>
            <w:rStyle w:val="Hyperlink"/>
          </w:rPr>
          <w:t xml:space="preserve">https://doi.org/10.1016/j.jhazmat.2022.129838</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21">
        <w:r>
          <w:rPr>
            <w:rStyle w:val="Hyperlink"/>
          </w:rPr>
          <w:t xml:space="preserve">https://doi.org/10.1016/j.chemosphere.2017.04.028</w:t>
        </w:r>
      </w:hyperlink>
    </w:p>
    <w:bookmarkEnd w:id="222"/>
    <w:bookmarkStart w:id="22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23">
        <w:r>
          <w:rPr>
            <w:rStyle w:val="Hyperlink"/>
          </w:rPr>
          <w:t xml:space="preserve">https://doi.org/10.1016/j.watres.2023.119807</w:t>
        </w:r>
      </w:hyperlink>
    </w:p>
    <w:bookmarkEnd w:id="224"/>
    <w:bookmarkStart w:id="22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25"/>
    <w:bookmarkStart w:id="227" w:name="ref-zohary2014the"/>
    <w:p>
      <w:pPr>
        <w:pStyle w:val="Bibliography"/>
      </w:pPr>
      <w:r>
        <w:t xml:space="preserve">Zohary, T., Gasith, A., 2014. The littoral zone, in: Lake Kinneret. Springer Netherlands, pp. 517–532.</w:t>
      </w:r>
      <w:r>
        <w:t xml:space="preserve"> </w:t>
      </w:r>
      <w:hyperlink r:id="rId226">
        <w:r>
          <w:rPr>
            <w:rStyle w:val="Hyperlink"/>
          </w:rPr>
          <w:t xml:space="preserve">https://doi.org/10.1007/978-94-017-8944-8_29</w:t>
        </w:r>
      </w:hyperlink>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30" Target="media/rId30.png" /><Relationship Type="http://schemas.openxmlformats.org/officeDocument/2006/relationships/image" Id="rId60" Target="media/rId60.png" /><Relationship Type="http://schemas.openxmlformats.org/officeDocument/2006/relationships/image" Id="rId35" Target="media/rId35.png" /><Relationship Type="http://schemas.openxmlformats.org/officeDocument/2006/relationships/hyperlink" Id="rId108" Target="http://aem.asm.org/content/13/6/935.abstract" TargetMode="External" /><Relationship Type="http://schemas.openxmlformats.org/officeDocument/2006/relationships/hyperlink" Id="rId128" Target="https://doi.org/0043-1354(94)90306-9" TargetMode="External" /><Relationship Type="http://schemas.openxmlformats.org/officeDocument/2006/relationships/hyperlink" Id="rId181" Target="https://doi.org/10.1007/978-94-007-3855-3_9" TargetMode="External" /><Relationship Type="http://schemas.openxmlformats.org/officeDocument/2006/relationships/hyperlink" Id="rId226" Target="https://doi.org/10.1007/978-94-017-8944-8_29" TargetMode="External" /><Relationship Type="http://schemas.openxmlformats.org/officeDocument/2006/relationships/hyperlink" Id="rId73" Target="https://doi.org/10.1007/s00018-003-2079-y" TargetMode="External" /><Relationship Type="http://schemas.openxmlformats.org/officeDocument/2006/relationships/hyperlink" Id="rId167" Target="https://doi.org/10.1007/s10201-020-00630-2" TargetMode="External" /><Relationship Type="http://schemas.openxmlformats.org/officeDocument/2006/relationships/hyperlink" Id="rId156" Target="https://doi.org/10.1007/s10661-021-08980-9" TargetMode="External" /><Relationship Type="http://schemas.openxmlformats.org/officeDocument/2006/relationships/hyperlink" Id="rId90" Target="https://doi.org/10.1007/s11356-021-12973-z" TargetMode="External" /><Relationship Type="http://schemas.openxmlformats.org/officeDocument/2006/relationships/hyperlink" Id="rId197" Target="https://doi.org/10.1007/s11783-013-0577-1" TargetMode="External" /><Relationship Type="http://schemas.openxmlformats.org/officeDocument/2006/relationships/hyperlink" Id="rId213" Target="https://doi.org/10.1007/s11783-014-0702-9" TargetMode="External" /><Relationship Type="http://schemas.openxmlformats.org/officeDocument/2006/relationships/hyperlink" Id="rId71" Target="https://doi.org/10.1007/s42398-022-00246-5" TargetMode="External" /><Relationship Type="http://schemas.openxmlformats.org/officeDocument/2006/relationships/hyperlink" Id="rId96" Target="https://doi.org/10.1016/S0043-1354(00)00363-8" TargetMode="External" /><Relationship Type="http://schemas.openxmlformats.org/officeDocument/2006/relationships/hyperlink" Id="rId136" Target="https://doi.org/10.1016/b978-0-12-385876-4.00004-9" TargetMode="External" /><Relationship Type="http://schemas.openxmlformats.org/officeDocument/2006/relationships/hyperlink" Id="rId221" Target="https://doi.org/10.1016/j.chemosphere.2017.04.028" TargetMode="External" /><Relationship Type="http://schemas.openxmlformats.org/officeDocument/2006/relationships/hyperlink" Id="rId86" Target="https://doi.org/10.1016/j.ecss.2016.01.043" TargetMode="External" /><Relationship Type="http://schemas.openxmlformats.org/officeDocument/2006/relationships/hyperlink" Id="rId153"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118" Target="https://doi.org/10.1016/j.hal.2008.08.006" TargetMode="External" /><Relationship Type="http://schemas.openxmlformats.org/officeDocument/2006/relationships/hyperlink" Id="rId144" Target="https://doi.org/10.1016/j.hal.2010.03.003" TargetMode="External" /><Relationship Type="http://schemas.openxmlformats.org/officeDocument/2006/relationships/hyperlink" Id="rId158" Target="https://doi.org/10.1016/j.hal.2011.10.027" TargetMode="External" /><Relationship Type="http://schemas.openxmlformats.org/officeDocument/2006/relationships/hyperlink" Id="rId175" Target="https://doi.org/10.1016/j.hal.2017.09.003" TargetMode="External" /><Relationship Type="http://schemas.openxmlformats.org/officeDocument/2006/relationships/hyperlink" Id="rId80" Target="https://doi.org/10.1016/j.hal.2017.09.006" TargetMode="External" /><Relationship Type="http://schemas.openxmlformats.org/officeDocument/2006/relationships/hyperlink" Id="rId116" Target="https://doi.org/10.1016/j.hal.2019.01.010" TargetMode="External" /><Relationship Type="http://schemas.openxmlformats.org/officeDocument/2006/relationships/hyperlink" Id="rId130" Target="https://doi.org/10.1016/j.hal.2019.101658" TargetMode="External" /><Relationship Type="http://schemas.openxmlformats.org/officeDocument/2006/relationships/hyperlink" Id="rId140" Target="https://doi.org/10.1016/j.jglr.2014.03.016" TargetMode="External" /><Relationship Type="http://schemas.openxmlformats.org/officeDocument/2006/relationships/hyperlink" Id="rId209" Target="https://doi.org/10.1016/j.jhazmat.2021.128056" TargetMode="External" /><Relationship Type="http://schemas.openxmlformats.org/officeDocument/2006/relationships/hyperlink" Id="rId21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191" Target="https://doi.org/10.1016/j.scitotenv.2016.08.134" TargetMode="External" /><Relationship Type="http://schemas.openxmlformats.org/officeDocument/2006/relationships/hyperlink" Id="rId165" Target="https://doi.org/10.1016/j.watres.2010.09.018" TargetMode="External" /><Relationship Type="http://schemas.openxmlformats.org/officeDocument/2006/relationships/hyperlink" Id="rId163" Target="https://doi.org/10.1016/j.watres.2011.08.002" TargetMode="External" /><Relationship Type="http://schemas.openxmlformats.org/officeDocument/2006/relationships/hyperlink" Id="rId189" Target="https://doi.org/10.1016/j.watres.2013.03.043" TargetMode="External" /><Relationship Type="http://schemas.openxmlformats.org/officeDocument/2006/relationships/hyperlink" Id="rId199" Target="https://doi.org/10.1016/j.watres.2014.09.037" TargetMode="External" /><Relationship Type="http://schemas.openxmlformats.org/officeDocument/2006/relationships/hyperlink" Id="rId193"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2" Target="https://doi.org/10.1016/j.watres.2018.02.041" TargetMode="External" /><Relationship Type="http://schemas.openxmlformats.org/officeDocument/2006/relationships/hyperlink" Id="rId179" Target="https://doi.org/10.1016/j.watres.2020.115959" TargetMode="External" /><Relationship Type="http://schemas.openxmlformats.org/officeDocument/2006/relationships/hyperlink" Id="rId98" Target="https://doi.org/10.1016/j.watres.2020.116478" TargetMode="External" /><Relationship Type="http://schemas.openxmlformats.org/officeDocument/2006/relationships/hyperlink" Id="rId195" Target="https://doi.org/10.1016/j.watres.2021.116848" TargetMode="External" /><Relationship Type="http://schemas.openxmlformats.org/officeDocument/2006/relationships/hyperlink" Id="rId177" Target="https://doi.org/10.1016/j.watres.2022.118573" TargetMode="External" /><Relationship Type="http://schemas.openxmlformats.org/officeDocument/2006/relationships/hyperlink" Id="rId120" Target="https://doi.org/10.1016/j.watres.2023.119693" TargetMode="External" /><Relationship Type="http://schemas.openxmlformats.org/officeDocument/2006/relationships/hyperlink" Id="rId223"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149" Target="https://doi.org/10.1016/j.watres.2024.121122" TargetMode="External" /><Relationship Type="http://schemas.openxmlformats.org/officeDocument/2006/relationships/hyperlink" Id="rId102" Target="https://doi.org/10.1016/j.watres.2024.122509" TargetMode="External" /><Relationship Type="http://schemas.openxmlformats.org/officeDocument/2006/relationships/hyperlink" Id="rId114" Target="https://doi.org/10.1016/j.watres.2024.122767" TargetMode="External" /><Relationship Type="http://schemas.openxmlformats.org/officeDocument/2006/relationships/hyperlink" Id="rId82" Target="https://doi.org/10.1016/j.watres.2025.123336" TargetMode="External" /><Relationship Type="http://schemas.openxmlformats.org/officeDocument/2006/relationships/hyperlink" Id="rId92" Target="https://doi.org/10.1016/j.watres.2025.124388" TargetMode="External" /><Relationship Type="http://schemas.openxmlformats.org/officeDocument/2006/relationships/hyperlink" Id="rId185" Target="https://doi.org/10.1016/s1001-0742(10)60367-1" TargetMode="External" /><Relationship Type="http://schemas.openxmlformats.org/officeDocument/2006/relationships/hyperlink" Id="rId169" Target="https://doi.org/10.1021/acs.est.0c06653" TargetMode="External" /><Relationship Type="http://schemas.openxmlformats.org/officeDocument/2006/relationships/hyperlink" Id="rId110" Target="https://doi.org/10.1021/es102992p" TargetMode="External" /><Relationship Type="http://schemas.openxmlformats.org/officeDocument/2006/relationships/hyperlink" Id="rId112" Target="https://doi.org/10.1021/es801465w" TargetMode="External" /><Relationship Type="http://schemas.openxmlformats.org/officeDocument/2006/relationships/hyperlink" Id="rId122" Target="https://doi.org/10.1038/s41579-018-0040-1" TargetMode="External" /><Relationship Type="http://schemas.openxmlformats.org/officeDocument/2006/relationships/hyperlink" Id="rId104" Target="https://doi.org/10.1038/s41586-021-03254-3" TargetMode="External" /><Relationship Type="http://schemas.openxmlformats.org/officeDocument/2006/relationships/hyperlink" Id="rId94" Target="https://doi.org/10.1038/s41598-020-64774-y" TargetMode="External" /><Relationship Type="http://schemas.openxmlformats.org/officeDocument/2006/relationships/hyperlink" Id="rId207" Target="https://doi.org/10.1038/s43017-020-0067-5" TargetMode="External" /><Relationship Type="http://schemas.openxmlformats.org/officeDocument/2006/relationships/hyperlink" Id="rId183" Target="https://doi.org/10.1080/07388550500248498" TargetMode="External" /><Relationship Type="http://schemas.openxmlformats.org/officeDocument/2006/relationships/hyperlink" Id="rId201" Target="https://doi.org/10.1080/07438148409354521" TargetMode="External" /><Relationship Type="http://schemas.openxmlformats.org/officeDocument/2006/relationships/hyperlink" Id="rId151" Target="https://doi.org/10.1093/plankt/fbq033" TargetMode="External" /><Relationship Type="http://schemas.openxmlformats.org/officeDocument/2006/relationships/hyperlink" Id="rId161" Target="https://doi.org/10.1100/tsw.2001.16" TargetMode="External" /><Relationship Type="http://schemas.openxmlformats.org/officeDocument/2006/relationships/hyperlink" Id="rId142" Target="https://doi.org/10.1111/j.1365-2427.2006.01689.x" TargetMode="External" /><Relationship Type="http://schemas.openxmlformats.org/officeDocument/2006/relationships/hyperlink" Id="rId138" Target="https://doi.org/10.1111/j.1365-2486.2011.02488.x" TargetMode="External" /><Relationship Type="http://schemas.openxmlformats.org/officeDocument/2006/relationships/hyperlink" Id="rId215" Target="https://doi.org/10.1126/science.319.5860.158a" TargetMode="External" /><Relationship Type="http://schemas.openxmlformats.org/officeDocument/2006/relationships/hyperlink" Id="rId134" Target="https://doi.org/10.1128/aem.02250-06" TargetMode="External" /><Relationship Type="http://schemas.openxmlformats.org/officeDocument/2006/relationships/hyperlink" Id="rId84" Target="https://doi.org/10.1289/ehp.01109663" TargetMode="External" /><Relationship Type="http://schemas.openxmlformats.org/officeDocument/2006/relationships/hyperlink" Id="rId88" Target="https://doi.org/10.2166/wpt.2022.167" TargetMode="External" /><Relationship Type="http://schemas.openxmlformats.org/officeDocument/2006/relationships/hyperlink" Id="rId124" Target="https://doi.org/10.2166/wst.1992.0055" TargetMode="External" /><Relationship Type="http://schemas.openxmlformats.org/officeDocument/2006/relationships/hyperlink" Id="rId76" Target="https://doi.org/10.2166/wst.1992.0060" TargetMode="External" /><Relationship Type="http://schemas.openxmlformats.org/officeDocument/2006/relationships/hyperlink" Id="rId126" Target="https://doi.org/10.2166/wst.2004.0524" TargetMode="External" /><Relationship Type="http://schemas.openxmlformats.org/officeDocument/2006/relationships/hyperlink" Id="rId203" Target="https://doi.org/10.2166/wst.2007.184" TargetMode="External" /><Relationship Type="http://schemas.openxmlformats.org/officeDocument/2006/relationships/hyperlink" Id="rId205" Target="https://doi.org/10.2216/i0031-8884-42-4-332.1" TargetMode="External" /><Relationship Type="http://schemas.openxmlformats.org/officeDocument/2006/relationships/hyperlink" Id="rId106" Target="https://doi.org/10.3109/10408417909082014" TargetMode="External" /><Relationship Type="http://schemas.openxmlformats.org/officeDocument/2006/relationships/hyperlink" Id="rId173" Target="https://doi.org/10.3389/fevo.2023.1216567" TargetMode="External" /><Relationship Type="http://schemas.openxmlformats.org/officeDocument/2006/relationships/hyperlink" Id="rId100" Target="https://doi.org/10.3389/frwa.2023.1084050" TargetMode="External" /><Relationship Type="http://schemas.openxmlformats.org/officeDocument/2006/relationships/hyperlink" Id="rId211" Target="https://doi.org/10.4319/lo.2010.55.1.0420" TargetMode="External" /><Relationship Type="http://schemas.openxmlformats.org/officeDocument/2006/relationships/hyperlink" Id="rId78" Target="https://doi.org/10.5942/jawwa.2017.109.0118" TargetMode="External" /><Relationship Type="http://schemas.openxmlformats.org/officeDocument/2006/relationships/hyperlink" Id="rId187"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8" Target="http://aem.asm.org/content/13/6/935.abstract" TargetMode="External" /><Relationship Type="http://schemas.openxmlformats.org/officeDocument/2006/relationships/hyperlink" Id="rId128" Target="https://doi.org/0043-1354(94)90306-9" TargetMode="External" /><Relationship Type="http://schemas.openxmlformats.org/officeDocument/2006/relationships/hyperlink" Id="rId181" Target="https://doi.org/10.1007/978-94-007-3855-3_9" TargetMode="External" /><Relationship Type="http://schemas.openxmlformats.org/officeDocument/2006/relationships/hyperlink" Id="rId226" Target="https://doi.org/10.1007/978-94-017-8944-8_29" TargetMode="External" /><Relationship Type="http://schemas.openxmlformats.org/officeDocument/2006/relationships/hyperlink" Id="rId73" Target="https://doi.org/10.1007/s00018-003-2079-y" TargetMode="External" /><Relationship Type="http://schemas.openxmlformats.org/officeDocument/2006/relationships/hyperlink" Id="rId167" Target="https://doi.org/10.1007/s10201-020-00630-2" TargetMode="External" /><Relationship Type="http://schemas.openxmlformats.org/officeDocument/2006/relationships/hyperlink" Id="rId156" Target="https://doi.org/10.1007/s10661-021-08980-9" TargetMode="External" /><Relationship Type="http://schemas.openxmlformats.org/officeDocument/2006/relationships/hyperlink" Id="rId90" Target="https://doi.org/10.1007/s11356-021-12973-z" TargetMode="External" /><Relationship Type="http://schemas.openxmlformats.org/officeDocument/2006/relationships/hyperlink" Id="rId197" Target="https://doi.org/10.1007/s11783-013-0577-1" TargetMode="External" /><Relationship Type="http://schemas.openxmlformats.org/officeDocument/2006/relationships/hyperlink" Id="rId213" Target="https://doi.org/10.1007/s11783-014-0702-9" TargetMode="External" /><Relationship Type="http://schemas.openxmlformats.org/officeDocument/2006/relationships/hyperlink" Id="rId71" Target="https://doi.org/10.1007/s42398-022-00246-5" TargetMode="External" /><Relationship Type="http://schemas.openxmlformats.org/officeDocument/2006/relationships/hyperlink" Id="rId96" Target="https://doi.org/10.1016/S0043-1354(00)00363-8" TargetMode="External" /><Relationship Type="http://schemas.openxmlformats.org/officeDocument/2006/relationships/hyperlink" Id="rId136" Target="https://doi.org/10.1016/b978-0-12-385876-4.00004-9" TargetMode="External" /><Relationship Type="http://schemas.openxmlformats.org/officeDocument/2006/relationships/hyperlink" Id="rId221" Target="https://doi.org/10.1016/j.chemosphere.2017.04.028" TargetMode="External" /><Relationship Type="http://schemas.openxmlformats.org/officeDocument/2006/relationships/hyperlink" Id="rId86" Target="https://doi.org/10.1016/j.ecss.2016.01.043" TargetMode="External" /><Relationship Type="http://schemas.openxmlformats.org/officeDocument/2006/relationships/hyperlink" Id="rId153"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118" Target="https://doi.org/10.1016/j.hal.2008.08.006" TargetMode="External" /><Relationship Type="http://schemas.openxmlformats.org/officeDocument/2006/relationships/hyperlink" Id="rId144" Target="https://doi.org/10.1016/j.hal.2010.03.003" TargetMode="External" /><Relationship Type="http://schemas.openxmlformats.org/officeDocument/2006/relationships/hyperlink" Id="rId158" Target="https://doi.org/10.1016/j.hal.2011.10.027" TargetMode="External" /><Relationship Type="http://schemas.openxmlformats.org/officeDocument/2006/relationships/hyperlink" Id="rId175" Target="https://doi.org/10.1016/j.hal.2017.09.003" TargetMode="External" /><Relationship Type="http://schemas.openxmlformats.org/officeDocument/2006/relationships/hyperlink" Id="rId80" Target="https://doi.org/10.1016/j.hal.2017.09.006" TargetMode="External" /><Relationship Type="http://schemas.openxmlformats.org/officeDocument/2006/relationships/hyperlink" Id="rId116" Target="https://doi.org/10.1016/j.hal.2019.01.010" TargetMode="External" /><Relationship Type="http://schemas.openxmlformats.org/officeDocument/2006/relationships/hyperlink" Id="rId130" Target="https://doi.org/10.1016/j.hal.2019.101658" TargetMode="External" /><Relationship Type="http://schemas.openxmlformats.org/officeDocument/2006/relationships/hyperlink" Id="rId140" Target="https://doi.org/10.1016/j.jglr.2014.03.016" TargetMode="External" /><Relationship Type="http://schemas.openxmlformats.org/officeDocument/2006/relationships/hyperlink" Id="rId209" Target="https://doi.org/10.1016/j.jhazmat.2021.128056" TargetMode="External" /><Relationship Type="http://schemas.openxmlformats.org/officeDocument/2006/relationships/hyperlink" Id="rId21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191" Target="https://doi.org/10.1016/j.scitotenv.2016.08.134" TargetMode="External" /><Relationship Type="http://schemas.openxmlformats.org/officeDocument/2006/relationships/hyperlink" Id="rId165" Target="https://doi.org/10.1016/j.watres.2010.09.018" TargetMode="External" /><Relationship Type="http://schemas.openxmlformats.org/officeDocument/2006/relationships/hyperlink" Id="rId163" Target="https://doi.org/10.1016/j.watres.2011.08.002" TargetMode="External" /><Relationship Type="http://schemas.openxmlformats.org/officeDocument/2006/relationships/hyperlink" Id="rId189" Target="https://doi.org/10.1016/j.watres.2013.03.043" TargetMode="External" /><Relationship Type="http://schemas.openxmlformats.org/officeDocument/2006/relationships/hyperlink" Id="rId199" Target="https://doi.org/10.1016/j.watres.2014.09.037" TargetMode="External" /><Relationship Type="http://schemas.openxmlformats.org/officeDocument/2006/relationships/hyperlink" Id="rId193"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2" Target="https://doi.org/10.1016/j.watres.2018.02.041" TargetMode="External" /><Relationship Type="http://schemas.openxmlformats.org/officeDocument/2006/relationships/hyperlink" Id="rId179" Target="https://doi.org/10.1016/j.watres.2020.115959" TargetMode="External" /><Relationship Type="http://schemas.openxmlformats.org/officeDocument/2006/relationships/hyperlink" Id="rId98" Target="https://doi.org/10.1016/j.watres.2020.116478" TargetMode="External" /><Relationship Type="http://schemas.openxmlformats.org/officeDocument/2006/relationships/hyperlink" Id="rId195" Target="https://doi.org/10.1016/j.watres.2021.116848" TargetMode="External" /><Relationship Type="http://schemas.openxmlformats.org/officeDocument/2006/relationships/hyperlink" Id="rId177" Target="https://doi.org/10.1016/j.watres.2022.118573" TargetMode="External" /><Relationship Type="http://schemas.openxmlformats.org/officeDocument/2006/relationships/hyperlink" Id="rId120" Target="https://doi.org/10.1016/j.watres.2023.119693" TargetMode="External" /><Relationship Type="http://schemas.openxmlformats.org/officeDocument/2006/relationships/hyperlink" Id="rId223"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149" Target="https://doi.org/10.1016/j.watres.2024.121122" TargetMode="External" /><Relationship Type="http://schemas.openxmlformats.org/officeDocument/2006/relationships/hyperlink" Id="rId102" Target="https://doi.org/10.1016/j.watres.2024.122509" TargetMode="External" /><Relationship Type="http://schemas.openxmlformats.org/officeDocument/2006/relationships/hyperlink" Id="rId114" Target="https://doi.org/10.1016/j.watres.2024.122767" TargetMode="External" /><Relationship Type="http://schemas.openxmlformats.org/officeDocument/2006/relationships/hyperlink" Id="rId82" Target="https://doi.org/10.1016/j.watres.2025.123336" TargetMode="External" /><Relationship Type="http://schemas.openxmlformats.org/officeDocument/2006/relationships/hyperlink" Id="rId92" Target="https://doi.org/10.1016/j.watres.2025.124388" TargetMode="External" /><Relationship Type="http://schemas.openxmlformats.org/officeDocument/2006/relationships/hyperlink" Id="rId185" Target="https://doi.org/10.1016/s1001-0742(10)60367-1" TargetMode="External" /><Relationship Type="http://schemas.openxmlformats.org/officeDocument/2006/relationships/hyperlink" Id="rId169" Target="https://doi.org/10.1021/acs.est.0c06653" TargetMode="External" /><Relationship Type="http://schemas.openxmlformats.org/officeDocument/2006/relationships/hyperlink" Id="rId110" Target="https://doi.org/10.1021/es102992p" TargetMode="External" /><Relationship Type="http://schemas.openxmlformats.org/officeDocument/2006/relationships/hyperlink" Id="rId112" Target="https://doi.org/10.1021/es801465w" TargetMode="External" /><Relationship Type="http://schemas.openxmlformats.org/officeDocument/2006/relationships/hyperlink" Id="rId122" Target="https://doi.org/10.1038/s41579-018-0040-1" TargetMode="External" /><Relationship Type="http://schemas.openxmlformats.org/officeDocument/2006/relationships/hyperlink" Id="rId104" Target="https://doi.org/10.1038/s41586-021-03254-3" TargetMode="External" /><Relationship Type="http://schemas.openxmlformats.org/officeDocument/2006/relationships/hyperlink" Id="rId94" Target="https://doi.org/10.1038/s41598-020-64774-y" TargetMode="External" /><Relationship Type="http://schemas.openxmlformats.org/officeDocument/2006/relationships/hyperlink" Id="rId207" Target="https://doi.org/10.1038/s43017-020-0067-5" TargetMode="External" /><Relationship Type="http://schemas.openxmlformats.org/officeDocument/2006/relationships/hyperlink" Id="rId183" Target="https://doi.org/10.1080/07388550500248498" TargetMode="External" /><Relationship Type="http://schemas.openxmlformats.org/officeDocument/2006/relationships/hyperlink" Id="rId201" Target="https://doi.org/10.1080/07438148409354521" TargetMode="External" /><Relationship Type="http://schemas.openxmlformats.org/officeDocument/2006/relationships/hyperlink" Id="rId151" Target="https://doi.org/10.1093/plankt/fbq033" TargetMode="External" /><Relationship Type="http://schemas.openxmlformats.org/officeDocument/2006/relationships/hyperlink" Id="rId161" Target="https://doi.org/10.1100/tsw.2001.16" TargetMode="External" /><Relationship Type="http://schemas.openxmlformats.org/officeDocument/2006/relationships/hyperlink" Id="rId142" Target="https://doi.org/10.1111/j.1365-2427.2006.01689.x" TargetMode="External" /><Relationship Type="http://schemas.openxmlformats.org/officeDocument/2006/relationships/hyperlink" Id="rId138" Target="https://doi.org/10.1111/j.1365-2486.2011.02488.x" TargetMode="External" /><Relationship Type="http://schemas.openxmlformats.org/officeDocument/2006/relationships/hyperlink" Id="rId215" Target="https://doi.org/10.1126/science.319.5860.158a" TargetMode="External" /><Relationship Type="http://schemas.openxmlformats.org/officeDocument/2006/relationships/hyperlink" Id="rId134" Target="https://doi.org/10.1128/aem.02250-06" TargetMode="External" /><Relationship Type="http://schemas.openxmlformats.org/officeDocument/2006/relationships/hyperlink" Id="rId84" Target="https://doi.org/10.1289/ehp.01109663" TargetMode="External" /><Relationship Type="http://schemas.openxmlformats.org/officeDocument/2006/relationships/hyperlink" Id="rId88" Target="https://doi.org/10.2166/wpt.2022.167" TargetMode="External" /><Relationship Type="http://schemas.openxmlformats.org/officeDocument/2006/relationships/hyperlink" Id="rId124" Target="https://doi.org/10.2166/wst.1992.0055" TargetMode="External" /><Relationship Type="http://schemas.openxmlformats.org/officeDocument/2006/relationships/hyperlink" Id="rId76" Target="https://doi.org/10.2166/wst.1992.0060" TargetMode="External" /><Relationship Type="http://schemas.openxmlformats.org/officeDocument/2006/relationships/hyperlink" Id="rId126" Target="https://doi.org/10.2166/wst.2004.0524" TargetMode="External" /><Relationship Type="http://schemas.openxmlformats.org/officeDocument/2006/relationships/hyperlink" Id="rId203" Target="https://doi.org/10.2166/wst.2007.184" TargetMode="External" /><Relationship Type="http://schemas.openxmlformats.org/officeDocument/2006/relationships/hyperlink" Id="rId205" Target="https://doi.org/10.2216/i0031-8884-42-4-332.1" TargetMode="External" /><Relationship Type="http://schemas.openxmlformats.org/officeDocument/2006/relationships/hyperlink" Id="rId106" Target="https://doi.org/10.3109/10408417909082014" TargetMode="External" /><Relationship Type="http://schemas.openxmlformats.org/officeDocument/2006/relationships/hyperlink" Id="rId173" Target="https://doi.org/10.3389/fevo.2023.1216567" TargetMode="External" /><Relationship Type="http://schemas.openxmlformats.org/officeDocument/2006/relationships/hyperlink" Id="rId100" Target="https://doi.org/10.3389/frwa.2023.1084050" TargetMode="External" /><Relationship Type="http://schemas.openxmlformats.org/officeDocument/2006/relationships/hyperlink" Id="rId211" Target="https://doi.org/10.4319/lo.2010.55.1.0420" TargetMode="External" /><Relationship Type="http://schemas.openxmlformats.org/officeDocument/2006/relationships/hyperlink" Id="rId78" Target="https://doi.org/10.5942/jawwa.2017.109.0118" TargetMode="External" /><Relationship Type="http://schemas.openxmlformats.org/officeDocument/2006/relationships/hyperlink" Id="rId187"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2026-01-01T16:57:34Z</dcterms:created>
  <dcterms:modified xsi:type="dcterms:W3CDTF">2026-01-01T16:57:34Z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