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Cyanobacterial blooms threaten drinking water safety through the production of taste-and-odor compounds such as geosmin. However, the spatiotemporal mechanisms linking bloom dynamics to odor episodes in reservoirs—critical drinking water sources—remain poorly quantified, hindering effective management. This study integrated a national-scale survey with a five-year, high-frequency monitoring program in Yuqiao Reservoir, a major water source in northern China. Nationally, geosmin was detected in 188 of 214 sites, with 14% exceeding the 10 ng L</w:t>
      </w:r>
      <w:r>
        <w:rPr>
          <w:vertAlign w:val="superscript"/>
        </w:rPr>
        <w:t xml:space="preserve">-1</w:t>
      </w:r>
      <w:r>
        <w:t xml:space="preserve"> </w:t>
      </w:r>
      <w:r>
        <w:t xml:space="preserve">odor threshold, confirming its widespread occurrence. In Yuqiao Reservoir,</w:t>
      </w:r>
      <w:r>
        <w:t xml:space="preserve"> </w:t>
      </w:r>
      <w:r>
        <w:rPr>
          <w:i/>
          <w:iCs/>
        </w:rPr>
        <w:t xml:space="preserve">Planktothrix agardhii</w:t>
      </w:r>
      <w:r>
        <w:t xml:space="preserve"> </w:t>
      </w:r>
      <w:r>
        <w:t xml:space="preserve">was identified as the dominant geosmin producer. A pronounced spatiotemporal decoupling was observed: littoral zones acted as production hotspots, with</w:t>
      </w:r>
      <w:r>
        <w:t xml:space="preserve"> </w:t>
      </w:r>
      <w:r>
        <w:rPr>
          <w:i/>
          <w:iCs/>
        </w:rPr>
        <w:t xml:space="preserve">P. agardhii</w:t>
      </w:r>
      <w:r>
        <w:t xml:space="preserve"> </w:t>
      </w:r>
      <w:r>
        <w:t xml:space="preserve">biomass peaking 8 days earlier than at the dam intake. Time-lagged correlation revealed that littoral biomass predicted intake geosmin with a 5-week lead time (R</w:t>
      </w:r>
      <w:r>
        <w:rPr>
          <w:vertAlign w:val="superscript"/>
        </w:rPr>
        <w:t xml:space="preserve">2</w:t>
      </w:r>
      <w:r>
        <w:t xml:space="preserve"> </w:t>
      </w:r>
      <w:r>
        <w:t xml:space="preserve">= 0.41). Ammonia was a key driver, showing the strongest correlation with geosmin in littoral zones (R</w:t>
      </w:r>
      <w:r>
        <w:rPr>
          <w:vertAlign w:val="superscript"/>
        </w:rPr>
        <w:t xml:space="preserve">2</w:t>
      </w:r>
      <w:r>
        <w:t xml:space="preserve"> </w:t>
      </w:r>
      <w:r>
        <w:t xml:space="preserve">= 0.37). We propose a conceptual transport model and a tiered monitoring framework that shifts focus from reactive intake sampling to proactive sentinel stations in littoral zones. This approach provides a critical early-warning window, enabling preventive measures to safeguard drinking water quality against geosmin episodes.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critical and elevated global threat to water security</w:t>
      </w:r>
      <w:r>
        <w:rPr>
          <w:vertAlign w:val="superscript"/>
        </w:rPr>
        <w:t xml:space="preserve">1–7</w:t>
      </w:r>
      <w:r>
        <w:t xml:space="preserve">. CyanoHABs in eutrophic shallow lakes have been extensively investigated</w:t>
      </w:r>
      <w:r>
        <w:rPr>
          <w:vertAlign w:val="superscript"/>
        </w:rPr>
        <w:t xml:space="preserve">8–14</w:t>
      </w:r>
      <w:r>
        <w:t xml:space="preserve">, while studies in reservoir systems remain insufficient. As the most important resource for drinking water, CyanoHABs in these reservoirs directly threaten drinking water safety through the production of toxins</w:t>
      </w:r>
      <w:r>
        <w:rPr>
          <w:vertAlign w:val="superscript"/>
        </w:rPr>
        <w:t xml:space="preserve">15–18</w:t>
      </w:r>
      <w:r>
        <w:t xml:space="preserve"> </w:t>
      </w:r>
      <w:r>
        <w:t xml:space="preserve">and taste-and-odor (T&amp;O) compounds</w:t>
      </w:r>
      <w:r>
        <w:rPr>
          <w:vertAlign w:val="superscript"/>
        </w:rPr>
        <w:t xml:space="preserve">19–22</w:t>
      </w:r>
      <w:r>
        <w:t xml:space="preserve">, therefore impacts both human health and water utility. For example, nearly half of China’s source-water reservoirs experience recurrent algal-derived T&amp;O episodes</w:t>
      </w:r>
      <w:r>
        <w:rPr>
          <w:vertAlign w:val="superscript"/>
        </w:rPr>
        <w:t xml:space="preserve">23</w:t>
      </w:r>
      <w:r>
        <w:t xml:space="preserve">. Unlike chemical contaminants, cyanobacterial populations can undergo exponential growth under favored aquatic conditions</w:t>
      </w:r>
      <w:r>
        <w:rPr>
          <w:vertAlign w:val="superscript"/>
        </w:rPr>
        <w:t xml:space="preserve">24,25</w:t>
      </w:r>
      <w:r>
        <w:t xml:space="preserve">, rapidly releasing metabolites with substantial concentrations</w:t>
      </w:r>
      <w:r>
        <w:rPr>
          <w:vertAlign w:val="superscript"/>
        </w:rPr>
        <w:t xml:space="preserve">17,26,27</w:t>
      </w:r>
      <w:r>
        <w:t xml:space="preserve">, that often exceeds the response capacity of conventional water treatment facilities</w:t>
      </w:r>
      <w:r>
        <w:rPr>
          <w:vertAlign w:val="superscript"/>
        </w:rPr>
        <w:t xml:space="preserve">28–30</w:t>
      </w:r>
      <w:r>
        <w:t xml:space="preserve">, therefore leading to widespread drinking water quality incidents</w:t>
      </w:r>
      <w:r>
        <w:rPr>
          <w:vertAlign w:val="superscript"/>
        </w:rPr>
        <w:t xml:space="preserve">22,31</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rPr>
          <w:vertAlign w:val="superscript"/>
        </w:rPr>
        <w:t xml:space="preserve">32,33</w:t>
      </w:r>
      <w:r>
        <w:t xml:space="preserve">. Conventional reservoir monitoring strategies, typically confined to sampling at water intakes that usully closed to the dam,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we hypothesis that, the littoral zones in reservoirs are characterized by markedly different environmental conditions, such as enhanced nutrient availability and light penetration</w:t>
      </w:r>
      <w:r>
        <w:rPr>
          <w:vertAlign w:val="superscript"/>
        </w:rPr>
        <w:t xml:space="preserve">34,35</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and 2-methylisoborneol (MIB) are among the most concerning terpenoid T&amp;O compounds produced by cyanobacteria</w:t>
      </w:r>
      <w:r>
        <w:rPr>
          <w:vertAlign w:val="superscript"/>
        </w:rPr>
        <w:t xml:space="preserve">36,37</w:t>
      </w:r>
      <w:r>
        <w:t xml:space="preserve">. Their low molecular weight and chemical properties allow them to penetrate conventional water treatment barriers and persist into tap water</w:t>
      </w:r>
      <w:r>
        <w:rPr>
          <w:vertAlign w:val="superscript"/>
        </w:rPr>
        <w:t xml:space="preserve">21,38</w:t>
      </w:r>
      <w:r>
        <w:t xml:space="preserve">, therefore impairing drinking water quality and consumer acceptance. In China, MIB-related events have been extensively documented, and site-specific control strategies—such as managing reservoir water levels</w:t>
      </w:r>
      <w:r>
        <w:rPr>
          <w:vertAlign w:val="superscript"/>
        </w:rPr>
        <w:t xml:space="preserve">20</w:t>
      </w:r>
      <w:r>
        <w:t xml:space="preserve"> </w:t>
      </w:r>
      <w:r>
        <w:t xml:space="preserve">or reducing hydraulic retention time</w:t>
      </w:r>
      <w:r>
        <w:rPr>
          <w:vertAlign w:val="superscript"/>
        </w:rPr>
        <w:t xml:space="preserve">39</w:t>
      </w:r>
      <w:r>
        <w:t xml:space="preserve">—have been developed in response. Geosmin, however, presents a different spatial and historical pattern. While traditionally more common in Southern Hemisphere waters</w:t>
      </w:r>
      <w:r>
        <w:rPr>
          <w:vertAlign w:val="superscript"/>
        </w:rPr>
        <w:t xml:space="preserve">40,41</w:t>
      </w:r>
      <w:r>
        <w:t xml:space="preserve">, geosmin episodes are now being reported with growing frequency across Northern Hemisphere lakes and reservoirs</w:t>
      </w:r>
      <w:r>
        <w:rPr>
          <w:vertAlign w:val="superscript"/>
        </w:rPr>
        <w:t xml:space="preserve">42,43</w:t>
      </w:r>
      <w:r>
        <w:t xml:space="preserve">. Complicating matters further, the cyanobacterial taxa capable of producing geosmin are phylogenetically more diverse than those linked to MIB</w:t>
      </w:r>
      <w:r>
        <w:rPr>
          <w:vertAlign w:val="superscript"/>
        </w:rPr>
        <w:t xml:space="preserve">44</w:t>
      </w:r>
      <w:r>
        <w:t xml:space="preserve">. This diversity makes it harder to find out the producing organisms and develop targeted management approaches, underscoring the need for more comprehensive study—particularly regarding the ecological niches and growth dynamics of these organisms in littoral zones.</w:t>
      </w:r>
    </w:p>
    <w:p>
      <w:pPr>
        <w:pStyle w:val="BodyText"/>
      </w:pPr>
      <w:r>
        <w:t xml:space="preserve">To bridge these knowledge gaps, we first analyzed recent national survey data to map the occurrence of geosmin across China’s drinking water sources. Building on this broader picture, we then selected a representative reservoir with a known history of geosmin episodes for detailed investigation. Through a five-year, spatially resolved monitoring program, we integrated water chemistry measurements, molecular profiling of algal communities, and advanced statistical models. Our results reveal a clear spatial decoupling between cyanobacterial communities and T&amp;O compound concentrations in littoral zones compared to the dam area. We further identify the key cyanobacterial taxa responsible for odor production and demonstrate that population dynamics in the littoral zone decisively shape T&amp;O levels at the drinking water intake. These findings reposition the littoral zone not merely as a peripheral area, but as a critical sentinel for early warning and a strategic leverage point for proactive intervention. By establishing this spatial and ecological link, our work supports a shift from reactive treatment toward preventive, risk-based management of cyanobacterial T&amp;O threats in reservoir-dependent water supplies.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one of the most extensive national surveys of this odorant to date. The dataset integrates our own multi-year monitoring results with high-quality geosmin measurements. Besides, we have also included a study with 33 reservoirs in Guangdong province</w:t>
      </w:r>
      <w:r>
        <w:rPr>
          <w:vertAlign w:val="superscript"/>
        </w:rPr>
        <w:t xml:space="preserve">45</w:t>
      </w:r>
      <w:r>
        <w:t xml:space="preserve">. In total, geosmin data from 214 distinct sampling sites across multiple provinces were analyzed to characterize its nationwide occurrence and spatial heterogeneity.</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critical drinking water source for Tianjin, China</w:t>
      </w:r>
      <w:r>
        <w:rPr>
          <w:vertAlign w:val="superscript"/>
        </w:rPr>
        <w:t xml:space="preserve">46,47</w:t>
      </w:r>
      <w:r>
        <w:t xml:space="preserve">. It has experienced persistent seasonal taste-and-odor episodes in recent years</w:t>
      </w:r>
      <w:r>
        <w:rPr>
          <w:vertAlign w:val="superscript"/>
        </w:rPr>
        <w:t xml:space="preserve">48,49</w:t>
      </w:r>
      <w:r>
        <w:t xml:space="preserve">. Reflecting its distinct bathymetry and hydrodynamic gradients, seven sampling sites (YQ01–YQ07) were established along a littoral-to-dam transect. Site YQ01, located in the deep lacustrine zone near the dam (max depth ~12 m), was sampled vertically (integrated water column). The remaining sites (YQ02–YQ07) were situated in shallower littoral and transitional zones (depth 2–4 m), where only surface water samples were collected. During the annual odor season, high-frequency sampling was conducted 2–3 times per week from 2019 to 2024. Samples for geosmin analysis, water chemistry, and phytoplankton were collected concurrently. All samples were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using headspace solid-phase microextraction (HS-SPME) coupled with gas chromatography-mass spectrometry (GC-MS; Agilent 6890GC-5973MSD) following a well-established protocol</w:t>
      </w:r>
      <w:r>
        <w:rPr>
          <w:vertAlign w:val="superscript"/>
        </w:rPr>
        <w:t xml:space="preserve">20</w:t>
      </w:r>
      <w:r>
        <w:t xml:space="preserve">. The method detection limit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performed using a multiparameter sonde (EXO2, Xylem, USA). Ammonium (NH</w:t>
      </w:r>
      <w:r>
        <w:rPr>
          <w:vertAlign w:val="subscript"/>
        </w:rPr>
        <w:t xml:space="preserve">4</w:t>
      </w:r>
      <w:r>
        <w:rPr>
          <w:vertAlign w:val="superscript"/>
        </w:rPr>
        <w:t xml:space="preserve">+</w:t>
      </w:r>
      <w:r>
        <w:t xml:space="preserve">-N), total nitrogen (TN), and total phosphorus (TP) were analyzed according to Chinese national standard methods for water quality.</w:t>
      </w:r>
    </w:p>
    <w:p>
      <w:pPr>
        <w:pStyle w:val="BodyText"/>
      </w:pPr>
      <w:r>
        <w:rPr>
          <w:b/>
          <w:bCs/>
        </w:rPr>
        <w:t xml:space="preserve">Phytoplankton analysis.</w:t>
      </w:r>
      <w:r>
        <w:t xml:space="preserve"> </w:t>
      </w:r>
      <w:r>
        <w:t xml:space="preserve">Phytoplankton samples were fixed with Lugol’s iodine solution (final concentration 5%). After 48-h sedimentation, samples were concentrated to 10 mL. Cell identification and enumeration were performed under an inverted microscope (Olympus BX51) using a Sedgewick–Rafter counting chamber. Biomass was expressed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Water samples for molecular analysis were collected concurrently with geosmin samples. Biomass was collected on 1.2-μm polycarbonate filters (Millipore) and stored at–80°C. Total genomic DNA was extracted using the FastDNA™Spin Kit for Soil (MP Biomedicals). The geosmin synthase gene (</w:t>
      </w:r>
      <w:r>
        <w:rPr>
          <w:i/>
          <w:iCs/>
        </w:rPr>
        <w:t xml:space="preserve">geoA</w:t>
      </w:r>
      <w:r>
        <w:t xml:space="preserve">) was amplified using cyanobacterium-specific primers</w:t>
      </w:r>
      <w:r>
        <w:rPr>
          <w:vertAlign w:val="superscript"/>
        </w:rPr>
        <w:t xml:space="preserve">50,51</w:t>
      </w:r>
      <w:r>
        <w:t xml:space="preserve">. Amplicons were visualized via agarose gel electrophoresis, and positive products were subjected to high-throughput sequencing. After quality filtering and primer removal, sequences were clustered into operational taxonomic units (OTUs) at 97% similarity. Representative sequences were taxonomically assigned via BLAST against public</w:t>
      </w:r>
      <w:r>
        <w:t xml:space="preserve"> </w:t>
      </w:r>
      <w:r>
        <w:rPr>
          <w:i/>
          <w:iCs/>
        </w:rPr>
        <w:t xml:space="preserve">geoA</w:t>
      </w:r>
      <w:r>
        <w:t xml:space="preserve"> </w:t>
      </w:r>
      <w:r>
        <w:t xml:space="preserve">databases, and a maximum-likelihood phylogenetic tree was constructed to confirm the identity of the dominant geosmin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To reduce noise from irregular sampling and align different time series, all data were aggregated to weekly means. For each sampling date, the corresponding week was defined from the preceding Monday.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 weekly mean</w:t>
      </w:r>
      <w:r>
        <w:t xml:space="preserve"> </w:t>
      </w:r>
      <w:r>
        <w:rPr>
          <w:i/>
          <w:iCs/>
        </w:rPr>
        <w:t xml:space="preserve">Planktothrix agardhii</w:t>
      </w:r>
      <w:r>
        <w:t xml:space="preserve"> </w:t>
      </w:r>
      <w:r>
        <w:t xml:space="preserve">biomass. For each site and lag period, a log–log linear model was fitted: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w:r>
        <w:rPr>
          <w:i/>
          <w:iCs/>
        </w:rPr>
        <w:t xml:space="preserve">G</w:t>
      </w:r>
      <w:r>
        <w:t xml:space="preserve"> </w:t>
      </w:r>
      <w:r>
        <w:t xml:space="preserve">is geosmin concentration (ng L</w:t>
      </w:r>
      <w:r>
        <w:rPr>
          <w:vertAlign w:val="superscript"/>
        </w:rPr>
        <w:t xml:space="preserve">-1</w:t>
      </w:r>
      <w:r>
        <w:t xml:space="preserve">) and</w:t>
      </w:r>
      <w:r>
        <w:t xml:space="preserve"> </w:t>
      </w:r>
      <w:r>
        <w:rPr>
          <w:i/>
          <w:iCs/>
        </w:rPr>
        <w:t xml:space="preserve">P</w:t>
      </w:r>
      <w:r>
        <w:t xml:space="preserve"> </w:t>
      </w:r>
      <w:r>
        <w:t xml:space="preserve">is</w:t>
      </w:r>
      <w:r>
        <w:t xml:space="preserve"> </w:t>
      </w:r>
      <w:r>
        <w:rPr>
          <w:i/>
          <w:iCs/>
        </w:rPr>
        <w:t xml:space="preserve">P. agardhii</w:t>
      </w:r>
      <w:r>
        <w:t xml:space="preserve"> </w:t>
      </w:r>
      <w:r>
        <w:t xml:space="preserve">cell density (cells L</w:t>
      </w:r>
      <w:r>
        <w:rPr>
          <w:vertAlign w:val="superscript"/>
        </w:rPr>
        <w:t xml:space="preserve">-1</w:t>
      </w:r>
      <w:r>
        <w:t xml:space="preserve">). To minimize the influence of background low values, only paired observations with geosmin &gt; 2 ng L</w:t>
      </w:r>
      <w:r>
        <w:rPr>
          <w:vertAlign w:val="superscript"/>
        </w:rPr>
        <w:t xml:space="preserve">-1</w:t>
      </w:r>
      <w:r>
        <w:t xml:space="preserve"> </w:t>
      </w:r>
      <w:r>
        <w:t xml:space="preserve">and positive biomass were included. A site was included in the lag analysis only if it contained≥20 valid weekly observations. The coefficient of determination (R</w:t>
      </w:r>
      <w:r>
        <w:rPr>
          <w:vertAlign w:val="superscript"/>
        </w:rPr>
        <w:t xml:space="preserve">2</w:t>
      </w:r>
      <w:r>
        <w:t xml:space="preserve">) was used to assess model fit. The lag period yielding the maximum R</w:t>
      </w:r>
      <w:r>
        <w:rPr>
          <w:vertAlign w:val="superscript"/>
        </w:rPr>
        <w:t xml:space="preserve">2</w:t>
      </w:r>
      <w:r>
        <w:t xml:space="preserve"> </w:t>
      </w:r>
      <w:r>
        <w:t xml:space="preserve">was defined as the optimal early-warning window for that site. The significance of the regression slope was evaluated using a t-test.</w:t>
      </w:r>
    </w:p>
    <w:p>
      <w:pPr>
        <w:pStyle w:val="BodyText"/>
      </w:pPr>
      <w:r>
        <w:rPr>
          <w:b/>
          <w:bCs/>
        </w:rPr>
        <w:t xml:space="preserve">Multivariate and spatial analysis.</w:t>
      </w:r>
      <w:r>
        <w:t xml:space="preserve"> </w:t>
      </w:r>
      <w:r>
        <w:t xml:space="preserve">Principal component analysis (PCA) was performed on standardized geosmin and environmental variables to explore their multivariate relationships. Zone-specific regression analyses (littoral, transitional, dam) were conducted to compare the strength of the ammonia–geosmin relationship across reservoir zones. Bathymetric data from field surveys were spatially interpolated using ordinary kriging to create a continuous depth map, illustrating the gradient from shallow littoral to deep lacustrine zones.</w:t>
      </w:r>
    </w:p>
    <w:p>
      <w:pPr>
        <w:pStyle w:val="BodyText"/>
      </w:pPr>
      <w:r>
        <w:rPr>
          <w:b/>
          <w:bCs/>
        </w:rPr>
        <w:t xml:space="preserve">Software.</w:t>
      </w:r>
      <w:r>
        <w:t xml:space="preserve"> </w:t>
      </w:r>
      <w:r>
        <w:t xml:space="preserve">All statistical analyses and visualizations were performed in R (version 4.4.2) using packages including</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A nationwide survey was conducted to assess geosmin (geosmin) concentrations across China’s major drinking water sources, encompassing a total of 214 sampling sites from reservoirs and key surface water bodies in 26 provinces. geosmin was detected in 188 locations. Measured concentrations spanned over four orders of magnitude, ranging from below detection limits to a maximum of 150 ng L</w:t>
      </w:r>
      <w:r>
        <w:rPr>
          <w:vertAlign w:val="superscript"/>
        </w:rPr>
        <w:t xml:space="preserve">-1</w:t>
      </w:r>
      <w:r>
        <w:t xml:space="preserve">, recorded at a site in Zhejiang Province. Overall, 14% of sampling sites exceeded the common odor threshold of 10 ng L</w:t>
      </w:r>
      <w:r>
        <w:rPr>
          <w:vertAlign w:val="superscript"/>
        </w:rPr>
        <w:t xml:space="preserve">-1</w:t>
      </w:r>
      <w:r>
        <w:t xml:space="preserve">. Geospatial analysis revealed pronounced heterogeneity. Elevated geosmin levels were broadly clustered in the eastern and southern regions, including the Yangtze River Delta, Pearl River Delta, and parts of North China. In contrast, concentrations in northwestern China (e.g., Tibet, Xinjiang, Qinghai) and certain central provinces were consistently low or below detection limits, corroborating a general east-high, west-low spatial pattern. This comprehensive dataset demonstrates that geosmin is a widespread odorant affecting drinking water sources across diverse climatic and geographical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To elucidate the temporal dynamics of geosmin occurrence, Yuqiao Reservoir (YQ, a key drinking water source in the Beijing-Tianjin-Hebei region) was selected for sustained, high-frequency monitoring at its primary water intake (site YQ01) from 2019 to 2024. The long-term record revealed a recurrent and pronounced seasonal cycle (</w:t>
      </w:r>
      <w:hyperlink w:anchor="fig-yqgsminvest">
        <w:r>
          <w:rPr>
            <w:rStyle w:val="Hyperlink"/>
          </w:rPr>
          <w:t xml:space="preserve">Fig. 2</w:t>
        </w:r>
      </w:hyperlink>
      <w:r>
        <w:t xml:space="preserve">A). Concentrations were consistently low (&lt;5 ng L</w:t>
      </w:r>
      <w:r>
        <w:rPr>
          <w:vertAlign w:val="superscript"/>
        </w:rPr>
        <w:t xml:space="preserve">-1</w:t>
      </w:r>
      <w:r>
        <w:t xml:space="preserve">) during spring (April–May), followed by a rapid increase in early summer (June) culminating in a primary peak during the warmest months (July–August). A second, broader peak persisted throughout autumn and early winter (October–December), after which levels gradually declined. The odor threshold of 10 ng L</w:t>
      </w:r>
      <w:r>
        <w:rPr>
          <w:vertAlign w:val="superscript"/>
        </w:rPr>
        <w:t xml:space="preserve">-1</w:t>
      </w:r>
      <w:r>
        <w:t xml:space="preserve"> </w:t>
      </w:r>
      <w:r>
        <w:t xml:space="preserve">was frequently exceeded. Analysis of the monthly median concentrations across water years (May to April) showed that the threshold was surpassed during at least 40%* of the summer months (July–September) and 100% of the autumn/early winter months (October–December) during the monitoring period, highlighting a persistent odor risk in the warmer half of the year.</w:t>
      </w:r>
    </w:p>
    <w:p>
      <w:pPr>
        <w:pStyle w:val="BodyText"/>
      </w:pPr>
      <w:r>
        <w:t xml:space="preserve">At the interannual scale (</w:t>
      </w:r>
      <w:hyperlink w:anchor="fig-yqgsminvest">
        <w:r>
          <w:rPr>
            <w:rStyle w:val="Hyperlink"/>
          </w:rPr>
          <w:t xml:space="preserve">Fig. 2</w:t>
        </w:r>
      </w:hyperlink>
      <w:r>
        <w:t xml:space="preserve">B, annual boxplots), geosmin concentrations exhibited a notable decreasing trend following an exceptionally high initial year. The median concentration in the 2019–2020 water year was 2.5 ng L</w:t>
      </w:r>
      <w:r>
        <w:rPr>
          <w:vertAlign w:val="superscript"/>
        </w:rPr>
        <w:t xml:space="preserve">-1</w:t>
      </w:r>
      <w:r>
        <w:t xml:space="preserve">, substantially exceeding the threshold. Subsequently, from 2020 to 2024, annual median concentrations stabilized within a lower range of 5.2–10 ng L</w:t>
      </w:r>
      <w:r>
        <w:rPr>
          <w:vertAlign w:val="superscript"/>
        </w:rPr>
        <w:t xml:space="preserve">-1</w:t>
      </w:r>
      <w:r>
        <w:t xml:space="preserve">. A Kruskal-Wallis test confirmed statistically significant differences among the annual datasets (χ</w:t>
      </w:r>
      <w:r>
        <w:rPr>
          <w:vertAlign w:val="superscript"/>
        </w:rPr>
        <w:t xml:space="preserve">2</w:t>
      </w:r>
      <w:r>
        <w:t xml:space="preserve">(4) = 64.3,</w:t>
      </w:r>
      <w:r>
        <w:t xml:space="preserve"> </w:t>
      </w:r>
      <w:r>
        <w:rPr>
          <w:i/>
          <w:iCs/>
        </w:rPr>
        <w:t xml:space="preserve">p</w:t>
      </w:r>
      <w:r>
        <w:t xml:space="preserve"> </w:t>
      </w:r>
      <w:r>
        <w:t xml:space="preserve">&lt; 0.001). This trend suggests a potential shift in baseline conditions or source inputs after the initial monitoring year, though seasonal peaks remained a consistent feature of the reservoir’s annual cycle.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4836770"/>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To investigate the relationship between geosmin occurrence and phytoplankton dynamics, high-resolution phytoplankton composition data from Yuqiao Reservoir (site YQ01, 2019–2024) were analyzed (</w:t>
      </w:r>
      <w:hyperlink w:anchor="fig-yqgsminvest">
        <w:r>
          <w:rPr>
            <w:rStyle w:val="Hyperlink"/>
          </w:rPr>
          <w:t xml:space="preserve">Fig. 2</w:t>
        </w:r>
      </w:hyperlink>
      <w:r>
        <w:t xml:space="preserve">B). The total phytoplankton biomass (expressed as log</w:t>
      </w:r>
      <w:r>
        <w:rPr>
          <w:vertAlign w:val="subscript"/>
        </w:rPr>
        <w:t xml:space="preserve">10</w:t>
      </w:r>
      <w:r>
        <w:t xml:space="preserve">-transformed cell density) exhibited a clear seasonal pattern, with the lowest levels observed in winter (January–March, ~10</w:t>
      </w:r>
      <w:r>
        <w:rPr>
          <w:vertAlign w:val="superscript"/>
        </w:rPr>
        <w:t xml:space="preserve">7</w:t>
      </w:r>
      <w:r>
        <w:t xml:space="preserve"> </w:t>
      </w:r>
      <w:r>
        <w:t xml:space="preserve">cells L</w:t>
      </w:r>
      <w:r>
        <w:rPr>
          <w:vertAlign w:val="superscript"/>
        </w:rPr>
        <w:t xml:space="preserve">-1</w:t>
      </w:r>
      <w:r>
        <w:t xml:space="preserve">) and a rapid increase beginning in spring (April). Biomass peaked during the summer months (July–September, &gt;10</w:t>
      </w:r>
      <w:r>
        <w:rPr>
          <w:vertAlign w:val="superscript"/>
        </w:rPr>
        <w:t xml:space="preserve">8</w:t>
      </w:r>
      <w:r>
        <w:t xml:space="preserve"> </w:t>
      </w:r>
      <w:r>
        <w:t xml:space="preserve">cells L</w:t>
      </w:r>
      <w:r>
        <w:rPr>
          <w:vertAlign w:val="superscript"/>
        </w:rPr>
        <w:t xml:space="preserve">-1</w:t>
      </w:r>
      <w:r>
        <w:t xml:space="preserve">), remained elevated through autumn (October–December), and then declined sharply in late winter, mirroring the general temporal trend of geosmin concentrations.</w:t>
      </w:r>
    </w:p>
    <w:p>
      <w:pPr>
        <w:pStyle w:val="BodyText"/>
      </w:pPr>
      <w:r>
        <w:t xml:space="preserve">Cyanobacteria dominated the phytoplankton community throughout most of the year, contributing substantially to total biomass. Their seasonal trajectory closely followed that of total phytoplankton, with the highest cyanobacterial biomass recorded from June to October. Within the cyanobacterial assemblage, several filamentous genera known for potential geosmin production exhibited distinct seasonal successions.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perennial but showed clear seasonality, with biomass maxima in summer and autumn.</w:t>
      </w:r>
      <w:r>
        <w:t xml:space="preserve"> </w:t>
      </w:r>
      <w:r>
        <w:rPr>
          <w:i/>
          <w:iCs/>
        </w:rPr>
        <w:t xml:space="preserve">Pseudanabaena catenata</w:t>
      </w:r>
      <w:r>
        <w:t xml:space="preserve"> </w:t>
      </w:r>
      <w:r>
        <w:t xml:space="preserve">was primarily a spring (April–May) taxon. Several</w:t>
      </w:r>
      <w:r>
        <w:t xml:space="preserve"> </w:t>
      </w:r>
      <w:r>
        <w:rPr>
          <w:i/>
          <w:iCs/>
        </w:rPr>
        <w:t xml:space="preserve">Dolichospermum</w:t>
      </w:r>
      <w:r>
        <w:t xml:space="preserve"> </w:t>
      </w:r>
      <w:r>
        <w:t xml:space="preserve">species (including</w:t>
      </w:r>
      <w:r>
        <w:t xml:space="preserve"> </w:t>
      </w:r>
      <w:r>
        <w:rPr>
          <w:i/>
          <w:iCs/>
        </w:rPr>
        <w:t xml:space="preserve">D. circinale</w:t>
      </w:r>
      <w:r>
        <w:t xml:space="preserve">,</w:t>
      </w:r>
      <w:r>
        <w:t xml:space="preserve"> </w:t>
      </w:r>
      <w:r>
        <w:rPr>
          <w:i/>
          <w:iCs/>
        </w:rPr>
        <w:t xml:space="preserve">D. circinalis</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D. spiroides</w:t>
      </w:r>
      <w:r>
        <w:t xml:space="preserve">) and</w:t>
      </w:r>
      <w:r>
        <w:t xml:space="preserve"> </w:t>
      </w:r>
      <w:r>
        <w:rPr>
          <w:i/>
          <w:iCs/>
        </w:rPr>
        <w:t xml:space="preserve">Aphanizomenon flos-aquae</w:t>
      </w:r>
      <w:r>
        <w:t xml:space="preserve"> </w:t>
      </w:r>
      <w:r>
        <w:t xml:space="preserve">typically emerged in late spring or early summer, proliferated during summer, and declined by late autumn. Other taxa, such as</w:t>
      </w:r>
      <w:r>
        <w:t xml:space="preserve"> </w:t>
      </w:r>
      <w:r>
        <w:rPr>
          <w:i/>
          <w:iCs/>
        </w:rPr>
        <w:t xml:space="preserve">Trichormus variabilis</w:t>
      </w:r>
      <w:r>
        <w:t xml:space="preserve">,</w:t>
      </w:r>
      <w:r>
        <w:t xml:space="preserve"> </w:t>
      </w:r>
      <w:r>
        <w:rPr>
          <w:i/>
          <w:iCs/>
        </w:rPr>
        <w:t xml:space="preserve">Dolichospermum circularis</w:t>
      </w:r>
      <w:r>
        <w:t xml:space="preserve">,</w:t>
      </w:r>
      <w:r>
        <w:t xml:space="preserve"> </w:t>
      </w:r>
      <w:r>
        <w:rPr>
          <w:i/>
          <w:iCs/>
        </w:rPr>
        <w:t xml:space="preserve">Microcoleus amoenus</w:t>
      </w:r>
      <w:r>
        <w:t xml:space="preserve">,</w:t>
      </w:r>
      <w:r>
        <w:t xml:space="preserve"> </w:t>
      </w:r>
      <w:r>
        <w:rPr>
          <w:i/>
          <w:iCs/>
        </w:rPr>
        <w:t xml:space="preserve">Geitlerinema splendidum</w:t>
      </w:r>
      <w:r>
        <w:t xml:space="preserve">, and</w:t>
      </w:r>
      <w:r>
        <w:t xml:space="preserve"> </w:t>
      </w:r>
      <w:r>
        <w:rPr>
          <w:i/>
          <w:iCs/>
        </w:rPr>
        <w:t xml:space="preserve">Pseudanabaena limnetica</w:t>
      </w:r>
      <w:r>
        <w:t xml:space="preserve">, displayed more sporadic occurrences, often with pronounced peaks limited to specific months within the warm season (e.g., June–August).</w:t>
      </w:r>
    </w:p>
    <w:p>
      <w:pPr>
        <w:pStyle w:val="BodyText"/>
      </w:pPr>
      <w:r>
        <w:t xml:space="preserve">The co-occurrence of elevated geosmin concentrations with periods of high cyanobacterial biomass, particularly during summer and autumn blooms dominated by known or putative geosmin-producing genera (e.g.,</w:t>
      </w:r>
      <w:r>
        <w:t xml:space="preserve"> </w:t>
      </w:r>
      <w:r>
        <w:rPr>
          <w:i/>
          <w:iCs/>
        </w:rPr>
        <w:t xml:space="preserve">Planktothrix</w:t>
      </w:r>
      <w:r>
        <w:t xml:space="preserve">,</w:t>
      </w:r>
      <w:r>
        <w:t xml:space="preserve"> </w:t>
      </w:r>
      <w:r>
        <w:rPr>
          <w:i/>
          <w:iCs/>
        </w:rPr>
        <w:t xml:space="preserve">Aphanizomenon</w:t>
      </w:r>
      <w:r>
        <w:t xml:space="preserve">,</w:t>
      </w:r>
      <w:r>
        <w:t xml:space="preserve"> </w:t>
      </w:r>
      <w:r>
        <w:rPr>
          <w:i/>
          <w:iCs/>
        </w:rPr>
        <w:t xml:space="preserve">Dolichospermum</w:t>
      </w:r>
      <w:r>
        <w:t xml:space="preserve">), suggests a strong biotic source for the observed odor episodes. The temporal succession of different cyanobacterial taxa may contribute to the characteristic bimodal (summer and autumn) geosmin peak observed in the reservoir.</w:t>
      </w:r>
    </w:p>
    <w:bookmarkEnd w:id="41"/>
    <w:bookmarkStart w:id="42" w:name="Xe508461f88f8835f10009b18d132efe2f44ae82"/>
    <w:p>
      <w:pPr>
        <w:pStyle w:val="Heading2"/>
      </w:pPr>
      <w:r>
        <w:t xml:space="preserve">Identification and spatiotemporal distribution of the primary geosmin producer</w:t>
      </w:r>
    </w:p>
    <w:p>
      <w:pPr>
        <w:pStyle w:val="BodyText"/>
      </w:pPr>
      <w:r>
        <w:rPr>
          <w:i/>
          <w:iCs/>
        </w:rPr>
        <w:t xml:space="preserve">Planktothrix agardhii</w:t>
      </w:r>
      <w:r>
        <w:t xml:space="preserve"> </w:t>
      </w:r>
      <w:r>
        <w:t xml:space="preserve">was identified as the dominant geosmin-producing cyanobacterium based on gene sequencing in Yuqiao Reservoir (</w:t>
      </w:r>
      <w:hyperlink w:anchor="fig-yqgsminvest">
        <w:r>
          <w:rPr>
            <w:rStyle w:val="Hyperlink"/>
          </w:rPr>
          <w:t xml:space="preserve">Fig. 2</w:t>
        </w:r>
      </w:hyperlink>
      <w:r>
        <w:t xml:space="preserve">D,</w:t>
      </w:r>
      <w:r>
        <w:t xml:space="preserve"> </w:t>
      </w:r>
      <w:hyperlink w:anchor="fig-yqgsminvest">
        <w:r>
          <w:rPr>
            <w:rStyle w:val="Hyperlink"/>
          </w:rPr>
          <w:t xml:space="preserve">2</w:t>
        </w:r>
      </w:hyperlink>
      <w:r>
        <w:t xml:space="preserve">F). Spatial monitoring during 2023 revealed a pronounced biomass gradient, with littoral sites (YQ03, YQ04, YQ06, YQ07) sustaining significantly higher cell densities than the central dam intake (YQ01). The maximum observed biomass reached 5.1×10</w:t>
      </w:r>
      <w:r>
        <w:rPr>
          <w:vertAlign w:val="superscript"/>
        </w:rPr>
        <w:t xml:space="preserve">7</w:t>
      </w:r>
      <w:r>
        <w:t xml:space="preserve"> </w:t>
      </w:r>
      <w:r>
        <w:t xml:space="preserve">cells L</w:t>
      </w:r>
      <w:r>
        <w:rPr>
          <w:vertAlign w:val="superscript"/>
        </w:rPr>
        <w:t xml:space="preserve">-1</w:t>
      </w:r>
      <w:r>
        <w:t xml:space="preserve"> </w:t>
      </w:r>
      <w:r>
        <w:t xml:space="preserve">at a littoral site, compared to 2.9×10</w:t>
      </w:r>
      <w:r>
        <w:rPr>
          <w:vertAlign w:val="superscript"/>
        </w:rPr>
        <w:t xml:space="preserve">7</w:t>
      </w:r>
      <w:r>
        <w:t xml:space="preserve"> </w:t>
      </w:r>
      <w:r>
        <w:t xml:space="preserve">cells L</w:t>
      </w:r>
      <w:r>
        <w:rPr>
          <w:vertAlign w:val="superscript"/>
        </w:rPr>
        <w:t xml:space="preserve">-1</w:t>
      </w:r>
      <w:r>
        <w:t xml:space="preserve"> </w:t>
      </w:r>
      <w:r>
        <w:t xml:space="preserve">at the dam. Elevated biomass thresholds (&gt;2×10</w:t>
      </w:r>
      <w:r>
        <w:rPr>
          <w:vertAlign w:val="superscript"/>
        </w:rPr>
        <w:t xml:space="preserve">7</w:t>
      </w:r>
      <w:r>
        <w:t xml:space="preserve"> </w:t>
      </w:r>
      <w:r>
        <w:t xml:space="preserve">cells L</w:t>
      </w:r>
      <w:r>
        <w:rPr>
          <w:vertAlign w:val="superscript"/>
        </w:rPr>
        <w:t xml:space="preserve">-1</w:t>
      </w:r>
      <w:r>
        <w:t xml:space="preserve">) were exceeded in 7% of littoral samples, respectively, but in 4% of dam samples. Temporally,</w:t>
      </w:r>
      <w:r>
        <w:t xml:space="preserve"> </w:t>
      </w:r>
      <w:r>
        <w:rPr>
          <w:i/>
          <w:iCs/>
        </w:rPr>
        <w:t xml:space="preserve">P. agardhii</w:t>
      </w:r>
      <w:r>
        <w:t xml:space="preserve"> </w:t>
      </w:r>
      <w:r>
        <w:t xml:space="preserve">exhibited a perennial presence with sustained warm-season biomass, contrasting with the ephemeral peaks of other cyanobacteria (</w:t>
      </w:r>
      <w:hyperlink w:anchor="fig-yqgsminvest">
        <w:r>
          <w:rPr>
            <w:rStyle w:val="Hyperlink"/>
          </w:rPr>
          <w:t xml:space="preserve">Fig. 2</w:t>
        </w:r>
      </w:hyperlink>
      <w:r>
        <w:t xml:space="preserve">C). Major bloom events (≥2×10</w:t>
      </w:r>
      <w:r>
        <w:rPr>
          <w:vertAlign w:val="superscript"/>
        </w:rPr>
        <w:t xml:space="preserve">7</w:t>
      </w:r>
      <w:r>
        <w:t xml:space="preserve"> </w:t>
      </w:r>
      <w:r>
        <w:t xml:space="preserve">cells L</w:t>
      </w:r>
      <w:r>
        <w:rPr>
          <w:vertAlign w:val="superscript"/>
        </w:rPr>
        <w:t xml:space="preserve">-1</w:t>
      </w:r>
      <w:r>
        <w:t xml:space="preserve">) propagated from littoral zones to the dam (</w:t>
      </w:r>
      <w:hyperlink w:anchor="fig-yqgsminvest">
        <w:r>
          <w:rPr>
            <w:rStyle w:val="Hyperlink"/>
          </w:rPr>
          <w:t xml:space="preserve">Fig. 2</w:t>
        </w:r>
      </w:hyperlink>
      <w:r>
        <w:t xml:space="preserve">E), with sites such as YQ05 exceeding the threshold approximately 8 days before YQ01. This spatiotemporal pattern indicates littoral zones as initiation hotspots for</w:t>
      </w:r>
      <w:r>
        <w:t xml:space="preserve"> </w:t>
      </w:r>
      <w:r>
        <w:rPr>
          <w:i/>
          <w:iCs/>
        </w:rPr>
        <w:t xml:space="preserve">P. agardhii</w:t>
      </w:r>
      <w:r>
        <w:t xml:space="preserve"> </w:t>
      </w:r>
      <w:r>
        <w:t xml:space="preserve">proliferation, with subsequent advection likely driving geosmin peaks at the drinking water intake.</w:t>
      </w:r>
    </w:p>
    <w:p>
      <w:pPr>
        <w:pStyle w:val="BodyText"/>
      </w:pPr>
      <w:r>
        <w:t xml:space="preserve">The temporal progression of major bloom events (biomass≥2×10</w:t>
      </w:r>
      <w:r>
        <w:rPr>
          <w:vertAlign w:val="superscript"/>
        </w:rPr>
        <w:t xml:space="preserve">7</w:t>
      </w:r>
      <w:r>
        <w:t xml:space="preserve"> </w:t>
      </w:r>
      <w:r>
        <w:t xml:space="preserve">cells L</w:t>
      </w:r>
      <w:r>
        <w:rPr>
          <w:vertAlign w:val="superscript"/>
        </w:rPr>
        <w:t xml:space="preserve">−1</w:t>
      </w:r>
      <w:r>
        <w:t xml:space="preserve">) followed a clear spatial sequence from the littoral zone towards the dam. For instance, site YQ05 first exceeded this threshold in mid-October, approximately -8 days before the dam site (YQ01) reached comparable levels in late October. This spatiotemporal decoupling highlights the littoral zones as probable initiation hotspots for</w:t>
      </w:r>
      <w:r>
        <w:t xml:space="preserve"> </w:t>
      </w:r>
      <w:r>
        <w:rPr>
          <w:i/>
          <w:iCs/>
        </w:rPr>
        <w:t xml:space="preserve">P. agardhii</w:t>
      </w:r>
      <w:r>
        <w:t xml:space="preserve"> </w:t>
      </w:r>
      <w:r>
        <w:t xml:space="preserve">proliferation, with subsequent advection contributing to the geosmin peaks observed at the central water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To further elucidate the spatiotemporal dynamics of geosmin (geosmin), we identified two distinct odor episodes in Yuqiao Reservoir (April–August and August–December 2023). Spatial mapping of monthly averaged geosmin concentrations at seven representative sites revealed contrasting patterns between the littoral and dam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YQ07) exhibited elevated concentrations in spring (April–June), with values ranging from 0 to 21.2 ng L</w:t>
      </w:r>
      <w:r>
        <w:rPr>
          <w:vertAlign w:val="superscript"/>
        </w:rPr>
        <w:t xml:space="preserve">-1</w:t>
      </w:r>
      <w:r>
        <w:t xml:space="preserve">. These concentrations then declined by August to between 0.6 and 5.8 ng L</w:t>
      </w:r>
      <w:r>
        <w:rPr>
          <w:vertAlign w:val="superscript"/>
        </w:rPr>
        <w:t xml:space="preserve">-1</w:t>
      </w:r>
      <w:r>
        <w:t xml:space="preserve">. In contrast, the central dam site (YQ01) and the nearby YQ05 (located close to littoral zones) showed a delayed response. Their concentrations started low in April (0 ng L</w:t>
      </w:r>
      <w:r>
        <w:rPr>
          <w:vertAlign w:val="superscript"/>
        </w:rPr>
        <w:t xml:space="preserve">−1</w:t>
      </w:r>
      <w:r>
        <w:t xml:space="preserve">) and increased steadily, peaking in August at 8.5 ng L</w:t>
      </w:r>
      <w:r>
        <w:rPr>
          <w:vertAlign w:val="superscript"/>
        </w:rPr>
        <w:t xml:space="preserve">-1</w:t>
      </w:r>
      <w:r>
        <w:t xml:space="preserve">.</w:t>
      </w:r>
    </w:p>
    <w:p>
      <w:pPr>
        <w:pStyle w:val="BodyText"/>
      </w:pPr>
      <w:r>
        <w:t xml:space="preserve">The second episode (August–December) exhibited a reversed spatiotemporal pattern. Littoral sites experienced a sharp peak in October, with concentrations reaching 0 to 36.4 ng L</w:t>
      </w:r>
      <w:r>
        <w:rPr>
          <w:vertAlign w:val="superscript"/>
        </w:rPr>
        <w:t xml:space="preserve">-1</w:t>
      </w:r>
      <w:r>
        <w:t xml:space="preserve">, followed by a decline to 0–29.8 ng L</w:t>
      </w:r>
      <w:r>
        <w:rPr>
          <w:vertAlign w:val="superscript"/>
        </w:rPr>
        <w:t xml:space="preserve">-1</w:t>
      </w:r>
      <w:r>
        <w:t xml:space="preserve"> </w:t>
      </w:r>
      <w:r>
        <w:t xml:space="preserve">by December. Conversely, the dam site (YQ01) showed a sustained, monotonic increase from August (0 ng L</w:t>
      </w:r>
      <w:r>
        <w:rPr>
          <w:vertAlign w:val="superscript"/>
        </w:rPr>
        <w:t xml:space="preserve">-1</w:t>
      </w:r>
      <w:r>
        <w:t xml:space="preserve">) to December (24.2 ng L</w:t>
      </w:r>
      <w:r>
        <w:rPr>
          <w:vertAlign w:val="superscript"/>
        </w:rPr>
        <w:t xml:space="preserve">-1</w:t>
      </w:r>
      <w:r>
        <w:t xml:space="preserve">). Site YQ05, located between littoral and dam zones, exhibited an intermediate transitional pattern, with its decline beginning in November rather than October, further illustrating the spatiotemporal gradient from littoral production zones to the central reservoir.</w:t>
      </w:r>
    </w:p>
    <w:p>
      <w:pPr>
        <w:pStyle w:val="BodyText"/>
      </w:pPr>
      <w:r>
        <w:t xml:space="preserve">These divergent spatiotemporal trajectories (</w:t>
      </w:r>
      <w:hyperlink w:anchor="fig-gsmepisodes">
        <w:r>
          <w:rPr>
            <w:rStyle w:val="Hyperlink"/>
          </w:rPr>
          <w:t xml:space="preserve">Fig. 3</w:t>
        </w:r>
      </w:hyperlink>
      <w:r>
        <w:t xml:space="preserve">) highlight a systematic decoupling: littoral zones consistently experience an earlier onset and subsequent decline during both odor episodes, while the dam region exhibits a delayed and prolonged response. This pattern likely reflects the integrated effects of initial production hotspots in the littoral zone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To quantify the causal linkage between the primary producer and odor events, we performed time-lagged correlation analyses between</w:t>
      </w:r>
      <w:r>
        <w:t xml:space="preserve"> </w:t>
      </w:r>
      <w:r>
        <w:rPr>
          <w:i/>
          <w:iCs/>
        </w:rPr>
        <w:t xml:space="preserve">Planktothrix agardhii</w:t>
      </w:r>
      <w:r>
        <w:t xml:space="preserve"> </w:t>
      </w:r>
      <w:r>
        <w:t xml:space="preserve">biomass and geosmin (geosmin) concentrations at the near-littoral site YQ05 and the dam intake YQ01 (</w:t>
      </w:r>
      <w:hyperlink w:anchor="fig-lag">
        <w:r>
          <w:rPr>
            <w:rStyle w:val="Hyperlink"/>
          </w:rPr>
          <w:t xml:space="preserve">Fig. 4</w:t>
        </w:r>
      </w:hyperlink>
      <w:r>
        <w:t xml:space="preserve">A). These sites were selected for their continuous long-term monitoring data. The analysis revealed fundamentally distinct temporal coupling patterns.</w:t>
      </w:r>
    </w:p>
    <w:p>
      <w:pPr>
        <w:pStyle w:val="BodyText"/>
      </w:pPr>
      <w:r>
        <w:t xml:space="preserve">At the near-littoral site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near-instantaneous geosmin production associated with local</w:t>
      </w:r>
      <w:r>
        <w:t xml:space="preserve"> </w:t>
      </w:r>
      <w:r>
        <w:rPr>
          <w:i/>
          <w:iCs/>
        </w:rPr>
        <w:t xml:space="preserve">P. agardhii</w:t>
      </w:r>
      <w:r>
        <w:t xml:space="preserve"> </w:t>
      </w:r>
      <w:r>
        <w:t xml:space="preserve">proliferation. The correlation coefficient decreased progressively as the lag period increased. Conversely, at the downstream dam site YQ01, the correlation was weakest at zero lag but strengthened with increasing lag time, reaching a maximum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opposite pattern demonstrates that</w:t>
      </w:r>
      <w:r>
        <w:t xml:space="preserve"> </w:t>
      </w:r>
      <w:r>
        <w:rPr>
          <w:i/>
          <w:iCs/>
        </w:rPr>
        <w:t xml:space="preserve">P. agardhii</w:t>
      </w:r>
      <w:r>
        <w:t xml:space="preserve"> </w:t>
      </w:r>
      <w:r>
        <w:t xml:space="preserve">biomass serves as a concurrent indicator at its production zone (YQ05) but as a leading indicator for geosmin risk at the distal water intake (YQ01).</w:t>
      </w:r>
    </w:p>
    <w:p>
      <w:pPr>
        <w:pStyle w:val="BodyText"/>
      </w:pPr>
      <w:r>
        <w:t xml:space="preserve">Regression models were established at the respective optimal lag periods (</w:t>
      </w:r>
      <w:hyperlink w:anchor="fig-lag">
        <w:r>
          <w:rPr>
            <w:rStyle w:val="Hyperlink"/>
          </w:rPr>
          <w:t xml:space="preserve">Fig. 4</w:t>
        </w:r>
      </w:hyperlink>
      <w:r>
        <w:t xml:space="preserve">B). For YQ05 (zero lag), the relationship was log</w:t>
      </w:r>
      <w:r>
        <w:rPr>
          <w:vertAlign w:val="subscript"/>
        </w:rPr>
        <w:t xml:space="preserve">10</w:t>
      </w:r>
      <w:r>
        <w:t xml:space="preserve">(geosmin) = 0.24 + 0.29×log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+ 0.2×log</w:t>
      </w:r>
      <w:r>
        <w:rPr>
          <w:vertAlign w:val="subscript"/>
        </w:rPr>
        <w:t xml:space="preserve">10</w:t>
      </w:r>
      <w:r>
        <w:t xml:space="preserve">(</w:t>
      </w:r>
      <w:r>
        <w:rPr>
          <w:i/>
          <w:iCs/>
        </w:rPr>
        <w:t xml:space="preserve">P. agardhii</w:t>
      </w:r>
      <w:r>
        <w:t xml:space="preserve"> </w:t>
      </w:r>
      <w:r>
        <w:t xml:space="preserve">biomass). The steeper slope for YQ01 suggests a potential amplification effect during the transport and transformation processes from the littoral production zone to the central reservoir.</w:t>
      </w:r>
    </w:p>
    <w:p>
      <w:pPr>
        <w:pStyle w:val="BodyText"/>
      </w:pPr>
      <w:r>
        <w:t xml:space="preserve">The distinct temporal phasing is visually evident in the bi-weekly time series (</w:t>
      </w:r>
      <w:hyperlink w:anchor="fig-lag">
        <w:r>
          <w:rPr>
            <w:rStyle w:val="Hyperlink"/>
          </w:rPr>
          <w:t xml:space="preserve">Fig. 4</w:t>
        </w:r>
      </w:hyperlink>
      <w:r>
        <w:t xml:space="preserve">C). At YQ05, peaks in</w:t>
      </w:r>
      <w:r>
        <w:t xml:space="preserve"> </w:t>
      </w:r>
      <w:r>
        <w:rPr>
          <w:i/>
          <w:iCs/>
        </w:rPr>
        <w:t xml:space="preserve">P. agardhii</w:t>
      </w:r>
      <w:r>
        <w:t xml:space="preserve"> </w:t>
      </w:r>
      <w:r>
        <w:t xml:space="preserve">biomass and geosmin concentrations were closely synchronized. In contrast, at YQ01, biomass peaks consistently preceded major geosmin episodes by several weeks. For instance, the autumn biomass peak preceded the highest geosmin concentration by approximately 6.7 weeks. This consistent lag provides a critical early-warning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YQ01 subsequently exceeded the 10 ng L</w:t>
      </w:r>
      <w:r>
        <w:rPr>
          <w:vertAlign w:val="superscript"/>
        </w:rPr>
        <w:t xml:space="preserve">-1</w:t>
      </w:r>
      <w:r>
        <w:t xml:space="preserve"> </w:t>
      </w:r>
      <w:r>
        <w:t xml:space="preserve">odor threshold within 4-6 weeks in 61.9% of cases. These quantified relationships underscore the utility of near-littoral cyanobacterial monitoring for forecasting odor risks at the drinking water intake.</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Principal component analysis (PCA) of key environmental variables identified ammonia (NH₄⁺-N) as the most strongly correlated factor with geosmin (geosmin) variation in the PC1–PC2 plane (</w:t>
      </w:r>
      <w:hyperlink w:anchor="fig-mech">
        <w:r>
          <w:rPr>
            <w:rStyle w:val="Hyperlink"/>
          </w:rPr>
          <w:t xml:space="preserve">Fig. 5</w:t>
        </w:r>
      </w:hyperlink>
      <w:r>
        <w:t xml:space="preserve">A). The first two principal components explained 60.6% of the total variance. PC1 (explaining 43.5%) represented a thermal‑nutrient productivity axis, with high loadings from temperature (0.342), total phosphorus (TP, 0.39), and chlorophyll‑a (Chl‑a, 0.428). PC2 (explaining 17.1%) represented a nitrogen availability axis, dominated by ammonia (-0.449) and total nitrogen (TN, 0.432). geosmin exhibited moderate positive loadings on both PC1 (0.122) and PC2 (0.229), indicating that its variability was jointly influenced by thermal‑nutrient conditions and nitrogen availability.</w:t>
      </w:r>
    </w:p>
    <w:p>
      <w:pPr>
        <w:pStyle w:val="BodyText"/>
      </w:pPr>
      <w:r>
        <w:t xml:space="preserve">To examine this relationship spatially, we performed log‑log regressions between ammonia and geosmin across three reservoir zones: littoral sites (YQ02–YQ04, YQ06–YQ07), the transitional near‑littoral site (YQ05), and the central dam intake (YQ01) (</w:t>
      </w:r>
      <w:hyperlink w:anchor="fig-mech">
        <w:r>
          <w:rPr>
            <w:rStyle w:val="Hyperlink"/>
          </w:rPr>
          <w:t xml:space="preserve">Fig. 5</w:t>
        </w:r>
      </w:hyperlink>
      <w:r>
        <w:t xml:space="preserve">B). The correlation strength followed a distinct gradient, with the highest R</w:t>
      </w:r>
      <w:r>
        <w:rPr>
          <w:vertAlign w:val="superscript"/>
        </w:rPr>
        <w:t xml:space="preserve">2</w:t>
      </w:r>
      <w:r>
        <w:t xml:space="preserve"> </w:t>
      </w:r>
      <w:r>
        <w:t xml:space="preserve">at littoral sites (0.365), intermediate at YQ05 (0.203), and lowest at YQ01 (0.035). This pattern indicates that the linkage between ammonia and geosmin is most direct within littoral production zones and becomes progressively decoupled along the transport pathway toward the dam.</w:t>
      </w:r>
    </w:p>
    <w:p>
      <w:pPr>
        <w:pStyle w:val="BodyText"/>
      </w:pPr>
      <w:r>
        <w:t xml:space="preserve">Integrating these findings with the spatiotemporal dynamics of</w:t>
      </w:r>
      <w:r>
        <w:t xml:space="preserve"> </w:t>
      </w:r>
      <w:r>
        <w:rPr>
          <w:i/>
          <w:iCs/>
        </w:rPr>
        <w:t xml:space="preserve">Planktothrix agardhii</w:t>
      </w:r>
      <w:r>
        <w:t xml:space="preserve"> </w:t>
      </w:r>
      <w:r>
        <w:t xml:space="preserve">and geosmin, we propose a conceptual transport pathway for odor episodes (</w:t>
      </w:r>
      <w:hyperlink w:anchor="fig-mech">
        <w:r>
          <w:rPr>
            <w:rStyle w:val="Hyperlink"/>
          </w:rPr>
          <w:t xml:space="preserve">Fig. 5</w:t>
        </w:r>
      </w:hyperlink>
      <w:r>
        <w:t xml:space="preserve">C). High‑resolution bathymetric mapping shows that shallow littoral areas (depths &lt; 4–5 m) correspond to zones of elevated ammonia and serve as initiation hotspots for</w:t>
      </w:r>
      <w:r>
        <w:t xml:space="preserve"> </w:t>
      </w:r>
      <w:r>
        <w:rPr>
          <w:i/>
          <w:iCs/>
        </w:rPr>
        <w:t xml:space="preserve">P. agardhii</w:t>
      </w:r>
      <w:r>
        <w:t xml:space="preserve"> </w:t>
      </w:r>
      <w:r>
        <w:t xml:space="preserve">proliferation and geosmin production. Subsequent advective transport, guided by the reservoir’s hydrodynamic circulation, gradually propagates cells and dissolved geosmin from littoral zones through the transitional region (YQ05) to the central dam area (YQ01). This conceptual model synthesizes three key observations: (1) the spatial gradient in ammonia‑geosmin coupling, (2) the consistent temporal lags in cyanobacterial biomass and geosmin peaks between littoral and dam sites, and (3) the influence of bathymetry on water residence times. Together, these elements provide a mechanistic framework for understanding the origin, transport, and delayed manifestation of geosmin episodes at the drinking‑water intake of Yuqiao Reservoir.</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7" w:name="discussion"/>
    <w:p>
      <w:pPr>
        <w:pStyle w:val="Heading1"/>
      </w:pPr>
      <w:r>
        <w:t xml:space="preserve">Discussion</w:t>
      </w:r>
    </w:p>
    <w:bookmarkStart w:id="59" w:name="Xf2bd0ebdfcd659165f9e7cd509a3c17314b2994"/>
    <w:p>
      <w:pPr>
        <w:pStyle w:val="Heading2"/>
      </w:pPr>
      <w:r>
        <w:t xml:space="preserve">Geosmin as a prevalent challenge for drinking water security in China</w:t>
      </w:r>
    </w:p>
    <w:p>
      <w:pPr>
        <w:pStyle w:val="BodyText"/>
      </w:pPr>
      <w:r>
        <w:t xml:space="preserve">Our nationwide survey reveals that geosmin contamination is widespread across China’s major drinking water sources, with 14% of the surveyed sites exceeding the common odor threshold of 10 ng L</w:t>
      </w:r>
      <w:r>
        <w:rPr>
          <w:vertAlign w:val="superscript"/>
        </w:rPr>
        <w:t xml:space="preserve">-1</w:t>
      </w:r>
      <w:r>
        <w:t xml:space="preserve"> </w:t>
      </w:r>
      <w:r>
        <w:t xml:space="preserve">(</w:t>
      </w:r>
      <w:r>
        <w:rPr>
          <w:vertAlign w:val="superscript"/>
        </w:rPr>
        <w:t xml:space="preserve">44</w:t>
      </w:r>
      <w:r>
        <w:t xml:space="preserve">). This finding underscores geosmin as a significant and pervasive water quality issue, corroborating similar reports from diverse climatic regions globally</w:t>
      </w:r>
      <w:r>
        <w:rPr>
          <w:vertAlign w:val="superscript"/>
        </w:rPr>
        <w:t xml:space="preserve">21,52</w:t>
      </w:r>
      <w:r>
        <w:t xml:space="preserve">. The pronounced spatial heterogeneity—marked by elevated concentrations in eastern and southern regions such as the Yangtze River Delta and Pearl River Delta—suggests that regional factors, including climate, watershed land use, and nutrient loading patterns, are critical drivers of geosmin risk. The compound’s low odor threshold and resistance to conventional treatment</w:t>
      </w:r>
      <w:r>
        <w:rPr>
          <w:vertAlign w:val="superscript"/>
        </w:rPr>
        <w:t xml:space="preserve">29,38,53</w:t>
      </w:r>
      <w:r>
        <w:t xml:space="preserve"> </w:t>
      </w:r>
      <w:r>
        <w:t xml:space="preserve">pose substantial challenges for water utilities</w:t>
      </w:r>
      <w:r>
        <w:rPr>
          <w:vertAlign w:val="superscript"/>
        </w:rPr>
        <w:t xml:space="preserve">28</w:t>
      </w:r>
      <w:r>
        <w:t xml:space="preserve">, directly impacting consumer acceptance and compliance with water safety objectives linked to Sustainable Development Goal 6</w:t>
      </w:r>
      <w:r>
        <w:rPr>
          <w:vertAlign w:val="superscript"/>
        </w:rPr>
        <w:t xml:space="preserve">54</w:t>
      </w:r>
      <w:r>
        <w:t xml:space="preserve">. The economic ramifications are considerable, driving investments in advanced treatment technologies and proactive management strategies worldwide</w:t>
      </w:r>
      <w:r>
        <w:rPr>
          <w:vertAlign w:val="superscript"/>
        </w:rPr>
        <w:t xml:space="preserve">55</w:t>
      </w:r>
      <w:r>
        <w:t xml:space="preserve">.</w:t>
      </w:r>
    </w:p>
    <w:bookmarkEnd w:id="59"/>
    <w:bookmarkStart w:id="60" w:name="X84e82477e594d1f551fa28a152edfa69965f48b"/>
    <w:p>
      <w:pPr>
        <w:pStyle w:val="Heading2"/>
      </w:pPr>
      <w:r>
        <w:t xml:space="preserve">Littoral zones as production hotspots: ecological mechanisms and spatiotemporal decoupling</w:t>
      </w:r>
    </w:p>
    <w:p>
      <w:pPr>
        <w:pStyle w:val="BodyText"/>
      </w:pPr>
      <w:r>
        <w:t xml:space="preserve">Actinomycetes are recognized as major biotic sources of taste-and-odor compounds, including geosmin and 2‑MIB, in soils and freshwater sediments</w:t>
      </w:r>
      <w:r>
        <w:rPr>
          <w:vertAlign w:val="superscript"/>
        </w:rPr>
        <w:t xml:space="preserve">56–59</w:t>
      </w:r>
      <w:r>
        <w:t xml:space="preserve">. In the present study, however, synchronous peaks of</w:t>
      </w:r>
      <w:r>
        <w:t xml:space="preserve"> </w:t>
      </w:r>
      <w:r>
        <w:rPr>
          <w:i/>
          <w:iCs/>
        </w:rPr>
        <w:t xml:space="preserve">Planktothrix agardhii</w:t>
      </w:r>
      <w:r>
        <w:t xml:space="preserve"> </w:t>
      </w:r>
      <w:r>
        <w:t xml:space="preserve">biomass and geosmin concentrations—particularly at littoral sites with zero‑lag correlation (R</w:t>
      </w:r>
      <w:r>
        <w:rPr>
          <w:vertAlign w:val="superscript"/>
        </w:rPr>
        <w:t xml:space="preserve">2</w:t>
      </w:r>
      <w:r>
        <w:t xml:space="preserve"> </w:t>
      </w:r>
      <w:r>
        <w:t xml:space="preserve">= 0.5)—together with the molecular identification of</w:t>
      </w:r>
      <w:r>
        <w:t xml:space="preserve"> </w:t>
      </w:r>
      <w:r>
        <w:rPr>
          <w:i/>
          <w:iCs/>
        </w:rPr>
        <w:t xml:space="preserve">P. agardhii</w:t>
      </w:r>
      <w:r>
        <w:t xml:space="preserve"> </w:t>
      </w:r>
      <w:r>
        <w:t xml:space="preserve">as the dominant geosmin producer via gene sequencing of</w:t>
      </w:r>
      <w:r>
        <w:t xml:space="preserve"> </w:t>
      </w:r>
      <w:r>
        <w:rPr>
          <w:rStyle w:val="VerbatimChar"/>
        </w:rPr>
        <w:t xml:space="preserve">GeoA</w:t>
      </w:r>
      <w:r>
        <w:t xml:space="preserve"> </w:t>
      </w:r>
      <w:r>
        <w:t xml:space="preserve">gene and isolation (</w:t>
      </w:r>
      <w:hyperlink w:anchor="fig-yqgsminvest">
        <w:r>
          <w:rPr>
            <w:rStyle w:val="Hyperlink"/>
          </w:rPr>
          <w:t xml:space="preserve">Fig. 2</w:t>
        </w:r>
      </w:hyperlink>
      <w:r>
        <w:t xml:space="preserve">D, </w:t>
      </w:r>
      <w:hyperlink w:anchor="fig-yqgsminvest">
        <w:r>
          <w:rPr>
            <w:rStyle w:val="Hyperlink"/>
          </w:rPr>
          <w:t xml:space="preserve">Fig. 2</w:t>
        </w:r>
      </w:hyperlink>
      <w:r>
        <w:t xml:space="preserve">F), strongly indicate cyanobacterial origin. This aligns with a growing body of evidence that cyanobacteria constitute the primary biotic source of such odorants in many freshwater systems</w:t>
      </w:r>
      <w:r>
        <w:rPr>
          <w:vertAlign w:val="superscript"/>
        </w:rPr>
        <w:t xml:space="preserve">50,60–64</w:t>
      </w:r>
      <w:r>
        <w:t xml:space="preserve">. While actinomycetes in sediments are known geosmin producers, their contribution in well‑oxygenated water columns of managed reservoirs like Yuqiao is likely secondary. We argue that detection of</w:t>
      </w:r>
      <w:r>
        <w:t xml:space="preserve"> </w:t>
      </w:r>
      <w:r>
        <w:rPr>
          <w:i/>
          <w:iCs/>
        </w:rPr>
        <w:t xml:space="preserve">geoA</w:t>
      </w:r>
      <w:r>
        <w:t xml:space="preserve">‑harboring cyanobacteria</w:t>
      </w:r>
      <w:r>
        <w:rPr>
          <w:vertAlign w:val="superscript"/>
        </w:rPr>
        <w:t xml:space="preserve">51,65,66</w:t>
      </w:r>
      <w:r>
        <w:t xml:space="preserve"> </w:t>
      </w:r>
      <w:r>
        <w:t xml:space="preserve">in a well‑oxygenated water body provides compelling evidence that geosmin is primarily derived from cyanobacterial activity. This view is consistent with studies linking specific cyanobacterial blooms to geosmin episodes in drinking‑water reservoirs worldwide</w:t>
      </w:r>
      <w:r>
        <w:rPr>
          <w:vertAlign w:val="superscript"/>
        </w:rPr>
        <w:t xml:space="preserve">67–69</w:t>
      </w:r>
      <w:r>
        <w:t xml:space="preserve">.</w:t>
      </w:r>
    </w:p>
    <w:p>
      <w:pPr>
        <w:pStyle w:val="BodyText"/>
      </w:pPr>
      <w:r>
        <w:t xml:space="preserve">The sustained monitoring in Yuqiao Reservoir elucidates littoral zones as critical ecological niches for the proliferation of geosmin-producing cyanobacteria, particularly</w:t>
      </w:r>
      <w:r>
        <w:t xml:space="preserve"> </w:t>
      </w:r>
      <w:r>
        <w:rPr>
          <w:i/>
          <w:iCs/>
        </w:rPr>
        <w:t xml:space="preserve">Planktothrix agardhii</w:t>
      </w:r>
      <w:r>
        <w:t xml:space="preserve">. The distinct spatiotemporal patterns—earlier onset, higher biomass, and stronger correlation with ammonia in littoral areas—highlight a production-transport decoupling central to reservoir-wide odor episodes. The affinity of filamentous cyanobacteria like</w:t>
      </w:r>
      <w:r>
        <w:t xml:space="preserve"> </w:t>
      </w:r>
      <w:r>
        <w:rPr>
          <w:i/>
          <w:iCs/>
        </w:rPr>
        <w:t xml:space="preserve">P. agardhii</w:t>
      </w:r>
      <w:r>
        <w:t xml:space="preserve"> </w:t>
      </w:r>
      <w:r>
        <w:t xml:space="preserve">for littoral environments can be attributed to several adaptive traits. Their filamentous morphology confers advantages in shallow, intermittently mixed waters through regulated buoyancy and reduced sedimentation losses, enabling optimal positioning for light harvesting</w:t>
      </w:r>
      <w:r>
        <w:rPr>
          <w:vertAlign w:val="superscript"/>
        </w:rPr>
        <w:t xml:space="preserve">70,71</w:t>
      </w:r>
      <w:r>
        <w:t xml:space="preserve">. This is complemented by low-light adaptations via phycobiliprotein pigments</w:t>
      </w:r>
      <w:r>
        <w:rPr>
          <w:vertAlign w:val="superscript"/>
        </w:rPr>
        <w:t xml:space="preserve">72,73</w:t>
      </w:r>
      <w:r>
        <w:t xml:space="preserve">, allowing persistence under the variable light regimes typical of littoral zones</w:t>
      </w:r>
      <w:r>
        <w:rPr>
          <w:vertAlign w:val="superscript"/>
        </w:rPr>
        <w:t xml:space="preserve">35,74</w:t>
      </w:r>
      <w:r>
        <w:t xml:space="preserve">. Furthermore, the strong correlation observed between ammonia and geosmin specifically in littoral sites (R</w:t>
      </w:r>
      <w:r>
        <w:rPr>
          <w:vertAlign w:val="superscript"/>
        </w:rPr>
        <w:t xml:space="preserve">2</w:t>
      </w:r>
      <w:r>
        <w:t xml:space="preserve"> </w:t>
      </w:r>
      <w:r>
        <w:t xml:space="preserve">= 0.37) suggests that nitrogen availability, likely influenced by shoreline inputs, is a key regulatory factor for production in these zones. In contrast, the weakened correlation at the dam intake (R</w:t>
      </w:r>
      <w:r>
        <w:rPr>
          <w:vertAlign w:val="superscript"/>
        </w:rPr>
        <w:t xml:space="preserve">2</w:t>
      </w:r>
      <w:r>
        <w:t xml:space="preserve"> </w:t>
      </w:r>
      <w:r>
        <w:t xml:space="preserve">= 0.03) reflects the integration and modification of signals during transport.</w:t>
      </w:r>
    </w:p>
    <w:p>
      <w:pPr>
        <w:pStyle w:val="BodyText"/>
      </w:pPr>
      <w:r>
        <w:t xml:space="preserve">The systematic spatial decoupling is evidenced by the consistent 8-day lag in major bloom events between littoral sites and the dam. This lag represents not merely physical advection but may also involve continued metabolic activity and potential accumulation in transitional zones. These findings challenge conventional reservoir management focused predominantly on pelagic or intake monitoring and align with growing recognition of nearshore areas as initiation sites for cyanobacterial metabolites.</w:t>
      </w:r>
    </w:p>
    <w:bookmarkEnd w:id="60"/>
    <w:bookmarkStart w:id="65" w:name="Xc2e09787129afd5a6ae29ac9d042c9e751cf6bf"/>
    <w:p>
      <w:pPr>
        <w:pStyle w:val="Heading2"/>
      </w:pPr>
      <w:r>
        <w:t xml:space="preserve">Towards a proactive monitoring paradigm: quantitative predictive tools</w:t>
      </w:r>
    </w:p>
    <w:p>
      <w:pPr>
        <w:pStyle w:val="BodyText"/>
      </w:pPr>
      <w:r>
        <w:t xml:space="preserve">The conceptual model depicted in</w:t>
      </w:r>
      <w:r>
        <w:t xml:space="preserve"> </w:t>
      </w:r>
      <w:hyperlink w:anchor="fig-sketch">
        <w:r>
          <w:rPr>
            <w:rStyle w:val="Hyperlink"/>
          </w:rPr>
          <w:t xml:space="preserve">Fig. 6</w:t>
        </w:r>
      </w:hyperlink>
      <w:r>
        <w:t xml:space="preserve"> </w:t>
      </w:r>
      <w:r>
        <w:t xml:space="preserve">synthesizes the spatiotemporal mechanism underpinning our proposed management shift. It illustrates that the highest metabolic activity of geosmin-producing cyanobacteria is concentrated in littoral zones, driven by localized nutrient inputs and favorable physical conditions</w:t>
      </w:r>
      <w:r>
        <w:rPr>
          <w:vertAlign w:val="superscript"/>
        </w:rPr>
        <w:t xml:space="preserve">35</w:t>
      </w:r>
      <w:r>
        <w:t xml:space="preserve">. The geosmin produced in these hotspots is subsequently advected through the limnetic zone, resulting in a distinct transport lag before it accumulates in the lacustrine zone and reaches the dam intake. This hydro-ecological sequence reveals a critical flaw in conventional, intake-centric monitoring</w:t>
      </w:r>
      <w:r>
        <w:rPr>
          <w:vertAlign w:val="superscript"/>
        </w:rPr>
        <w:t xml:space="preserve">75</w:t>
      </w:r>
      <w:r>
        <w:t xml:space="preserve">: by the time geosmin is detected at the dam, its impact on treatment is immediate, leaving minimal time for preventive intervention</w:t>
      </w:r>
      <w:r>
        <w:rPr>
          <w:vertAlign w:val="superscript"/>
        </w:rPr>
        <w:t xml:space="preserve">38</w:t>
      </w:r>
      <w:r>
        <w:t xml:space="preserve">. This flaw is particularly acute for cyanobacteria, which can undergo rapid exponential growth, leading to sudden, log‑phase surges in metabolite concentrations that overwhelm conventional response protocols</w:t>
      </w:r>
      <w:r>
        <w:rPr>
          <w:vertAlign w:val="superscript"/>
        </w:rPr>
        <w:t xml:space="preserve">76</w:t>
      </w:r>
      <w:r>
        <w:t xml:space="preserve">.</w:t>
      </w:r>
    </w:p>
    <w:p>
      <w:pPr>
        <w:pStyle w:val="BodyText"/>
      </w:pPr>
      <w:r>
        <w:t xml:space="preserve">To capitalize on the inherent early-warning signal embedded within this process, we propose a tiered monitoring framework comprising: (1) sentinel stations in representative littoral zones for early detection of producer biomass, (2) gradient stations along the main transport pathway to track bloom progression, and (3) final verification at the intake. By shifting the primary monitoring focus upstream to the production source, utilities gain the crucial 4–6 week lead time—quantified by our lagged correlation analysis (R</w:t>
      </w:r>
      <w:r>
        <w:rPr>
          <w:vertAlign w:val="superscript"/>
        </w:rPr>
        <w:t xml:space="preserve">2</w:t>
      </w:r>
      <w:r>
        <w:t xml:space="preserve"> </w:t>
      </w:r>
      <w:r>
        <w:t xml:space="preserve">= 0.41 at 5 weeks)—necessary to detect incipient risk during the early growth phase, well before the problematic log‑phase surge. This lead time enables the implementation of preventive measures—such as optimized reservoir operation</w:t>
      </w:r>
      <w:r>
        <w:rPr>
          <w:vertAlign w:val="superscript"/>
        </w:rPr>
        <w:t xml:space="preserve">39,77,78</w:t>
      </w:r>
      <w:r>
        <w:t xml:space="preserve">, selective withdrawal, or pre‑emptive treatment adjustments—that can effectively disrupt the progression from initial proliferation to full‑blown water quality crisis. Thereby, the majority of algal‑derived contamination events, which are characterized by their sudden onset, can be anticipated and mitigated at source, rather than reacted to after the fact. This concept aligns with the growing emphasis on source water protection and early-warning systems in water security management</w:t>
      </w:r>
      <w:r>
        <w:rPr>
          <w:vertAlign w:val="superscript"/>
        </w:rPr>
        <w:t xml:space="preserve">79</w:t>
      </w:r>
      <w:r>
        <w:t xml:space="preserve">.</w:t>
      </w:r>
    </w:p>
    <w:p>
      <w:pPr>
        <w:pStyle w:val="BodyText"/>
      </w:pPr>
      <w:r>
        <w:t xml:space="preserve">This transformation from a reactive to a predictive paradigm fundamentally redefines resilience. It moves beyond merely coping with crises to preventing them, which can significantly reduce treatment costs, minimize service disruptions, and safeguard public trust in the water supply. Proactive monitoring of littoral sentinel sites is not merely an added layer of surveillance; it is a strategic re‑allocation of resources to intercept algal‑derived risks at their earliest, most manageable stage.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bookmarkEnd w:id="65"/>
    <w:bookmarkStart w:id="66" w:name="Xb43e125eff47b8ce4d694863e61d4015866fc1b"/>
    <w:p>
      <w:pPr>
        <w:pStyle w:val="Heading2"/>
      </w:pPr>
      <w:r>
        <w:t xml:space="preserve">Implications, limitations, and future perspectives</w:t>
      </w:r>
    </w:p>
    <w:p>
      <w:pPr>
        <w:pStyle w:val="BodyText"/>
      </w:pPr>
      <w:r>
        <w:t xml:space="preserve">This study provides mechanistic insights into geosmin dynamics in a drinking water reservoir and translates them into practical monitoring tools. The identification of littoral zones as production hotspots and the quantification of time-lagged predictive relationships offer a blueprint for evidence-based management.</w:t>
      </w:r>
    </w:p>
    <w:p>
      <w:pPr>
        <w:pStyle w:val="BodyText"/>
      </w:pPr>
      <w:r>
        <w:t xml:space="preserve">Several limitations should be acknowledged. First, while the 4–6 year dataset captures clear seasonal and interannual patterns, longer-term monitoring would strengthen the understanding of trends, particularly under climate change scenarios. Second, the dominant role of</w:t>
      </w:r>
      <w:r>
        <w:t xml:space="preserve"> </w:t>
      </w:r>
      <w:r>
        <w:rPr>
          <w:i/>
          <w:iCs/>
        </w:rPr>
        <w:t xml:space="preserve">P. agardhii</w:t>
      </w:r>
      <w:r>
        <w:t xml:space="preserve"> </w:t>
      </w:r>
      <w:r>
        <w:t xml:space="preserve">is specific to Yuqiao Reservoir; other systems may harbor different producer taxa (e.g.,</w:t>
      </w:r>
      <w:r>
        <w:t xml:space="preserve"> </w:t>
      </w:r>
      <w:r>
        <w:rPr>
          <w:i/>
          <w:iCs/>
        </w:rPr>
        <w:t xml:space="preserve">Dolichospermum</w:t>
      </w:r>
      <w:r>
        <w:t xml:space="preserve">,</w:t>
      </w:r>
      <w:r>
        <w:t xml:space="preserve"> </w:t>
      </w:r>
      <w:r>
        <w:rPr>
          <w:i/>
          <w:iCs/>
        </w:rPr>
        <w:t xml:space="preserve">Aphanizomenon</w:t>
      </w:r>
      <w:r>
        <w:t xml:space="preserve">) with distinct ecological drivers</w:t>
      </w:r>
      <w:r>
        <w:rPr>
          <w:vertAlign w:val="superscript"/>
        </w:rPr>
        <w:t xml:space="preserve">50,80,81</w:t>
      </w:r>
      <w:r>
        <w:t xml:space="preserve">. Third, the predictive models require validation across diverse reservoir types and geographical settings to assess their broader applicability.</w:t>
      </w:r>
    </w:p>
    <w:p>
      <w:pPr>
        <w:pStyle w:val="BodyText"/>
      </w:pPr>
      <w:r>
        <w:t xml:space="preserve">Future research should focus on: (1) integrating molecular tools to characterize the diversity and expression of geosmin synthesis genes within cyanobacterial communities, (2) coupling ecological monitoring with high-resolution hydrodynamic modeling to precisely quantify transport pathways and residence times, and (3) conducting cost-benefit analyses to evaluate the economic viability of implementing expanded littoral monitoring programs. Furthermore, investigating the interactions between climate variables (e.g., warming, extreme precipitation) and the identified production-transport mechanisms will be crucial for forecasting future risk scenarios.</w:t>
      </w:r>
      <w:r>
        <w:t xml:space="preserve"> </w:t>
      </w:r>
      <w:r>
        <w:t xml:space="preserve">By unraveling the spatiotemporal mechanisms of geosmin production and transport, and by establishing quantifiable early-warning indicators, this work provides a scientific foundation for moving beyond reactive response. It equips water managers with a proactive strategy to safeguard drinking water quality against this persistent olfactory challenge.</w:t>
      </w:r>
    </w:p>
    <w:bookmarkEnd w:id="66"/>
    <w:bookmarkEnd w:id="67"/>
    <w:bookmarkStart w:id="68"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8"/>
    <w:bookmarkStart w:id="69"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9"/>
    <w:bookmarkStart w:id="71" w:name="associated-content"/>
    <w:p>
      <w:pPr>
        <w:pStyle w:val="Heading1"/>
      </w:pPr>
      <w:r>
        <w:t xml:space="preserve">ASSOCIATED CONTENT</w:t>
      </w:r>
    </w:p>
    <w:bookmarkStart w:id="70"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The nutrient concentrations difference in surveyed 43 reservoirs (Fig. S1); The phytoplankton composition and basic sediment characteristics in ten representative reservoirs (Figs. S2-S3); Temporal dynamics of</w:t>
      </w:r>
      <w:r>
        <w:t xml:space="preserve"> </w:t>
      </w:r>
      <w:r>
        <w:rPr>
          <w:i/>
          <w:iCs/>
        </w:rPr>
        <w:t xml:space="preserve">Microcystis</w:t>
      </w:r>
      <w:r>
        <w:t xml:space="preserve"> </w:t>
      </w:r>
      <w:r>
        <w:t xml:space="preserve">density and dissolved metals during formal sediment resuspension (SR) experiments (Figs. S4-S8); Predictive modeling of SR performance across reservoirs with varying sediment reactivity and particle size structures (Fig. S9); Temporal dynamics of dissolved metals during</w:t>
      </w:r>
      <w:r>
        <w:t xml:space="preserve"> </w:t>
      </w:r>
      <w:r>
        <w:rPr>
          <w:i/>
          <w:iCs/>
        </w:rPr>
        <w:t xml:space="preserve">in-situ</w:t>
      </w:r>
      <w:r>
        <w:t xml:space="preserve"> </w:t>
      </w:r>
      <w:r>
        <w:t xml:space="preserve">SR operation (Fig. S10); Relationships between physicochemical properties and algal removal performance of air‐dried sediments during 72‐h settling pre-experiments (Fig. S11); Sediment physicochemical properties,</w:t>
      </w:r>
      <w:r>
        <w:t xml:space="preserve"> </w:t>
      </w:r>
      <w:r>
        <w:rPr>
          <w:i/>
          <w:iCs/>
        </w:rPr>
        <w:t xml:space="preserve">Microcystis</w:t>
      </w:r>
      <w:r>
        <w:t xml:space="preserve"> </w:t>
      </w:r>
      <w:r>
        <w:t xml:space="preserve">removal efficiency, and dissolved heavy metals dynamics during the second preliminary SR experiments (Tables S1–S2; Figs. S12-S13); Scanning electron microscopy (SEM) images and real image illustrating</w:t>
      </w:r>
      <w:r>
        <w:t xml:space="preserve"> </w:t>
      </w:r>
      <w:r>
        <w:rPr>
          <w:i/>
          <w:iCs/>
        </w:rPr>
        <w:t xml:space="preserve">Microcystis</w:t>
      </w:r>
      <w:r>
        <w:t xml:space="preserve">–sediment floc formation (Figs. S14-S15); and references (PDF).</w:t>
      </w:r>
    </w:p>
    <w:bookmarkEnd w:id="70"/>
    <w:bookmarkEnd w:id="71"/>
    <w:bookmarkStart w:id="78" w:name="author-information"/>
    <w:p>
      <w:pPr>
        <w:pStyle w:val="Heading1"/>
      </w:pPr>
      <w:r>
        <w:t xml:space="preserve">AUTHOR INFORMATION</w:t>
      </w:r>
    </w:p>
    <w:bookmarkStart w:id="74"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2">
        <w:r>
          <w:rPr>
            <w:rStyle w:val="Hyperlink"/>
          </w:rPr>
          <w:t xml:space="preserve">0000-0001-9821-1268</w:t>
        </w:r>
      </w:hyperlink>
      <w:r>
        <w:t xml:space="preserve">;</w:t>
      </w:r>
      <w:r>
        <w:t xml:space="preserve"> </w:t>
      </w:r>
      <w:r>
        <w:t xml:space="preserve">URL:</w:t>
      </w:r>
      <w:r>
        <w:t xml:space="preserve"> </w:t>
      </w:r>
      <w:hyperlink r:id="rId73">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4"/>
    <w:bookmarkStart w:id="75"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5"/>
    <w:bookmarkStart w:id="76"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6"/>
    <w:bookmarkStart w:id="77" w:name="notes"/>
    <w:p>
      <w:pPr>
        <w:pStyle w:val="Heading2"/>
      </w:pPr>
      <w:r>
        <w:t xml:space="preserve">Notes</w:t>
      </w:r>
    </w:p>
    <w:p>
      <w:pPr>
        <w:pStyle w:val="BodyText"/>
      </w:pPr>
      <w:r>
        <w:t xml:space="preserve">The authors declare no competing financial interest.</w:t>
      </w:r>
    </w:p>
    <w:bookmarkEnd w:id="77"/>
    <w:bookmarkEnd w:id="78"/>
    <w:bookmarkStart w:id="79"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9"/>
    <w:bookmarkStart w:id="238" w:name="references"/>
    <w:p>
      <w:pPr>
        <w:pStyle w:val="Heading1"/>
      </w:pPr>
      <w:r>
        <w:t xml:space="preserve">References</w:t>
      </w:r>
    </w:p>
    <w:bookmarkStart w:id="237" w:name="refs"/>
    <w:bookmarkStart w:id="81"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80">
        <w:r>
          <w:rPr>
            <w:rStyle w:val="Hyperlink"/>
          </w:rPr>
          <w:t xml:space="preserve">10.1038/s41579-018-0040-1</w:t>
        </w:r>
      </w:hyperlink>
      <w:r>
        <w:t xml:space="preserve">.</w:t>
      </w:r>
    </w:p>
    <w:bookmarkEnd w:id="81"/>
    <w:bookmarkStart w:id="83"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2">
        <w:r>
          <w:rPr>
            <w:rStyle w:val="Hyperlink"/>
          </w:rPr>
          <w:t xml:space="preserve">10.1100/tsw.2001.16</w:t>
        </w:r>
      </w:hyperlink>
      <w:r>
        <w:t xml:space="preserve">.</w:t>
      </w:r>
    </w:p>
    <w:bookmarkEnd w:id="83"/>
    <w:bookmarkStart w:id="85"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4">
        <w:r>
          <w:rPr>
            <w:rStyle w:val="Hyperlink"/>
          </w:rPr>
          <w:t xml:space="preserve">10.1016/j.hal.2008.08.006</w:t>
        </w:r>
      </w:hyperlink>
      <w:r>
        <w:t xml:space="preserve">.</w:t>
      </w:r>
    </w:p>
    <w:bookmarkEnd w:id="85"/>
    <w:bookmarkStart w:id="87"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6">
        <w:r>
          <w:rPr>
            <w:rStyle w:val="Hyperlink"/>
          </w:rPr>
          <w:t xml:space="preserve">10.1038/s41586-021-03254-3</w:t>
        </w:r>
      </w:hyperlink>
      <w:r>
        <w:t xml:space="preserve">.</w:t>
      </w:r>
    </w:p>
    <w:bookmarkEnd w:id="87"/>
    <w:bookmarkStart w:id="89"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8">
        <w:r>
          <w:rPr>
            <w:rStyle w:val="Hyperlink"/>
          </w:rPr>
          <w:t xml:space="preserve">10.1038/s43017-020-0067-5</w:t>
        </w:r>
      </w:hyperlink>
      <w:r>
        <w:t xml:space="preserve">.</w:t>
      </w:r>
    </w:p>
    <w:bookmarkEnd w:id="89"/>
    <w:bookmarkStart w:id="91"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90">
        <w:r>
          <w:rPr>
            <w:rStyle w:val="Hyperlink"/>
          </w:rPr>
          <w:t xml:space="preserve">10.1016/j.watres.2011.08.002</w:t>
        </w:r>
      </w:hyperlink>
      <w:r>
        <w:t xml:space="preserve">.</w:t>
      </w:r>
    </w:p>
    <w:bookmarkEnd w:id="91"/>
    <w:bookmarkStart w:id="93"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2">
        <w:r>
          <w:rPr>
            <w:rStyle w:val="Hyperlink"/>
          </w:rPr>
          <w:t xml:space="preserve">10.1016/j.hal.2011.10.027</w:t>
        </w:r>
      </w:hyperlink>
      <w:r>
        <w:t xml:space="preserve">.</w:t>
      </w:r>
    </w:p>
    <w:bookmarkEnd w:id="93"/>
    <w:bookmarkStart w:id="95"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4">
        <w:r>
          <w:rPr>
            <w:rStyle w:val="Hyperlink"/>
          </w:rPr>
          <w:t xml:space="preserve">10.1016/j.watres.2020.115959</w:t>
        </w:r>
      </w:hyperlink>
      <w:r>
        <w:t xml:space="preserve">.</w:t>
      </w:r>
    </w:p>
    <w:bookmarkEnd w:id="95"/>
    <w:bookmarkStart w:id="97"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6">
        <w:r>
          <w:rPr>
            <w:rStyle w:val="Hyperlink"/>
          </w:rPr>
          <w:t xml:space="preserve">10.1016/j.watres.2023.119807</w:t>
        </w:r>
      </w:hyperlink>
      <w:r>
        <w:t xml:space="preserve">.</w:t>
      </w:r>
    </w:p>
    <w:bookmarkEnd w:id="97"/>
    <w:bookmarkStart w:id="99" w:name="ref-martineziquer2024cyanobacterial"/>
    <w:p>
      <w:pPr>
        <w:pStyle w:val="Bibliography"/>
      </w:pPr>
      <w:r>
        <w:t xml:space="preserve">(10)</w:t>
      </w:r>
      <w:r>
        <w:t xml:space="preserve"> </w:t>
      </w:r>
      <w:r>
        <w:t xml:space="preserve">	</w:t>
      </w:r>
      <w:r>
        <w:t xml:space="preserve">Martinez i Quer, A.; Larsson, Y.; Johansen, A.; Arias, C. A.; Carvalho, P. N. Cyanobacterial Blooms in Surface Waters – Nature-Based Solutions, Cyanotoxins and Their Biotransformation Products.</w:t>
      </w:r>
      <w:r>
        <w:t xml:space="preserve"> </w:t>
      </w:r>
      <w:r>
        <w:rPr>
          <w:i/>
          <w:iCs/>
        </w:rPr>
        <w:t xml:space="preserve">Water Research</w:t>
      </w:r>
      <w:r>
        <w:t xml:space="preserve"> </w:t>
      </w:r>
      <w:r>
        <w:rPr>
          <w:b/>
          <w:bCs/>
        </w:rPr>
        <w:t xml:space="preserve">2024</w:t>
      </w:r>
      <w:r>
        <w:t xml:space="preserve">,</w:t>
      </w:r>
      <w:r>
        <w:t xml:space="preserve"> </w:t>
      </w:r>
      <w:r>
        <w:rPr>
          <w:i/>
          <w:iCs/>
        </w:rPr>
        <w:t xml:space="preserve">251</w:t>
      </w:r>
      <w:r>
        <w:t xml:space="preserve">, 121122. https://doi.org/</w:t>
      </w:r>
      <w:hyperlink r:id="rId98">
        <w:r>
          <w:rPr>
            <w:rStyle w:val="Hyperlink"/>
          </w:rPr>
          <w:t xml:space="preserve">10.1016/j.watres.2024.121122</w:t>
        </w:r>
      </w:hyperlink>
      <w:r>
        <w:t xml:space="preserve">.</w:t>
      </w:r>
    </w:p>
    <w:bookmarkEnd w:id="99"/>
    <w:bookmarkStart w:id="101" w:name="ref-reinl2022the"/>
    <w:p>
      <w:pPr>
        <w:pStyle w:val="Bibliography"/>
      </w:pPr>
      <w:r>
        <w:t xml:space="preserve">(11)</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100">
        <w:r>
          <w:rPr>
            <w:rStyle w:val="Hyperlink"/>
          </w:rPr>
          <w:t xml:space="preserve">10.1016/j.watres.2022.118573</w:t>
        </w:r>
      </w:hyperlink>
      <w:r>
        <w:t xml:space="preserve">.</w:t>
      </w:r>
    </w:p>
    <w:bookmarkEnd w:id="101"/>
    <w:bookmarkStart w:id="103" w:name="ref-xu2009nitrogen"/>
    <w:p>
      <w:pPr>
        <w:pStyle w:val="Bibliography"/>
      </w:pPr>
      <w:r>
        <w:t xml:space="preserve">(12)</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102">
        <w:r>
          <w:rPr>
            <w:rStyle w:val="Hyperlink"/>
          </w:rPr>
          <w:t xml:space="preserve">10.4319/lo.2010.55.1.0420</w:t>
        </w:r>
      </w:hyperlink>
      <w:r>
        <w:t xml:space="preserve">.</w:t>
      </w:r>
    </w:p>
    <w:bookmarkEnd w:id="103"/>
    <w:bookmarkStart w:id="105" w:name="ref-paerl2011controllingharmful"/>
    <w:p>
      <w:pPr>
        <w:pStyle w:val="Bibliography"/>
      </w:pPr>
      <w:r>
        <w:t xml:space="preserve">(13)</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4">
        <w:r>
          <w:rPr>
            <w:rStyle w:val="Hyperlink"/>
          </w:rPr>
          <w:t xml:space="preserve">10.1016/j.watres.2010.09.018</w:t>
        </w:r>
      </w:hyperlink>
      <w:r>
        <w:t xml:space="preserve">.</w:t>
      </w:r>
    </w:p>
    <w:bookmarkEnd w:id="105"/>
    <w:bookmarkStart w:id="107" w:name="ref-kosten2011warmer"/>
    <w:p>
      <w:pPr>
        <w:pStyle w:val="Bibliography"/>
      </w:pPr>
      <w:r>
        <w:t xml:space="preserve">(14)</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6">
        <w:r>
          <w:rPr>
            <w:rStyle w:val="Hyperlink"/>
          </w:rPr>
          <w:t xml:space="preserve">10.1111/j.1365-2486.2011.02488.x</w:t>
        </w:r>
      </w:hyperlink>
      <w:r>
        <w:t xml:space="preserve">.</w:t>
      </w:r>
    </w:p>
    <w:bookmarkEnd w:id="107"/>
    <w:bookmarkStart w:id="109" w:name="ref-plaas2020toxic"/>
    <w:p>
      <w:pPr>
        <w:pStyle w:val="Bibliography"/>
      </w:pPr>
      <w:r>
        <w:t xml:space="preserve">(15)</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8">
        <w:r>
          <w:rPr>
            <w:rStyle w:val="Hyperlink"/>
          </w:rPr>
          <w:t xml:space="preserve">10.1021/acs.est.0c06653</w:t>
        </w:r>
      </w:hyperlink>
      <w:r>
        <w:t xml:space="preserve">.</w:t>
      </w:r>
    </w:p>
    <w:bookmarkEnd w:id="109"/>
    <w:bookmarkStart w:id="111" w:name="ref-carmichael2001human"/>
    <w:p>
      <w:pPr>
        <w:pStyle w:val="Bibliography"/>
      </w:pPr>
      <w:r>
        <w:t xml:space="preserve">(16)</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10">
        <w:r>
          <w:rPr>
            <w:rStyle w:val="Hyperlink"/>
          </w:rPr>
          <w:t xml:space="preserve">10.1289/ehp.01109663</w:t>
        </w:r>
      </w:hyperlink>
      <w:r>
        <w:t xml:space="preserve">.</w:t>
      </w:r>
    </w:p>
    <w:bookmarkEnd w:id="111"/>
    <w:bookmarkStart w:id="113" w:name="ref-leflaive2007algal"/>
    <w:p>
      <w:pPr>
        <w:pStyle w:val="Bibliography"/>
      </w:pPr>
      <w:r>
        <w:t xml:space="preserve">(17)</w:t>
      </w:r>
      <w:r>
        <w:t xml:space="preserve"> </w:t>
      </w:r>
      <w:r>
        <w:t xml:space="preserve">	</w:t>
      </w:r>
      <w:r>
        <w:t xml:space="preserve">LEFLAIVE, J.; TEN‐HAGE, L. Algal and Cyanobacterial Secondary Metabolites in Freshwaters: A Comparison of Allelopathic Compounds and Toxins.</w:t>
      </w:r>
      <w:r>
        <w:t xml:space="preserve"> </w:t>
      </w:r>
      <w:r>
        <w:rPr>
          <w:i/>
          <w:iCs/>
        </w:rPr>
        <w:t xml:space="preserve">Freshwater Biology</w:t>
      </w:r>
      <w:r>
        <w:t xml:space="preserve"> </w:t>
      </w:r>
      <w:r>
        <w:rPr>
          <w:b/>
          <w:bCs/>
        </w:rPr>
        <w:t xml:space="preserve">2007</w:t>
      </w:r>
      <w:r>
        <w:t xml:space="preserve">,</w:t>
      </w:r>
      <w:r>
        <w:t xml:space="preserve"> </w:t>
      </w:r>
      <w:r>
        <w:rPr>
          <w:i/>
          <w:iCs/>
        </w:rPr>
        <w:t xml:space="preserve">52</w:t>
      </w:r>
      <w:r>
        <w:t xml:space="preserve"> </w:t>
      </w:r>
      <w:r>
        <w:t xml:space="preserve">(2), 199–214. https://doi.org/</w:t>
      </w:r>
      <w:hyperlink r:id="rId112">
        <w:r>
          <w:rPr>
            <w:rStyle w:val="Hyperlink"/>
          </w:rPr>
          <w:t xml:space="preserve">10.1111/j.1365-2427.2006.01689.x</w:t>
        </w:r>
      </w:hyperlink>
      <w:r>
        <w:t xml:space="preserve">.</w:t>
      </w:r>
    </w:p>
    <w:bookmarkEnd w:id="113"/>
    <w:bookmarkStart w:id="115" w:name="ref-merel2013state"/>
    <w:p>
      <w:pPr>
        <w:pStyle w:val="Bibliography"/>
      </w:pPr>
      <w:r>
        <w:t xml:space="preserve">(18)</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14">
        <w:r>
          <w:rPr>
            <w:rStyle w:val="Hyperlink"/>
          </w:rPr>
          <w:t xml:space="preserve">10.1016/j.envint.2013.06.013</w:t>
        </w:r>
      </w:hyperlink>
      <w:r>
        <w:t xml:space="preserve">.</w:t>
      </w:r>
    </w:p>
    <w:bookmarkEnd w:id="115"/>
    <w:bookmarkStart w:id="117" w:name="ref-burlingame2017humans"/>
    <w:p>
      <w:pPr>
        <w:pStyle w:val="Bibliography"/>
      </w:pPr>
      <w:r>
        <w:t xml:space="preserve">(19)</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6">
        <w:r>
          <w:rPr>
            <w:rStyle w:val="Hyperlink"/>
          </w:rPr>
          <w:t xml:space="preserve">10.5942/jawwa.2017.109.0118</w:t>
        </w:r>
      </w:hyperlink>
      <w:r>
        <w:t xml:space="preserve">.</w:t>
      </w:r>
    </w:p>
    <w:bookmarkEnd w:id="117"/>
    <w:bookmarkStart w:id="119" w:name="ref-su2015mib"/>
    <w:p>
      <w:pPr>
        <w:pStyle w:val="Bibliography"/>
      </w:pPr>
      <w:r>
        <w:t xml:space="preserve">(20)</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8">
        <w:r>
          <w:rPr>
            <w:rStyle w:val="Hyperlink"/>
          </w:rPr>
          <w:t xml:space="preserve">10.1016/j.watres.2014.09.038</w:t>
        </w:r>
      </w:hyperlink>
      <w:r>
        <w:t xml:space="preserve">.</w:t>
      </w:r>
    </w:p>
    <w:bookmarkEnd w:id="119"/>
    <w:bookmarkStart w:id="120" w:name="ref-lin2018taste"/>
    <w:p>
      <w:pPr>
        <w:pStyle w:val="Bibliography"/>
      </w:pPr>
      <w:r>
        <w:t xml:space="preserve">(21)</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20"/>
    <w:bookmarkStart w:id="122" w:name="ref-yang2008taihu"/>
    <w:p>
      <w:pPr>
        <w:pStyle w:val="Bibliography"/>
      </w:pPr>
      <w:r>
        <w:t xml:space="preserve">(22)</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21">
        <w:r>
          <w:rPr>
            <w:rStyle w:val="Hyperlink"/>
          </w:rPr>
          <w:t xml:space="preserve">10.1126/science.319.5860.158a</w:t>
        </w:r>
      </w:hyperlink>
      <w:r>
        <w:t xml:space="preserve">.</w:t>
      </w:r>
    </w:p>
    <w:bookmarkEnd w:id="122"/>
    <w:bookmarkStart w:id="124" w:name="ref-sun2014occurrence"/>
    <w:p>
      <w:pPr>
        <w:pStyle w:val="Bibliography"/>
      </w:pPr>
      <w:r>
        <w:t xml:space="preserve">(23)</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23">
        <w:r>
          <w:rPr>
            <w:rStyle w:val="Hyperlink"/>
          </w:rPr>
          <w:t xml:space="preserve">10.1007/s11783-013-0577-1</w:t>
        </w:r>
      </w:hyperlink>
      <w:r>
        <w:t xml:space="preserve">.</w:t>
      </w:r>
    </w:p>
    <w:bookmarkEnd w:id="124"/>
    <w:bookmarkStart w:id="126" w:name="ref-mehnert2010competitiveness"/>
    <w:p>
      <w:pPr>
        <w:pStyle w:val="Bibliography"/>
      </w:pPr>
      <w:r>
        <w:t xml:space="preserve">(24)</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5">
        <w:r>
          <w:rPr>
            <w:rStyle w:val="Hyperlink"/>
          </w:rPr>
          <w:t xml:space="preserve">10.1093/plankt/fbq033</w:t>
        </w:r>
      </w:hyperlink>
      <w:r>
        <w:t xml:space="preserve">.</w:t>
      </w:r>
    </w:p>
    <w:bookmarkEnd w:id="126"/>
    <w:bookmarkStart w:id="128" w:name="ref-asato2003toward"/>
    <w:p>
      <w:pPr>
        <w:pStyle w:val="Bibliography"/>
      </w:pPr>
      <w:r>
        <w:t xml:space="preserve">(25)</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7">
        <w:r>
          <w:rPr>
            <w:rStyle w:val="Hyperlink"/>
          </w:rPr>
          <w:t xml:space="preserve">10.1007/s00018-003-2079-y</w:t>
        </w:r>
      </w:hyperlink>
      <w:r>
        <w:t xml:space="preserve">.</w:t>
      </w:r>
    </w:p>
    <w:bookmarkEnd w:id="128"/>
    <w:bookmarkStart w:id="130" w:name="ref-ai2025cyanobacterial"/>
    <w:p>
      <w:pPr>
        <w:pStyle w:val="Bibliography"/>
      </w:pPr>
      <w:r>
        <w:t xml:space="preserve">(26)</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9">
        <w:r>
          <w:rPr>
            <w:rStyle w:val="Hyperlink"/>
          </w:rPr>
          <w:t xml:space="preserve">https://doi.org/10.1016/j.jhazmat.2025.140118</w:t>
        </w:r>
      </w:hyperlink>
      <w:r>
        <w:t xml:space="preserve">.</w:t>
      </w:r>
    </w:p>
    <w:bookmarkEnd w:id="130"/>
    <w:bookmarkStart w:id="132" w:name="ref-singh2005bioactive"/>
    <w:p>
      <w:pPr>
        <w:pStyle w:val="Bibliography"/>
      </w:pPr>
      <w:r>
        <w:t xml:space="preserve">(27)</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31">
        <w:r>
          <w:rPr>
            <w:rStyle w:val="Hyperlink"/>
          </w:rPr>
          <w:t xml:space="preserve">10.1080/07388550500248498</w:t>
        </w:r>
      </w:hyperlink>
      <w:r>
        <w:t xml:space="preserve">.</w:t>
      </w:r>
    </w:p>
    <w:bookmarkEnd w:id="132"/>
    <w:bookmarkStart w:id="134" w:name="ref-srinivasan2011treatment"/>
    <w:p>
      <w:pPr>
        <w:pStyle w:val="Bibliography"/>
      </w:pPr>
      <w:r>
        <w:t xml:space="preserve">(28)</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33">
        <w:r>
          <w:rPr>
            <w:rStyle w:val="Hyperlink"/>
          </w:rPr>
          <w:t xml:space="preserve">10.1016/s1001-0742(10)60367-1</w:t>
        </w:r>
      </w:hyperlink>
      <w:r>
        <w:t xml:space="preserve">.</w:t>
      </w:r>
    </w:p>
    <w:bookmarkEnd w:id="134"/>
    <w:bookmarkStart w:id="136" w:name="ref-mustapha2021a"/>
    <w:p>
      <w:pPr>
        <w:pStyle w:val="Bibliography"/>
      </w:pPr>
      <w:r>
        <w:t xml:space="preserve">(29)</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5">
        <w:r>
          <w:rPr>
            <w:rStyle w:val="Hyperlink"/>
          </w:rPr>
          <w:t xml:space="preserve">10.1007/s10661-021-08980-9</w:t>
        </w:r>
      </w:hyperlink>
      <w:r>
        <w:t xml:space="preserve">.</w:t>
      </w:r>
    </w:p>
    <w:bookmarkEnd w:id="136"/>
    <w:bookmarkStart w:id="138" w:name="ref-ceronvivas2022geosmin"/>
    <w:p>
      <w:pPr>
        <w:pStyle w:val="Bibliography"/>
      </w:pPr>
      <w:r>
        <w:t xml:space="preserve">(30)</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7">
        <w:r>
          <w:rPr>
            <w:rStyle w:val="Hyperlink"/>
          </w:rPr>
          <w:t xml:space="preserve">10.2166/wpt.2022.167</w:t>
        </w:r>
      </w:hyperlink>
      <w:r>
        <w:t xml:space="preserve">.</w:t>
      </w:r>
    </w:p>
    <w:bookmarkEnd w:id="138"/>
    <w:bookmarkStart w:id="140" w:name="ref-li2010cyanobacterial"/>
    <w:p>
      <w:pPr>
        <w:pStyle w:val="Bibliography"/>
      </w:pPr>
      <w:r>
        <w:t xml:space="preserve">(31)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39">
        <w:r>
          <w:rPr>
            <w:rStyle w:val="Hyperlink"/>
          </w:rPr>
          <w:t xml:space="preserve">10.1016/j.hal.2010.03.003</w:t>
        </w:r>
      </w:hyperlink>
      <w:r>
        <w:t xml:space="preserve">.</w:t>
      </w:r>
    </w:p>
    <w:bookmarkEnd w:id="140"/>
    <w:bookmarkStart w:id="142" w:name="ref-thornton1984regional"/>
    <w:p>
      <w:pPr>
        <w:pStyle w:val="Bibliography"/>
      </w:pPr>
      <w:r>
        <w:t xml:space="preserve">(32)</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41">
        <w:r>
          <w:rPr>
            <w:rStyle w:val="Hyperlink"/>
          </w:rPr>
          <w:t xml:space="preserve">10.1080/07438148409354521</w:t>
        </w:r>
      </w:hyperlink>
      <w:r>
        <w:t xml:space="preserve">.</w:t>
      </w:r>
    </w:p>
    <w:bookmarkEnd w:id="142"/>
    <w:bookmarkStart w:id="144" w:name="ref-dordoni2023a"/>
    <w:p>
      <w:pPr>
        <w:pStyle w:val="Bibliography"/>
      </w:pPr>
      <w:r>
        <w:t xml:space="preserve">(33)</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43">
        <w:r>
          <w:rPr>
            <w:rStyle w:val="Hyperlink"/>
          </w:rPr>
          <w:t xml:space="preserve">10.3389/frwa.2023.1084050</w:t>
        </w:r>
      </w:hyperlink>
      <w:r>
        <w:t xml:space="preserve">.</w:t>
      </w:r>
    </w:p>
    <w:bookmarkEnd w:id="144"/>
    <w:bookmarkStart w:id="146" w:name="ref-cefali2016life"/>
    <w:p>
      <w:pPr>
        <w:pStyle w:val="Bibliography"/>
      </w:pPr>
      <w:r>
        <w:t xml:space="preserve">(34)</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45">
        <w:r>
          <w:rPr>
            <w:rStyle w:val="Hyperlink"/>
          </w:rPr>
          <w:t xml:space="preserve">10.1016/j.ecss.2016.01.043</w:t>
        </w:r>
      </w:hyperlink>
      <w:r>
        <w:t xml:space="preserve">.</w:t>
      </w:r>
    </w:p>
    <w:bookmarkEnd w:id="146"/>
    <w:bookmarkStart w:id="148" w:name="ref-zohary2014the"/>
    <w:p>
      <w:pPr>
        <w:pStyle w:val="Bibliography"/>
      </w:pPr>
      <w:r>
        <w:t xml:space="preserve">(35)</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7">
        <w:r>
          <w:rPr>
            <w:rStyle w:val="Hyperlink"/>
          </w:rPr>
          <w:t xml:space="preserve">10.1007/978-94-017-8944-8_29</w:t>
        </w:r>
      </w:hyperlink>
      <w:r>
        <w:t xml:space="preserve">.</w:t>
      </w:r>
    </w:p>
    <w:bookmarkEnd w:id="148"/>
    <w:bookmarkStart w:id="150" w:name="ref-juttner2007biochemical"/>
    <w:p>
      <w:pPr>
        <w:pStyle w:val="Bibliography"/>
      </w:pPr>
      <w:r>
        <w:t xml:space="preserve">(36)</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9">
        <w:r>
          <w:rPr>
            <w:rStyle w:val="Hyperlink"/>
          </w:rPr>
          <w:t xml:space="preserve">10.1128/aem.02250-06</w:t>
        </w:r>
      </w:hyperlink>
      <w:r>
        <w:t xml:space="preserve">.</w:t>
      </w:r>
    </w:p>
    <w:bookmarkEnd w:id="150"/>
    <w:bookmarkStart w:id="152" w:name="ref-watson2003cyanobacterial"/>
    <w:p>
      <w:pPr>
        <w:pStyle w:val="Bibliography"/>
      </w:pPr>
      <w:r>
        <w:t xml:space="preserve">(37)</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51">
        <w:r>
          <w:rPr>
            <w:rStyle w:val="Hyperlink"/>
          </w:rPr>
          <w:t xml:space="preserve">10.2216/i0031-8884-42-4-332.1</w:t>
        </w:r>
      </w:hyperlink>
      <w:r>
        <w:t xml:space="preserve">.</w:t>
      </w:r>
    </w:p>
    <w:bookmarkEnd w:id="152"/>
    <w:bookmarkStart w:id="154" w:name="ref-zamyadi2015fate"/>
    <w:p>
      <w:pPr>
        <w:pStyle w:val="Bibliography"/>
      </w:pPr>
      <w:r>
        <w:t xml:space="preserve">(38)</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53">
        <w:r>
          <w:rPr>
            <w:rStyle w:val="Hyperlink"/>
          </w:rPr>
          <w:t xml:space="preserve">10.1016/j.watres.2015.06.038</w:t>
        </w:r>
      </w:hyperlink>
      <w:r>
        <w:t xml:space="preserve">.</w:t>
      </w:r>
    </w:p>
    <w:bookmarkEnd w:id="154"/>
    <w:bookmarkStart w:id="156" w:name="ref-lu2023mibderived"/>
    <w:p>
      <w:pPr>
        <w:pStyle w:val="Bibliography"/>
      </w:pPr>
      <w:r>
        <w:t xml:space="preserve">(39)</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55">
        <w:r>
          <w:rPr>
            <w:rStyle w:val="Hyperlink"/>
          </w:rPr>
          <w:t xml:space="preserve">10.1016/j.watres.2023.120485</w:t>
        </w:r>
      </w:hyperlink>
      <w:r>
        <w:t xml:space="preserve">.</w:t>
      </w:r>
    </w:p>
    <w:bookmarkEnd w:id="156"/>
    <w:bookmarkStart w:id="158" w:name="ref-bowmer1992physiology"/>
    <w:p>
      <w:pPr>
        <w:pStyle w:val="Bibliography"/>
      </w:pPr>
      <w:r>
        <w:t xml:space="preserve">(40)</w:t>
      </w:r>
      <w:r>
        <w:t xml:space="preserve"> </w:t>
      </w:r>
      <w:r>
        <w:t xml:space="preserve">	</w:t>
      </w:r>
      <w:r>
        <w:t xml:space="preserve">Bowmer, K. H.; Padovan, A.; Oliver, R. L.; Korth, W.; Ganf, G. G. Physiology of Geosmin Production by</w:t>
      </w:r>
      <w:r>
        <w:t xml:space="preserve"> </w:t>
      </w:r>
      <w:r>
        <w:rPr>
          <w:i/>
          <w:iCs/>
        </w:rPr>
        <w:t xml:space="preserve">Anabaena Circinalis</w:t>
      </w:r>
      <w:r>
        <w:t xml:space="preserve"> </w:t>
      </w:r>
      <w:r>
        <w:t xml:space="preserve">Isolated from the Murrumbidgee River, Australia.</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259–267. https://doi.org/</w:t>
      </w:r>
      <w:hyperlink r:id="rId157">
        <w:r>
          <w:rPr>
            <w:rStyle w:val="Hyperlink"/>
          </w:rPr>
          <w:t xml:space="preserve">10.2166/wst.1992.0060</w:t>
        </w:r>
      </w:hyperlink>
      <w:r>
        <w:t xml:space="preserve">.</w:t>
      </w:r>
    </w:p>
    <w:bookmarkEnd w:id="158"/>
    <w:bookmarkStart w:id="160" w:name="ref-uwins2007a"/>
    <w:p>
      <w:pPr>
        <w:pStyle w:val="Bibliography"/>
      </w:pPr>
      <w:r>
        <w:t xml:space="preserve">(41)</w:t>
      </w:r>
      <w:r>
        <w:t xml:space="preserve"> </w:t>
      </w:r>
      <w:r>
        <w:t xml:space="preserve">	</w:t>
      </w:r>
      <w:r>
        <w:t xml:space="preserve">Uwins, H. K.; Teasdale, P.; Stratton, H. A Case Study Investigating the Occurrence of Geosmin and 2-Methylisoborneol (MIB) in the Surface Waters of the Hinze Dam, Gold Coast, Australia.</w:t>
      </w:r>
      <w:r>
        <w:t xml:space="preserve"> </w:t>
      </w:r>
      <w:r>
        <w:rPr>
          <w:i/>
          <w:iCs/>
        </w:rPr>
        <w:t xml:space="preserve">Water Science and Technology</w:t>
      </w:r>
      <w:r>
        <w:t xml:space="preserve"> </w:t>
      </w:r>
      <w:r>
        <w:rPr>
          <w:b/>
          <w:bCs/>
        </w:rPr>
        <w:t xml:space="preserve">2007</w:t>
      </w:r>
      <w:r>
        <w:t xml:space="preserve">,</w:t>
      </w:r>
      <w:r>
        <w:t xml:space="preserve"> </w:t>
      </w:r>
      <w:r>
        <w:rPr>
          <w:i/>
          <w:iCs/>
        </w:rPr>
        <w:t xml:space="preserve">55</w:t>
      </w:r>
      <w:r>
        <w:t xml:space="preserve"> </w:t>
      </w:r>
      <w:r>
        <w:t xml:space="preserve">(5), 231–238. https://doi.org/</w:t>
      </w:r>
      <w:hyperlink r:id="rId159">
        <w:r>
          <w:rPr>
            <w:rStyle w:val="Hyperlink"/>
          </w:rPr>
          <w:t xml:space="preserve">10.2166/wst.2007.184</w:t>
        </w:r>
      </w:hyperlink>
      <w:r>
        <w:t xml:space="preserve">.</w:t>
      </w:r>
    </w:p>
    <w:bookmarkEnd w:id="160"/>
    <w:bookmarkStart w:id="162" w:name="ref-qiu2023producers"/>
    <w:p>
      <w:pPr>
        <w:pStyle w:val="Bibliography"/>
      </w:pPr>
      <w:r>
        <w:t xml:space="preserve">(42)</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61">
        <w:r>
          <w:rPr>
            <w:rStyle w:val="Hyperlink"/>
          </w:rPr>
          <w:t xml:space="preserve">10.3389/fevo.2023.1216567</w:t>
        </w:r>
      </w:hyperlink>
      <w:r>
        <w:t xml:space="preserve">.</w:t>
      </w:r>
    </w:p>
    <w:bookmarkEnd w:id="162"/>
    <w:bookmarkStart w:id="164" w:name="ref-wu2022seasonal"/>
    <w:p>
      <w:pPr>
        <w:pStyle w:val="Bibliography"/>
      </w:pPr>
      <w:r>
        <w:t xml:space="preserve">(43)</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63">
        <w:r>
          <w:rPr>
            <w:rStyle w:val="Hyperlink"/>
          </w:rPr>
          <w:t xml:space="preserve">10.1016/j.jhazmat.2021.128056</w:t>
        </w:r>
      </w:hyperlink>
      <w:r>
        <w:t xml:space="preserve">.</w:t>
      </w:r>
    </w:p>
    <w:bookmarkEnd w:id="164"/>
    <w:bookmarkStart w:id="165" w:name="ref-american2010algae"/>
    <w:p>
      <w:pPr>
        <w:pStyle w:val="Bibliography"/>
      </w:pPr>
      <w:r>
        <w:t xml:space="preserve">(44)</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65"/>
    <w:bookmarkStart w:id="166" w:name="ref-zhou2024spatial"/>
    <w:p>
      <w:pPr>
        <w:pStyle w:val="Bibliography"/>
      </w:pPr>
      <w:r>
        <w:t xml:space="preserve">(45)</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66"/>
    <w:bookmarkStart w:id="168" w:name="ref-zhai2017disinfection"/>
    <w:p>
      <w:pPr>
        <w:pStyle w:val="Bibliography"/>
      </w:pPr>
      <w:r>
        <w:t xml:space="preserve">(46)</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67">
        <w:r>
          <w:rPr>
            <w:rStyle w:val="Hyperlink"/>
          </w:rPr>
          <w:t xml:space="preserve">10.1016/j.chemosphere.2017.04.028</w:t>
        </w:r>
      </w:hyperlink>
      <w:r>
        <w:t xml:space="preserve">.</w:t>
      </w:r>
    </w:p>
    <w:bookmarkEnd w:id="168"/>
    <w:bookmarkStart w:id="170" w:name="ref-xu2014spatiotemporal"/>
    <w:p>
      <w:pPr>
        <w:pStyle w:val="Bibliography"/>
      </w:pPr>
      <w:r>
        <w:t xml:space="preserve">(47)</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69">
        <w:r>
          <w:rPr>
            <w:rStyle w:val="Hyperlink"/>
          </w:rPr>
          <w:t xml:space="preserve">10.1007/s11783-014-0702-9</w:t>
        </w:r>
      </w:hyperlink>
      <w:r>
        <w:t xml:space="preserve">.</w:t>
      </w:r>
    </w:p>
    <w:bookmarkEnd w:id="170"/>
    <w:bookmarkStart w:id="172" w:name="ref-qiu2021using"/>
    <w:p>
      <w:pPr>
        <w:pStyle w:val="Bibliography"/>
      </w:pPr>
      <w:r>
        <w:t xml:space="preserve">(48)</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71">
        <w:r>
          <w:rPr>
            <w:rStyle w:val="Hyperlink"/>
          </w:rPr>
          <w:t xml:space="preserve">10.1016/j.envpol.2021.117772</w:t>
        </w:r>
      </w:hyperlink>
      <w:r>
        <w:t xml:space="preserve">.</w:t>
      </w:r>
    </w:p>
    <w:bookmarkEnd w:id="172"/>
    <w:bookmarkStart w:id="174" w:name="ref-cai2017geosmin"/>
    <w:p>
      <w:pPr>
        <w:pStyle w:val="Bibliography"/>
      </w:pPr>
      <w:r>
        <w:t xml:space="preserve">(49)</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73">
        <w:r>
          <w:rPr>
            <w:rStyle w:val="Hyperlink"/>
          </w:rPr>
          <w:t xml:space="preserve">10.1016/j.hal.2017.09.006</w:t>
        </w:r>
      </w:hyperlink>
      <w:r>
        <w:t xml:space="preserve">.</w:t>
      </w:r>
    </w:p>
    <w:bookmarkEnd w:id="174"/>
    <w:bookmarkStart w:id="176" w:name="ref-su2013establishment"/>
    <w:p>
      <w:pPr>
        <w:pStyle w:val="Bibliography"/>
      </w:pPr>
      <w:r>
        <w:t xml:space="preserve">(50)</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75">
        <w:r>
          <w:rPr>
            <w:rStyle w:val="Hyperlink"/>
          </w:rPr>
          <w:t xml:space="preserve">10.1016/j.watres.2013.03.043</w:t>
        </w:r>
      </w:hyperlink>
      <w:r>
        <w:t xml:space="preserve">.</w:t>
      </w:r>
    </w:p>
    <w:bookmarkEnd w:id="176"/>
    <w:bookmarkStart w:id="178" w:name="ref-giglio2008isolation"/>
    <w:p>
      <w:pPr>
        <w:pStyle w:val="Bibliography"/>
      </w:pPr>
      <w:r>
        <w:t xml:space="preserve">(51)</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77">
        <w:r>
          <w:rPr>
            <w:rStyle w:val="Hyperlink"/>
          </w:rPr>
          <w:t xml:space="preserve">10.1021/es801465w</w:t>
        </w:r>
      </w:hyperlink>
      <w:r>
        <w:t xml:space="preserve">.</w:t>
      </w:r>
    </w:p>
    <w:bookmarkEnd w:id="178"/>
    <w:bookmarkStart w:id="180" w:name="ref-devi2021quantitative"/>
    <w:p>
      <w:pPr>
        <w:pStyle w:val="Bibliography"/>
      </w:pPr>
      <w:r>
        <w:t xml:space="preserve">(52)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79">
        <w:r>
          <w:rPr>
            <w:rStyle w:val="Hyperlink"/>
          </w:rPr>
          <w:t xml:space="preserve">10.1016/j.watres.2020.116478</w:t>
        </w:r>
      </w:hyperlink>
      <w:r>
        <w:t xml:space="preserve">.</w:t>
      </w:r>
    </w:p>
    <w:bookmarkEnd w:id="180"/>
    <w:bookmarkStart w:id="182" w:name="ref-cook2001the"/>
    <w:p>
      <w:pPr>
        <w:pStyle w:val="Bibliography"/>
      </w:pPr>
      <w:r>
        <w:t xml:space="preserve">(53)</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81">
        <w:r>
          <w:rPr>
            <w:rStyle w:val="Hyperlink"/>
          </w:rPr>
          <w:t xml:space="preserve">10.1016/S0043-1354(00)00363-8</w:t>
        </w:r>
      </w:hyperlink>
      <w:r>
        <w:t xml:space="preserve">.</w:t>
      </w:r>
    </w:p>
    <w:bookmarkEnd w:id="182"/>
    <w:bookmarkStart w:id="184" w:name="ref-arora2022sustainable"/>
    <w:p>
      <w:pPr>
        <w:pStyle w:val="Bibliography"/>
      </w:pPr>
      <w:r>
        <w:t xml:space="preserve">(54)</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83">
        <w:r>
          <w:rPr>
            <w:rStyle w:val="Hyperlink"/>
          </w:rPr>
          <w:t xml:space="preserve">10.1007/s42398-022-00246-5</w:t>
        </w:r>
      </w:hyperlink>
      <w:r>
        <w:t xml:space="preserve">.</w:t>
      </w:r>
    </w:p>
    <w:bookmarkEnd w:id="184"/>
    <w:bookmarkStart w:id="186" w:name="ref-yuan2022adsorption"/>
    <w:p>
      <w:pPr>
        <w:pStyle w:val="Bibliography"/>
      </w:pPr>
      <w:r>
        <w:t xml:space="preserve">(55)</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85">
        <w:r>
          <w:rPr>
            <w:rStyle w:val="Hyperlink"/>
          </w:rPr>
          <w:t xml:space="preserve">10.1016/j.jhazmat.2022.129838</w:t>
        </w:r>
      </w:hyperlink>
      <w:r>
        <w:t xml:space="preserve">.</w:t>
      </w:r>
    </w:p>
    <w:bookmarkEnd w:id="186"/>
    <w:bookmarkStart w:id="188" w:name="ref-guo2024considerable"/>
    <w:p>
      <w:pPr>
        <w:pStyle w:val="Bibliography"/>
      </w:pPr>
      <w:r>
        <w:t xml:space="preserve">(56)</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87">
        <w:r>
          <w:rPr>
            <w:rStyle w:val="Hyperlink"/>
          </w:rPr>
          <w:t xml:space="preserve">10.1016/j.watres.2024.122767</w:t>
        </w:r>
      </w:hyperlink>
      <w:r>
        <w:t xml:space="preserve">.</w:t>
      </w:r>
    </w:p>
    <w:bookmarkEnd w:id="188"/>
    <w:bookmarkStart w:id="190" w:name="ref-gerber1965geosmin"/>
    <w:p>
      <w:pPr>
        <w:pStyle w:val="Bibliography"/>
      </w:pPr>
      <w:r>
        <w:t xml:space="preserve">(57)</w:t>
      </w:r>
      <w:r>
        <w:t xml:space="preserve"> </w:t>
      </w:r>
      <w:r>
        <w:t xml:space="preserve">	</w:t>
      </w:r>
      <w:r>
        <w:t xml:space="preserve">Gerber, N. N.; Lechevalier, H. A.</w:t>
      </w:r>
      <w:r>
        <w:t xml:space="preserve"> </w:t>
      </w:r>
      <w:hyperlink r:id="rId189">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90"/>
    <w:bookmarkStart w:id="192" w:name="ref-gerber1979volatile"/>
    <w:p>
      <w:pPr>
        <w:pStyle w:val="Bibliography"/>
      </w:pPr>
      <w:r>
        <w:t xml:space="preserve">(58)</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91">
        <w:r>
          <w:rPr>
            <w:rStyle w:val="Hyperlink"/>
          </w:rPr>
          <w:t xml:space="preserve">10.3109/10408417909082014</w:t>
        </w:r>
      </w:hyperlink>
      <w:r>
        <w:t xml:space="preserve">.</w:t>
      </w:r>
    </w:p>
    <w:bookmarkEnd w:id="192"/>
    <w:bookmarkStart w:id="194" w:name="ref-jensen1994actinomycetes"/>
    <w:p>
      <w:pPr>
        <w:pStyle w:val="Bibliography"/>
      </w:pPr>
      <w:r>
        <w:t xml:space="preserve">(59)</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93">
        <w:r>
          <w:rPr>
            <w:rStyle w:val="Hyperlink"/>
          </w:rPr>
          <w:t xml:space="preserve">0043-1354(94)90306-9</w:t>
        </w:r>
      </w:hyperlink>
      <w:r>
        <w:t xml:space="preserve">.</w:t>
      </w:r>
    </w:p>
    <w:bookmarkEnd w:id="194"/>
    <w:bookmarkStart w:id="196" w:name="ref-chislock2021contrasting"/>
    <w:p>
      <w:pPr>
        <w:pStyle w:val="Bibliography"/>
      </w:pPr>
      <w:r>
        <w:t xml:space="preserve">(60)</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95">
        <w:r>
          <w:rPr>
            <w:rStyle w:val="Hyperlink"/>
          </w:rPr>
          <w:t xml:space="preserve">10.1007/s11356-021-12973-z</w:t>
        </w:r>
      </w:hyperlink>
      <w:r>
        <w:t xml:space="preserve">.</w:t>
      </w:r>
    </w:p>
    <w:bookmarkEnd w:id="196"/>
    <w:bookmarkStart w:id="198" w:name="ref-pham2020first"/>
    <w:p>
      <w:pPr>
        <w:pStyle w:val="Bibliography"/>
      </w:pPr>
      <w:r>
        <w:t xml:space="preserve">(61)</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97">
        <w:r>
          <w:rPr>
            <w:rStyle w:val="Hyperlink"/>
          </w:rPr>
          <w:t xml:space="preserve">10.1007/s10201-020-00630-2</w:t>
        </w:r>
      </w:hyperlink>
      <w:r>
        <w:t xml:space="preserve">.</w:t>
      </w:r>
    </w:p>
    <w:bookmarkEnd w:id="198"/>
    <w:bookmarkStart w:id="200" w:name="ref-izaguirre1992a"/>
    <w:p>
      <w:pPr>
        <w:pStyle w:val="Bibliography"/>
      </w:pPr>
      <w:r>
        <w:t xml:space="preserve">(62)</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99">
        <w:r>
          <w:rPr>
            <w:rStyle w:val="Hyperlink"/>
          </w:rPr>
          <w:t xml:space="preserve">10.2166/wst.1992.0055</w:t>
        </w:r>
      </w:hyperlink>
      <w:r>
        <w:t xml:space="preserve">.</w:t>
      </w:r>
    </w:p>
    <w:bookmarkEnd w:id="200"/>
    <w:bookmarkStart w:id="202" w:name="ref-hooper2023the"/>
    <w:p>
      <w:pPr>
        <w:pStyle w:val="Bibliography"/>
      </w:pPr>
      <w:r>
        <w:t xml:space="preserve">(63)</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201">
        <w:r>
          <w:rPr>
            <w:rStyle w:val="Hyperlink"/>
          </w:rPr>
          <w:t xml:space="preserve">10.1016/j.watres.2023.119693</w:t>
        </w:r>
      </w:hyperlink>
      <w:r>
        <w:t xml:space="preserve">.</w:t>
      </w:r>
    </w:p>
    <w:bookmarkEnd w:id="202"/>
    <w:bookmarkStart w:id="204" w:name="ref-suurnakki2015identification"/>
    <w:p>
      <w:pPr>
        <w:pStyle w:val="Bibliography"/>
      </w:pPr>
      <w:r>
        <w:t xml:space="preserve">(64)</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203">
        <w:r>
          <w:rPr>
            <w:rStyle w:val="Hyperlink"/>
          </w:rPr>
          <w:t xml:space="preserve">10.1016/j.watres.2014.09.037</w:t>
        </w:r>
      </w:hyperlink>
      <w:r>
        <w:t xml:space="preserve">.</w:t>
      </w:r>
    </w:p>
    <w:bookmarkEnd w:id="204"/>
    <w:bookmarkStart w:id="206" w:name="ref-giglio2011biosynthesis"/>
    <w:p>
      <w:pPr>
        <w:pStyle w:val="Bibliography"/>
      </w:pPr>
      <w:r>
        <w:t xml:space="preserve">(65)</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205">
        <w:r>
          <w:rPr>
            <w:rStyle w:val="Hyperlink"/>
          </w:rPr>
          <w:t xml:space="preserve">10.1021/es102992p</w:t>
        </w:r>
      </w:hyperlink>
      <w:r>
        <w:t xml:space="preserve">.</w:t>
      </w:r>
    </w:p>
    <w:bookmarkEnd w:id="206"/>
    <w:bookmarkStart w:id="208" w:name="ref-kutovaya2014development"/>
    <w:p>
      <w:pPr>
        <w:pStyle w:val="Bibliography"/>
      </w:pPr>
      <w:r>
        <w:t xml:space="preserve">(66)</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207">
        <w:r>
          <w:rPr>
            <w:rStyle w:val="Hyperlink"/>
          </w:rPr>
          <w:t xml:space="preserve">10.1016/j.jglr.2014.03.016</w:t>
        </w:r>
      </w:hyperlink>
      <w:r>
        <w:t xml:space="preserve">.</w:t>
      </w:r>
    </w:p>
    <w:bookmarkEnd w:id="208"/>
    <w:bookmarkStart w:id="210" w:name="ref-hayashi2019identification"/>
    <w:p>
      <w:pPr>
        <w:pStyle w:val="Bibliography"/>
      </w:pPr>
      <w:r>
        <w:t xml:space="preserve">(67)</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209">
        <w:r>
          <w:rPr>
            <w:rStyle w:val="Hyperlink"/>
          </w:rPr>
          <w:t xml:space="preserve">10.1016/j.hal.2019.01.010</w:t>
        </w:r>
      </w:hyperlink>
      <w:r>
        <w:t xml:space="preserve">.</w:t>
      </w:r>
    </w:p>
    <w:bookmarkEnd w:id="210"/>
    <w:bookmarkStart w:id="212" w:name="ref-john2018an"/>
    <w:p>
      <w:pPr>
        <w:pStyle w:val="Bibliography"/>
      </w:pPr>
      <w:r>
        <w:t xml:space="preserve">(68)</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11">
        <w:r>
          <w:rPr>
            <w:rStyle w:val="Hyperlink"/>
          </w:rPr>
          <w:t xml:space="preserve">10.1016/j.watres.2018.02.041</w:t>
        </w:r>
      </w:hyperlink>
      <w:r>
        <w:t xml:space="preserve">.</w:t>
      </w:r>
    </w:p>
    <w:bookmarkEnd w:id="212"/>
    <w:bookmarkStart w:id="214" w:name="ref-churro2020a"/>
    <w:p>
      <w:pPr>
        <w:pStyle w:val="Bibliography"/>
      </w:pPr>
      <w:r>
        <w:t xml:space="preserve">(69)</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13">
        <w:r>
          <w:rPr>
            <w:rStyle w:val="Hyperlink"/>
          </w:rPr>
          <w:t xml:space="preserve">10.1038/s41598-020-64774-y</w:t>
        </w:r>
      </w:hyperlink>
      <w:r>
        <w:t xml:space="preserve">.</w:t>
      </w:r>
    </w:p>
    <w:bookmarkEnd w:id="214"/>
    <w:bookmarkStart w:id="216"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5">
        <w:r>
          <w:rPr>
            <w:rStyle w:val="Hyperlink"/>
          </w:rPr>
          <w:t xml:space="preserve">J.scitotenv.2018.08.307</w:t>
        </w:r>
      </w:hyperlink>
      <w:r>
        <w:t xml:space="preserve">.</w:t>
      </w:r>
    </w:p>
    <w:bookmarkEnd w:id="216"/>
    <w:bookmarkStart w:id="218" w:name="ref-jia2019light"/>
    <w:p>
      <w:pPr>
        <w:pStyle w:val="Bibliography"/>
      </w:pPr>
      <w:r>
        <w:t xml:space="preserve">(71)</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17">
        <w:r>
          <w:rPr>
            <w:rStyle w:val="Hyperlink"/>
          </w:rPr>
          <w:t xml:space="preserve">10.1016/j.hal.2019.101658</w:t>
        </w:r>
      </w:hyperlink>
      <w:r>
        <w:t xml:space="preserve">.</w:t>
      </w:r>
    </w:p>
    <w:bookmarkEnd w:id="218"/>
    <w:bookmarkStart w:id="220" w:name="ref-cao2025green"/>
    <w:p>
      <w:pPr>
        <w:pStyle w:val="Bibliography"/>
      </w:pPr>
      <w:r>
        <w:t xml:space="preserve">(72)</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19">
        <w:r>
          <w:rPr>
            <w:rStyle w:val="Hyperlink"/>
          </w:rPr>
          <w:t xml:space="preserve">10.1016/j.watres.2025.123336</w:t>
        </w:r>
      </w:hyperlink>
      <w:r>
        <w:t xml:space="preserve">.</w:t>
      </w:r>
    </w:p>
    <w:bookmarkEnd w:id="220"/>
    <w:bookmarkStart w:id="222" w:name="ref-komarek2015filamentous"/>
    <w:p>
      <w:pPr>
        <w:pStyle w:val="Bibliography"/>
      </w:pPr>
      <w:r>
        <w:t xml:space="preserve">(73)</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21">
        <w:r>
          <w:rPr>
            <w:rStyle w:val="Hyperlink"/>
          </w:rPr>
          <w:t xml:space="preserve">10.1016/b978-0-12-385876-4.00004-9</w:t>
        </w:r>
      </w:hyperlink>
      <w:r>
        <w:t xml:space="preserve">.</w:t>
      </w:r>
    </w:p>
    <w:bookmarkEnd w:id="222"/>
    <w:bookmarkStart w:id="224" w:name="ref-scott2012cyanobacteria"/>
    <w:p>
      <w:pPr>
        <w:pStyle w:val="Bibliography"/>
      </w:pPr>
      <w:r>
        <w:t xml:space="preserve">(74)</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23">
        <w:r>
          <w:rPr>
            <w:rStyle w:val="Hyperlink"/>
          </w:rPr>
          <w:t xml:space="preserve">10.1007/978-94-007-3855-3_9</w:t>
        </w:r>
      </w:hyperlink>
      <w:r>
        <w:t xml:space="preserve">.</w:t>
      </w:r>
    </w:p>
    <w:bookmarkEnd w:id="224"/>
    <w:bookmarkStart w:id="225" w:name="ref-mohanty2024challenges"/>
    <w:p>
      <w:pPr>
        <w:pStyle w:val="Bibliography"/>
      </w:pPr>
      <w:r>
        <w:t xml:space="preserve">(75)</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25"/>
    <w:bookmarkStart w:id="226" w:name="ref-oliver2000freshwater"/>
    <w:p>
      <w:pPr>
        <w:pStyle w:val="Bibliography"/>
      </w:pPr>
      <w:r>
        <w:t xml:space="preserve">(76)</w:t>
      </w:r>
      <w:r>
        <w:t xml:space="preserve"> </w:t>
      </w:r>
      <w:r>
        <w:t xml:space="preserve">	</w:t>
      </w:r>
      <w:r>
        <w:t xml:space="preserve">Oliver, R. L.; Ganf, G. G. Freshwater Blooms. In</w:t>
      </w:r>
      <w:r>
        <w:t xml:space="preserve"> </w:t>
      </w:r>
      <w:r>
        <w:rPr>
          <w:i/>
          <w:iCs/>
        </w:rPr>
        <w:t xml:space="preserve">The ecology of cyanobacteria: Their diversity in time and space</w:t>
      </w:r>
      <w:r>
        <w:t xml:space="preserve">; Springer, 2000; pp 149–194.</w:t>
      </w:r>
    </w:p>
    <w:bookmarkEnd w:id="226"/>
    <w:bookmarkStart w:id="228" w:name="ref-su2017reducing"/>
    <w:p>
      <w:pPr>
        <w:pStyle w:val="Bibliography"/>
      </w:pPr>
      <w:r>
        <w:t xml:space="preserve">(77)</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27">
        <w:r>
          <w:rPr>
            <w:rStyle w:val="Hyperlink"/>
          </w:rPr>
          <w:t xml:space="preserve">10.1016/j.scitotenv.2016.08.134</w:t>
        </w:r>
      </w:hyperlink>
      <w:r>
        <w:t xml:space="preserve">.</w:t>
      </w:r>
    </w:p>
    <w:bookmarkEnd w:id="228"/>
    <w:bookmarkStart w:id="230" w:name="ref-fang2024mitigating"/>
    <w:p>
      <w:pPr>
        <w:pStyle w:val="Bibliography"/>
      </w:pPr>
      <w:r>
        <w:t xml:space="preserve">(78)</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29">
        <w:r>
          <w:rPr>
            <w:rStyle w:val="Hyperlink"/>
          </w:rPr>
          <w:t xml:space="preserve">10.1016/j.watres.2024.122509</w:t>
        </w:r>
      </w:hyperlink>
      <w:r>
        <w:t xml:space="preserve">.</w:t>
      </w:r>
    </w:p>
    <w:bookmarkEnd w:id="230"/>
    <w:bookmarkStart w:id="232" w:name="ref-recknagel2017early"/>
    <w:p>
      <w:pPr>
        <w:pStyle w:val="Bibliography"/>
      </w:pPr>
      <w:r>
        <w:t xml:space="preserve">(79)</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31">
        <w:r>
          <w:rPr>
            <w:rStyle w:val="Hyperlink"/>
          </w:rPr>
          <w:t xml:space="preserve">10.1016/j.hal.2017.09.003</w:t>
        </w:r>
      </w:hyperlink>
      <w:r>
        <w:t xml:space="preserve">.</w:t>
      </w:r>
    </w:p>
    <w:bookmarkEnd w:id="232"/>
    <w:bookmarkStart w:id="234" w:name="ref-izaguirre2004a"/>
    <w:p>
      <w:pPr>
        <w:pStyle w:val="Bibliography"/>
      </w:pPr>
      <w:r>
        <w:t xml:space="preserve">(80)</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33">
        <w:r>
          <w:rPr>
            <w:rStyle w:val="Hyperlink"/>
          </w:rPr>
          <w:t xml:space="preserve">10.2166/wst.2004.0524</w:t>
        </w:r>
      </w:hyperlink>
      <w:r>
        <w:t xml:space="preserve">.</w:t>
      </w:r>
    </w:p>
    <w:bookmarkEnd w:id="234"/>
    <w:bookmarkStart w:id="236" w:name="ref-choo2025investigating"/>
    <w:p>
      <w:pPr>
        <w:pStyle w:val="Bibliography"/>
      </w:pPr>
      <w:r>
        <w:t xml:space="preserve">(81)</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35">
        <w:r>
          <w:rPr>
            <w:rStyle w:val="Hyperlink"/>
          </w:rPr>
          <w:t xml:space="preserve">10.1016/j.watres.2025.124388</w:t>
        </w:r>
      </w:hyperlink>
      <w:r>
        <w:t xml:space="preserve">.</w:t>
      </w:r>
    </w:p>
    <w:bookmarkEnd w:id="236"/>
    <w:bookmarkEnd w:id="237"/>
    <w:bookmarkEnd w:id="23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89" Target="http://aem.asm.org/content/13/6/935.abstract" TargetMode="External" /><Relationship Type="http://schemas.openxmlformats.org/officeDocument/2006/relationships/hyperlink" Id="rId193" Target="https://doi.org/0043-1354(94)90306-9" TargetMode="External" /><Relationship Type="http://schemas.openxmlformats.org/officeDocument/2006/relationships/hyperlink" Id="rId223" Target="https://doi.org/10.1007/978-94-007-3855-3_9" TargetMode="External" /><Relationship Type="http://schemas.openxmlformats.org/officeDocument/2006/relationships/hyperlink" Id="rId147" Target="https://doi.org/10.1007/978-94-017-8944-8_29" TargetMode="External" /><Relationship Type="http://schemas.openxmlformats.org/officeDocument/2006/relationships/hyperlink" Id="rId127" Target="https://doi.org/10.1007/s00018-003-2079-y" TargetMode="External" /><Relationship Type="http://schemas.openxmlformats.org/officeDocument/2006/relationships/hyperlink" Id="rId197" Target="https://doi.org/10.1007/s10201-020-00630-2" TargetMode="External" /><Relationship Type="http://schemas.openxmlformats.org/officeDocument/2006/relationships/hyperlink" Id="rId135" Target="https://doi.org/10.1007/s10661-021-08980-9" TargetMode="External" /><Relationship Type="http://schemas.openxmlformats.org/officeDocument/2006/relationships/hyperlink" Id="rId195" Target="https://doi.org/10.1007/s11356-021-12973-z" TargetMode="External" /><Relationship Type="http://schemas.openxmlformats.org/officeDocument/2006/relationships/hyperlink" Id="rId123" Target="https://doi.org/10.1007/s11783-013-0577-1" TargetMode="External" /><Relationship Type="http://schemas.openxmlformats.org/officeDocument/2006/relationships/hyperlink" Id="rId169" Target="https://doi.org/10.1007/s11783-014-0702-9" TargetMode="External" /><Relationship Type="http://schemas.openxmlformats.org/officeDocument/2006/relationships/hyperlink" Id="rId183" Target="https://doi.org/10.1007/s42398-022-00246-5" TargetMode="External" /><Relationship Type="http://schemas.openxmlformats.org/officeDocument/2006/relationships/hyperlink" Id="rId181" Target="https://doi.org/10.1016/S0043-1354(00)00363-8" TargetMode="External" /><Relationship Type="http://schemas.openxmlformats.org/officeDocument/2006/relationships/hyperlink" Id="rId221" Target="https://doi.org/10.1016/b978-0-12-385876-4.00004-9" TargetMode="External" /><Relationship Type="http://schemas.openxmlformats.org/officeDocument/2006/relationships/hyperlink" Id="rId167" Target="https://doi.org/10.1016/j.chemosphere.2017.04.028" TargetMode="External" /><Relationship Type="http://schemas.openxmlformats.org/officeDocument/2006/relationships/hyperlink" Id="rId145" Target="https://doi.org/10.1016/j.ecss.2016.01.043" TargetMode="External" /><Relationship Type="http://schemas.openxmlformats.org/officeDocument/2006/relationships/hyperlink" Id="rId114"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84" Target="https://doi.org/10.1016/j.hal.2008.08.006" TargetMode="External" /><Relationship Type="http://schemas.openxmlformats.org/officeDocument/2006/relationships/hyperlink" Id="rId139" Target="https://doi.org/10.1016/j.hal.2010.03.003" TargetMode="External" /><Relationship Type="http://schemas.openxmlformats.org/officeDocument/2006/relationships/hyperlink" Id="rId92" Target="https://doi.org/10.1016/j.hal.2011.10.027" TargetMode="External" /><Relationship Type="http://schemas.openxmlformats.org/officeDocument/2006/relationships/hyperlink" Id="rId231" Target="https://doi.org/10.1016/j.hal.2017.09.003" TargetMode="External" /><Relationship Type="http://schemas.openxmlformats.org/officeDocument/2006/relationships/hyperlink" Id="rId173" Target="https://doi.org/10.1016/j.hal.2017.09.006" TargetMode="External" /><Relationship Type="http://schemas.openxmlformats.org/officeDocument/2006/relationships/hyperlink" Id="rId209" Target="https://doi.org/10.1016/j.hal.2019.01.010" TargetMode="External" /><Relationship Type="http://schemas.openxmlformats.org/officeDocument/2006/relationships/hyperlink" Id="rId217" Target="https://doi.org/10.1016/j.hal.2019.101658" TargetMode="External" /><Relationship Type="http://schemas.openxmlformats.org/officeDocument/2006/relationships/hyperlink" Id="rId207" Target="https://doi.org/10.1016/j.jglr.2014.03.016" TargetMode="External" /><Relationship Type="http://schemas.openxmlformats.org/officeDocument/2006/relationships/hyperlink" Id="rId163" Target="https://doi.org/10.1016/j.jhazmat.2021.128056" TargetMode="External" /><Relationship Type="http://schemas.openxmlformats.org/officeDocument/2006/relationships/hyperlink" Id="rId185" Target="https://doi.org/10.1016/j.jhazmat.2022.129838" TargetMode="External" /><Relationship Type="http://schemas.openxmlformats.org/officeDocument/2006/relationships/hyperlink" Id="rId129" Target="https://doi.org/10.1016/j.jhazmat.2025.140118" TargetMode="External" /><Relationship Type="http://schemas.openxmlformats.org/officeDocument/2006/relationships/hyperlink" Id="rId227" Target="https://doi.org/10.1016/j.scitotenv.2016.08.134" TargetMode="External" /><Relationship Type="http://schemas.openxmlformats.org/officeDocument/2006/relationships/hyperlink" Id="rId104" Target="https://doi.org/10.1016/j.watres.2010.09.018" TargetMode="External" /><Relationship Type="http://schemas.openxmlformats.org/officeDocument/2006/relationships/hyperlink" Id="rId90" Target="https://doi.org/10.1016/j.watres.2011.08.002" TargetMode="External" /><Relationship Type="http://schemas.openxmlformats.org/officeDocument/2006/relationships/hyperlink" Id="rId175" Target="https://doi.org/10.1016/j.watres.2013.03.043" TargetMode="External" /><Relationship Type="http://schemas.openxmlformats.org/officeDocument/2006/relationships/hyperlink" Id="rId203" Target="https://doi.org/10.1016/j.watres.2014.09.037" TargetMode="External" /><Relationship Type="http://schemas.openxmlformats.org/officeDocument/2006/relationships/hyperlink" Id="rId118" Target="https://doi.org/10.1016/j.watres.2014.09.038" TargetMode="External" /><Relationship Type="http://schemas.openxmlformats.org/officeDocument/2006/relationships/hyperlink" Id="rId153" Target="https://doi.org/10.1016/j.watres.2015.06.038" TargetMode="External" /><Relationship Type="http://schemas.openxmlformats.org/officeDocument/2006/relationships/hyperlink" Id="rId211" Target="https://doi.org/10.1016/j.watres.2018.02.041" TargetMode="External" /><Relationship Type="http://schemas.openxmlformats.org/officeDocument/2006/relationships/hyperlink" Id="rId94" Target="https://doi.org/10.1016/j.watres.2020.115959" TargetMode="External" /><Relationship Type="http://schemas.openxmlformats.org/officeDocument/2006/relationships/hyperlink" Id="rId179" Target="https://doi.org/10.1016/j.watres.2020.116478" TargetMode="External" /><Relationship Type="http://schemas.openxmlformats.org/officeDocument/2006/relationships/hyperlink" Id="rId100" Target="https://doi.org/10.1016/j.watres.2022.118573" TargetMode="External" /><Relationship Type="http://schemas.openxmlformats.org/officeDocument/2006/relationships/hyperlink" Id="rId201" Target="https://doi.org/10.1016/j.watres.2023.119693" TargetMode="External" /><Relationship Type="http://schemas.openxmlformats.org/officeDocument/2006/relationships/hyperlink" Id="rId96" Target="https://doi.org/10.1016/j.watres.2023.119807" TargetMode="External" /><Relationship Type="http://schemas.openxmlformats.org/officeDocument/2006/relationships/hyperlink" Id="rId155" Target="https://doi.org/10.1016/j.watres.2023.120485" TargetMode="External" /><Relationship Type="http://schemas.openxmlformats.org/officeDocument/2006/relationships/hyperlink" Id="rId98" Target="https://doi.org/10.1016/j.watres.2024.121122" TargetMode="External" /><Relationship Type="http://schemas.openxmlformats.org/officeDocument/2006/relationships/hyperlink" Id="rId229" Target="https://doi.org/10.1016/j.watres.2024.122509" TargetMode="External" /><Relationship Type="http://schemas.openxmlformats.org/officeDocument/2006/relationships/hyperlink" Id="rId187" Target="https://doi.org/10.1016/j.watres.2024.122767" TargetMode="External" /><Relationship Type="http://schemas.openxmlformats.org/officeDocument/2006/relationships/hyperlink" Id="rId219" Target="https://doi.org/10.1016/j.watres.2025.123336" TargetMode="External" /><Relationship Type="http://schemas.openxmlformats.org/officeDocument/2006/relationships/hyperlink" Id="rId235" Target="https://doi.org/10.1016/j.watres.2025.124388" TargetMode="External" /><Relationship Type="http://schemas.openxmlformats.org/officeDocument/2006/relationships/hyperlink" Id="rId133" Target="https://doi.org/10.1016/s1001-0742(10)60367-1" TargetMode="External" /><Relationship Type="http://schemas.openxmlformats.org/officeDocument/2006/relationships/hyperlink" Id="rId108" Target="https://doi.org/10.1021/acs.est.0c06653" TargetMode="External" /><Relationship Type="http://schemas.openxmlformats.org/officeDocument/2006/relationships/hyperlink" Id="rId205" Target="https://doi.org/10.1021/es102992p" TargetMode="External" /><Relationship Type="http://schemas.openxmlformats.org/officeDocument/2006/relationships/hyperlink" Id="rId177" Target="https://doi.org/10.1021/es801465w" TargetMode="External" /><Relationship Type="http://schemas.openxmlformats.org/officeDocument/2006/relationships/hyperlink" Id="rId80" Target="https://doi.org/10.1038/s41579-018-0040-1" TargetMode="External" /><Relationship Type="http://schemas.openxmlformats.org/officeDocument/2006/relationships/hyperlink" Id="rId86" Target="https://doi.org/10.1038/s41586-021-03254-3" TargetMode="External" /><Relationship Type="http://schemas.openxmlformats.org/officeDocument/2006/relationships/hyperlink" Id="rId213" Target="https://doi.org/10.1038/s41598-020-64774-y" TargetMode="External" /><Relationship Type="http://schemas.openxmlformats.org/officeDocument/2006/relationships/hyperlink" Id="rId88" Target="https://doi.org/10.1038/s43017-020-0067-5" TargetMode="External" /><Relationship Type="http://schemas.openxmlformats.org/officeDocument/2006/relationships/hyperlink" Id="rId131" Target="https://doi.org/10.1080/07388550500248498" TargetMode="External" /><Relationship Type="http://schemas.openxmlformats.org/officeDocument/2006/relationships/hyperlink" Id="rId141" Target="https://doi.org/10.1080/07438148409354521" TargetMode="External" /><Relationship Type="http://schemas.openxmlformats.org/officeDocument/2006/relationships/hyperlink" Id="rId125" Target="https://doi.org/10.1093/plankt/fbq033" TargetMode="External" /><Relationship Type="http://schemas.openxmlformats.org/officeDocument/2006/relationships/hyperlink" Id="rId82" Target="https://doi.org/10.1100/tsw.2001.16" TargetMode="External" /><Relationship Type="http://schemas.openxmlformats.org/officeDocument/2006/relationships/hyperlink" Id="rId112" Target="https://doi.org/10.1111/j.1365-2427.2006.01689.x" TargetMode="External" /><Relationship Type="http://schemas.openxmlformats.org/officeDocument/2006/relationships/hyperlink" Id="rId106" Target="https://doi.org/10.1111/j.1365-2486.2011.02488.x" TargetMode="External" /><Relationship Type="http://schemas.openxmlformats.org/officeDocument/2006/relationships/hyperlink" Id="rId121" Target="https://doi.org/10.1126/science.319.5860.158a" TargetMode="External" /><Relationship Type="http://schemas.openxmlformats.org/officeDocument/2006/relationships/hyperlink" Id="rId149" Target="https://doi.org/10.1128/aem.02250-06" TargetMode="External" /><Relationship Type="http://schemas.openxmlformats.org/officeDocument/2006/relationships/hyperlink" Id="rId110" Target="https://doi.org/10.1289/ehp.01109663" TargetMode="External" /><Relationship Type="http://schemas.openxmlformats.org/officeDocument/2006/relationships/hyperlink" Id="rId137" Target="https://doi.org/10.2166/wpt.2022.167" TargetMode="External" /><Relationship Type="http://schemas.openxmlformats.org/officeDocument/2006/relationships/hyperlink" Id="rId199" Target="https://doi.org/10.2166/wst.1992.0055" TargetMode="External" /><Relationship Type="http://schemas.openxmlformats.org/officeDocument/2006/relationships/hyperlink" Id="rId157" Target="https://doi.org/10.2166/wst.1992.0060" TargetMode="External" /><Relationship Type="http://schemas.openxmlformats.org/officeDocument/2006/relationships/hyperlink" Id="rId233" Target="https://doi.org/10.2166/wst.2004.0524" TargetMode="External" /><Relationship Type="http://schemas.openxmlformats.org/officeDocument/2006/relationships/hyperlink" Id="rId159" Target="https://doi.org/10.2166/wst.2007.184" TargetMode="External" /><Relationship Type="http://schemas.openxmlformats.org/officeDocument/2006/relationships/hyperlink" Id="rId151" Target="https://doi.org/10.2216/i0031-8884-42-4-332.1" TargetMode="External" /><Relationship Type="http://schemas.openxmlformats.org/officeDocument/2006/relationships/hyperlink" Id="rId191" Target="https://doi.org/10.3109/10408417909082014" TargetMode="External" /><Relationship Type="http://schemas.openxmlformats.org/officeDocument/2006/relationships/hyperlink" Id="rId161" Target="https://doi.org/10.3389/fevo.2023.1216567" TargetMode="External" /><Relationship Type="http://schemas.openxmlformats.org/officeDocument/2006/relationships/hyperlink" Id="rId143" Target="https://doi.org/10.3389/frwa.2023.1084050" TargetMode="External" /><Relationship Type="http://schemas.openxmlformats.org/officeDocument/2006/relationships/hyperlink" Id="rId102" Target="https://doi.org/10.4319/lo.2010.55.1.0420" TargetMode="External" /><Relationship Type="http://schemas.openxmlformats.org/officeDocument/2006/relationships/hyperlink" Id="rId116" Target="https://doi.org/10.5942/jawwa.2017.109.0118" TargetMode="External" /><Relationship Type="http://schemas.openxmlformats.org/officeDocument/2006/relationships/hyperlink" Id="rId215" Target="https://doi.org/J.scitotenv.2018.08.307" TargetMode="External" /><Relationship Type="http://schemas.openxmlformats.org/officeDocument/2006/relationships/hyperlink" Id="rId73" Target="https://drwater.net/team/ming-su/" TargetMode="External" /><Relationship Type="http://schemas.openxmlformats.org/officeDocument/2006/relationships/hyperlink" Id="rId72"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89" Target="http://aem.asm.org/content/13/6/935.abstract" TargetMode="External" /><Relationship Type="http://schemas.openxmlformats.org/officeDocument/2006/relationships/hyperlink" Id="rId193" Target="https://doi.org/0043-1354(94)90306-9" TargetMode="External" /><Relationship Type="http://schemas.openxmlformats.org/officeDocument/2006/relationships/hyperlink" Id="rId223" Target="https://doi.org/10.1007/978-94-007-3855-3_9" TargetMode="External" /><Relationship Type="http://schemas.openxmlformats.org/officeDocument/2006/relationships/hyperlink" Id="rId147" Target="https://doi.org/10.1007/978-94-017-8944-8_29" TargetMode="External" /><Relationship Type="http://schemas.openxmlformats.org/officeDocument/2006/relationships/hyperlink" Id="rId127" Target="https://doi.org/10.1007/s00018-003-2079-y" TargetMode="External" /><Relationship Type="http://schemas.openxmlformats.org/officeDocument/2006/relationships/hyperlink" Id="rId197" Target="https://doi.org/10.1007/s10201-020-00630-2" TargetMode="External" /><Relationship Type="http://schemas.openxmlformats.org/officeDocument/2006/relationships/hyperlink" Id="rId135" Target="https://doi.org/10.1007/s10661-021-08980-9" TargetMode="External" /><Relationship Type="http://schemas.openxmlformats.org/officeDocument/2006/relationships/hyperlink" Id="rId195" Target="https://doi.org/10.1007/s11356-021-12973-z" TargetMode="External" /><Relationship Type="http://schemas.openxmlformats.org/officeDocument/2006/relationships/hyperlink" Id="rId123" Target="https://doi.org/10.1007/s11783-013-0577-1" TargetMode="External" /><Relationship Type="http://schemas.openxmlformats.org/officeDocument/2006/relationships/hyperlink" Id="rId169" Target="https://doi.org/10.1007/s11783-014-0702-9" TargetMode="External" /><Relationship Type="http://schemas.openxmlformats.org/officeDocument/2006/relationships/hyperlink" Id="rId183" Target="https://doi.org/10.1007/s42398-022-00246-5" TargetMode="External" /><Relationship Type="http://schemas.openxmlformats.org/officeDocument/2006/relationships/hyperlink" Id="rId181" Target="https://doi.org/10.1016/S0043-1354(00)00363-8" TargetMode="External" /><Relationship Type="http://schemas.openxmlformats.org/officeDocument/2006/relationships/hyperlink" Id="rId221" Target="https://doi.org/10.1016/b978-0-12-385876-4.00004-9" TargetMode="External" /><Relationship Type="http://schemas.openxmlformats.org/officeDocument/2006/relationships/hyperlink" Id="rId167" Target="https://doi.org/10.1016/j.chemosphere.2017.04.028" TargetMode="External" /><Relationship Type="http://schemas.openxmlformats.org/officeDocument/2006/relationships/hyperlink" Id="rId145" Target="https://doi.org/10.1016/j.ecss.2016.01.043" TargetMode="External" /><Relationship Type="http://schemas.openxmlformats.org/officeDocument/2006/relationships/hyperlink" Id="rId114"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84" Target="https://doi.org/10.1016/j.hal.2008.08.006" TargetMode="External" /><Relationship Type="http://schemas.openxmlformats.org/officeDocument/2006/relationships/hyperlink" Id="rId139" Target="https://doi.org/10.1016/j.hal.2010.03.003" TargetMode="External" /><Relationship Type="http://schemas.openxmlformats.org/officeDocument/2006/relationships/hyperlink" Id="rId92" Target="https://doi.org/10.1016/j.hal.2011.10.027" TargetMode="External" /><Relationship Type="http://schemas.openxmlformats.org/officeDocument/2006/relationships/hyperlink" Id="rId231" Target="https://doi.org/10.1016/j.hal.2017.09.003" TargetMode="External" /><Relationship Type="http://schemas.openxmlformats.org/officeDocument/2006/relationships/hyperlink" Id="rId173" Target="https://doi.org/10.1016/j.hal.2017.09.006" TargetMode="External" /><Relationship Type="http://schemas.openxmlformats.org/officeDocument/2006/relationships/hyperlink" Id="rId209" Target="https://doi.org/10.1016/j.hal.2019.01.010" TargetMode="External" /><Relationship Type="http://schemas.openxmlformats.org/officeDocument/2006/relationships/hyperlink" Id="rId217" Target="https://doi.org/10.1016/j.hal.2019.101658" TargetMode="External" /><Relationship Type="http://schemas.openxmlformats.org/officeDocument/2006/relationships/hyperlink" Id="rId207" Target="https://doi.org/10.1016/j.jglr.2014.03.016" TargetMode="External" /><Relationship Type="http://schemas.openxmlformats.org/officeDocument/2006/relationships/hyperlink" Id="rId163" Target="https://doi.org/10.1016/j.jhazmat.2021.128056" TargetMode="External" /><Relationship Type="http://schemas.openxmlformats.org/officeDocument/2006/relationships/hyperlink" Id="rId185" Target="https://doi.org/10.1016/j.jhazmat.2022.129838" TargetMode="External" /><Relationship Type="http://schemas.openxmlformats.org/officeDocument/2006/relationships/hyperlink" Id="rId129" Target="https://doi.org/10.1016/j.jhazmat.2025.140118" TargetMode="External" /><Relationship Type="http://schemas.openxmlformats.org/officeDocument/2006/relationships/hyperlink" Id="rId227" Target="https://doi.org/10.1016/j.scitotenv.2016.08.134" TargetMode="External" /><Relationship Type="http://schemas.openxmlformats.org/officeDocument/2006/relationships/hyperlink" Id="rId104" Target="https://doi.org/10.1016/j.watres.2010.09.018" TargetMode="External" /><Relationship Type="http://schemas.openxmlformats.org/officeDocument/2006/relationships/hyperlink" Id="rId90" Target="https://doi.org/10.1016/j.watres.2011.08.002" TargetMode="External" /><Relationship Type="http://schemas.openxmlformats.org/officeDocument/2006/relationships/hyperlink" Id="rId175" Target="https://doi.org/10.1016/j.watres.2013.03.043" TargetMode="External" /><Relationship Type="http://schemas.openxmlformats.org/officeDocument/2006/relationships/hyperlink" Id="rId203" Target="https://doi.org/10.1016/j.watres.2014.09.037" TargetMode="External" /><Relationship Type="http://schemas.openxmlformats.org/officeDocument/2006/relationships/hyperlink" Id="rId118" Target="https://doi.org/10.1016/j.watres.2014.09.038" TargetMode="External" /><Relationship Type="http://schemas.openxmlformats.org/officeDocument/2006/relationships/hyperlink" Id="rId153" Target="https://doi.org/10.1016/j.watres.2015.06.038" TargetMode="External" /><Relationship Type="http://schemas.openxmlformats.org/officeDocument/2006/relationships/hyperlink" Id="rId211" Target="https://doi.org/10.1016/j.watres.2018.02.041" TargetMode="External" /><Relationship Type="http://schemas.openxmlformats.org/officeDocument/2006/relationships/hyperlink" Id="rId94" Target="https://doi.org/10.1016/j.watres.2020.115959" TargetMode="External" /><Relationship Type="http://schemas.openxmlformats.org/officeDocument/2006/relationships/hyperlink" Id="rId179" Target="https://doi.org/10.1016/j.watres.2020.116478" TargetMode="External" /><Relationship Type="http://schemas.openxmlformats.org/officeDocument/2006/relationships/hyperlink" Id="rId100" Target="https://doi.org/10.1016/j.watres.2022.118573" TargetMode="External" /><Relationship Type="http://schemas.openxmlformats.org/officeDocument/2006/relationships/hyperlink" Id="rId201" Target="https://doi.org/10.1016/j.watres.2023.119693" TargetMode="External" /><Relationship Type="http://schemas.openxmlformats.org/officeDocument/2006/relationships/hyperlink" Id="rId96" Target="https://doi.org/10.1016/j.watres.2023.119807" TargetMode="External" /><Relationship Type="http://schemas.openxmlformats.org/officeDocument/2006/relationships/hyperlink" Id="rId155" Target="https://doi.org/10.1016/j.watres.2023.120485" TargetMode="External" /><Relationship Type="http://schemas.openxmlformats.org/officeDocument/2006/relationships/hyperlink" Id="rId98" Target="https://doi.org/10.1016/j.watres.2024.121122" TargetMode="External" /><Relationship Type="http://schemas.openxmlformats.org/officeDocument/2006/relationships/hyperlink" Id="rId229" Target="https://doi.org/10.1016/j.watres.2024.122509" TargetMode="External" /><Relationship Type="http://schemas.openxmlformats.org/officeDocument/2006/relationships/hyperlink" Id="rId187" Target="https://doi.org/10.1016/j.watres.2024.122767" TargetMode="External" /><Relationship Type="http://schemas.openxmlformats.org/officeDocument/2006/relationships/hyperlink" Id="rId219" Target="https://doi.org/10.1016/j.watres.2025.123336" TargetMode="External" /><Relationship Type="http://schemas.openxmlformats.org/officeDocument/2006/relationships/hyperlink" Id="rId235" Target="https://doi.org/10.1016/j.watres.2025.124388" TargetMode="External" /><Relationship Type="http://schemas.openxmlformats.org/officeDocument/2006/relationships/hyperlink" Id="rId133" Target="https://doi.org/10.1016/s1001-0742(10)60367-1" TargetMode="External" /><Relationship Type="http://schemas.openxmlformats.org/officeDocument/2006/relationships/hyperlink" Id="rId108" Target="https://doi.org/10.1021/acs.est.0c06653" TargetMode="External" /><Relationship Type="http://schemas.openxmlformats.org/officeDocument/2006/relationships/hyperlink" Id="rId205" Target="https://doi.org/10.1021/es102992p" TargetMode="External" /><Relationship Type="http://schemas.openxmlformats.org/officeDocument/2006/relationships/hyperlink" Id="rId177" Target="https://doi.org/10.1021/es801465w" TargetMode="External" /><Relationship Type="http://schemas.openxmlformats.org/officeDocument/2006/relationships/hyperlink" Id="rId80" Target="https://doi.org/10.1038/s41579-018-0040-1" TargetMode="External" /><Relationship Type="http://schemas.openxmlformats.org/officeDocument/2006/relationships/hyperlink" Id="rId86" Target="https://doi.org/10.1038/s41586-021-03254-3" TargetMode="External" /><Relationship Type="http://schemas.openxmlformats.org/officeDocument/2006/relationships/hyperlink" Id="rId213" Target="https://doi.org/10.1038/s41598-020-64774-y" TargetMode="External" /><Relationship Type="http://schemas.openxmlformats.org/officeDocument/2006/relationships/hyperlink" Id="rId88" Target="https://doi.org/10.1038/s43017-020-0067-5" TargetMode="External" /><Relationship Type="http://schemas.openxmlformats.org/officeDocument/2006/relationships/hyperlink" Id="rId131" Target="https://doi.org/10.1080/07388550500248498" TargetMode="External" /><Relationship Type="http://schemas.openxmlformats.org/officeDocument/2006/relationships/hyperlink" Id="rId141" Target="https://doi.org/10.1080/07438148409354521" TargetMode="External" /><Relationship Type="http://schemas.openxmlformats.org/officeDocument/2006/relationships/hyperlink" Id="rId125" Target="https://doi.org/10.1093/plankt/fbq033" TargetMode="External" /><Relationship Type="http://schemas.openxmlformats.org/officeDocument/2006/relationships/hyperlink" Id="rId82" Target="https://doi.org/10.1100/tsw.2001.16" TargetMode="External" /><Relationship Type="http://schemas.openxmlformats.org/officeDocument/2006/relationships/hyperlink" Id="rId112" Target="https://doi.org/10.1111/j.1365-2427.2006.01689.x" TargetMode="External" /><Relationship Type="http://schemas.openxmlformats.org/officeDocument/2006/relationships/hyperlink" Id="rId106" Target="https://doi.org/10.1111/j.1365-2486.2011.02488.x" TargetMode="External" /><Relationship Type="http://schemas.openxmlformats.org/officeDocument/2006/relationships/hyperlink" Id="rId121" Target="https://doi.org/10.1126/science.319.5860.158a" TargetMode="External" /><Relationship Type="http://schemas.openxmlformats.org/officeDocument/2006/relationships/hyperlink" Id="rId149" Target="https://doi.org/10.1128/aem.02250-06" TargetMode="External" /><Relationship Type="http://schemas.openxmlformats.org/officeDocument/2006/relationships/hyperlink" Id="rId110" Target="https://doi.org/10.1289/ehp.01109663" TargetMode="External" /><Relationship Type="http://schemas.openxmlformats.org/officeDocument/2006/relationships/hyperlink" Id="rId137" Target="https://doi.org/10.2166/wpt.2022.167" TargetMode="External" /><Relationship Type="http://schemas.openxmlformats.org/officeDocument/2006/relationships/hyperlink" Id="rId199" Target="https://doi.org/10.2166/wst.1992.0055" TargetMode="External" /><Relationship Type="http://schemas.openxmlformats.org/officeDocument/2006/relationships/hyperlink" Id="rId157" Target="https://doi.org/10.2166/wst.1992.0060" TargetMode="External" /><Relationship Type="http://schemas.openxmlformats.org/officeDocument/2006/relationships/hyperlink" Id="rId233" Target="https://doi.org/10.2166/wst.2004.0524" TargetMode="External" /><Relationship Type="http://schemas.openxmlformats.org/officeDocument/2006/relationships/hyperlink" Id="rId159" Target="https://doi.org/10.2166/wst.2007.184" TargetMode="External" /><Relationship Type="http://schemas.openxmlformats.org/officeDocument/2006/relationships/hyperlink" Id="rId151" Target="https://doi.org/10.2216/i0031-8884-42-4-332.1" TargetMode="External" /><Relationship Type="http://schemas.openxmlformats.org/officeDocument/2006/relationships/hyperlink" Id="rId191" Target="https://doi.org/10.3109/10408417909082014" TargetMode="External" /><Relationship Type="http://schemas.openxmlformats.org/officeDocument/2006/relationships/hyperlink" Id="rId161" Target="https://doi.org/10.3389/fevo.2023.1216567" TargetMode="External" /><Relationship Type="http://schemas.openxmlformats.org/officeDocument/2006/relationships/hyperlink" Id="rId143" Target="https://doi.org/10.3389/frwa.2023.1084050" TargetMode="External" /><Relationship Type="http://schemas.openxmlformats.org/officeDocument/2006/relationships/hyperlink" Id="rId102" Target="https://doi.org/10.4319/lo.2010.55.1.0420" TargetMode="External" /><Relationship Type="http://schemas.openxmlformats.org/officeDocument/2006/relationships/hyperlink" Id="rId116" Target="https://doi.org/10.5942/jawwa.2017.109.0118" TargetMode="External" /><Relationship Type="http://schemas.openxmlformats.org/officeDocument/2006/relationships/hyperlink" Id="rId215" Target="https://doi.org/J.scitotenv.2018.08.307" TargetMode="External" /><Relationship Type="http://schemas.openxmlformats.org/officeDocument/2006/relationships/hyperlink" Id="rId73" Target="https://drwater.net/team/ming-su/" TargetMode="External" /><Relationship Type="http://schemas.openxmlformats.org/officeDocument/2006/relationships/hyperlink" Id="rId72"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Guia,b,#, Tengxin Caob,f,#, Ming Su ID,b,f,*, Jie Yangc, Ziyi Yangb,f, Qi Zhange, Lin Sund, Yufan Aib,f, Jiao Fangb, Yingjie Lib,f, and Min Yangb,f</dc:creator>
  <dc:language>en</dc:language>
  <cp:keywords/>
  <dcterms:created xsi:type="dcterms:W3CDTF">2026-01-02T11:24:35Z</dcterms:created>
  <dcterms:modified xsi:type="dcterms:W3CDTF">2026-01-02T11:24:35Z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