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8.png" ContentType="image/png"/>
  <Override PartName="/word/media/rId53.png" ContentType="image/png"/>
  <Override PartName="/word/media/rId31.png" ContentType="image/png"/>
  <Override PartName="/word/media/rId61.png" ContentType="image/png"/>
  <Override PartName="/word/media/rId3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Integrating littoral zone odor dynamics into early warning and intervention systems for drinking water reservoirs</w:t>
      </w:r>
    </w:p>
    <w:p>
      <w:pPr>
        <w:pStyle w:val="Author"/>
      </w:pPr>
      <w:r>
        <w:t xml:space="preserve">Yuying Gui</w:t>
      </w:r>
      <w:r>
        <w:rPr>
          <w:vertAlign w:val="superscript"/>
        </w:rPr>
        <w:t xml:space="preserve">a,b,#</w:t>
      </w:r>
      <w:r>
        <w:t xml:space="preserve">, Tengxin Cao</w:t>
      </w:r>
      <w:r>
        <w:rPr>
          <w:vertAlign w:val="superscript"/>
        </w:rPr>
        <w:t xml:space="preserve">b,f,#</w:t>
      </w:r>
      <w:r>
        <w:t xml:space="preserve">, Ming Su</w:t>
      </w:r>
      <w:r>
        <w:rPr>
          <w:vertAlign w:val="superscript"/>
        </w:rPr>
        <w:t xml:space="preserve"> </w:t>
      </w:r>
      <w:hyperlink r:id="rId20">
        <w:r>
          <w:rPr>
            <w:rStyle w:val="Hyperlink"/>
            <w:vertAlign w:val="superscript"/>
          </w:rPr>
          <w:t xml:space="preserve">ID</w:t>
        </w:r>
      </w:hyperlink>
      <w:r>
        <w:rPr>
          <w:vertAlign w:val="superscript"/>
        </w:rPr>
        <w:t xml:space="preserve">,b,f,*</w:t>
      </w:r>
      <w:r>
        <w:t xml:space="preserve">, Jie Yang</w:t>
      </w:r>
      <w:r>
        <w:rPr>
          <w:vertAlign w:val="superscript"/>
        </w:rPr>
        <w:t xml:space="preserve">c</w:t>
      </w:r>
      <w:r>
        <w:t xml:space="preserve">, Ziyi Yang</w:t>
      </w:r>
      <w:r>
        <w:rPr>
          <w:vertAlign w:val="superscript"/>
        </w:rPr>
        <w:t xml:space="preserve">b,f</w:t>
      </w:r>
      <w:r>
        <w:t xml:space="preserve">, Qi Zhang</w:t>
      </w:r>
      <w:r>
        <w:rPr>
          <w:vertAlign w:val="superscript"/>
        </w:rPr>
        <w:t xml:space="preserve">e</w:t>
      </w:r>
      <w:r>
        <w:t xml:space="preserve">, Lin Sun</w:t>
      </w:r>
      <w:r>
        <w:rPr>
          <w:vertAlign w:val="superscript"/>
        </w:rPr>
        <w:t xml:space="preserve">d</w:t>
      </w:r>
      <w:r>
        <w:t xml:space="preserve">, Yufan Ai</w:t>
      </w:r>
      <w:r>
        <w:rPr>
          <w:vertAlign w:val="superscript"/>
        </w:rPr>
        <w:t xml:space="preserve">b,f</w:t>
      </w:r>
      <w:r>
        <w:t xml:space="preserve">, Jiao Fang</w:t>
      </w:r>
      <w:r>
        <w:rPr>
          <w:vertAlign w:val="superscript"/>
        </w:rPr>
        <w:t xml:space="preserve">b</w:t>
      </w:r>
      <w:r>
        <w:t xml:space="preserve">, Yingjie Li</w:t>
      </w:r>
      <w:r>
        <w:rPr>
          <w:vertAlign w:val="superscript"/>
        </w:rPr>
        <w:t xml:space="preserve">b,f</w:t>
      </w:r>
      <w:r>
        <w:t xml:space="preserve">, and Min Yang</w:t>
      </w:r>
      <w:r>
        <w:rPr>
          <w:vertAlign w:val="superscript"/>
        </w:rPr>
        <w:t xml:space="preserve">b,f</w:t>
      </w:r>
    </w:p>
    <w:p>
      <w:pPr>
        <w:pStyle w:val="BodyText"/>
      </w:pPr>
      <w:r>
        <w:rPr>
          <w:vertAlign w:val="superscript"/>
        </w:rPr>
        <w:t xml:space="preserve">#</w:t>
      </w:r>
      <w:r>
        <w:t xml:space="preserve"> </w:t>
      </w:r>
      <w:r>
        <w:t xml:space="preserve">These authors contributed equally to this work.</w:t>
      </w:r>
    </w:p>
    <w:p>
      <w:pPr>
        <w:pStyle w:val="BodyText"/>
      </w:pPr>
      <w:r>
        <w:rPr>
          <w:vertAlign w:val="superscript"/>
        </w:rPr>
        <w:t xml:space="preserve">a</w:t>
      </w:r>
      <w:r>
        <w:t xml:space="preserve"> </w:t>
      </w:r>
      <w:r>
        <w:t xml:space="preserve">College of Environmental Science and Engineering, Ocean University of China, Qingdao 266100, China.</w:t>
      </w:r>
      <w:r>
        <w:br/>
      </w:r>
      <w:r>
        <w:rPr>
          <w:vertAlign w:val="superscript"/>
        </w:rPr>
        <w:t xml:space="preserve">b</w:t>
      </w:r>
      <w:r>
        <w:t xml:space="preserve"> </w:t>
      </w:r>
      <w:r>
        <w:t xml:space="preserve">Key Laboratory of Environmental Aquatic Chemistry, State Key Laboratory of Regional Environment and Sustainability, Research Center for Eco-Environmental Sciences, Chinese Academy of Sciences, Beijing 100085, China.</w:t>
      </w:r>
      <w:r>
        <w:br/>
      </w:r>
      <w:r>
        <w:rPr>
          <w:vertAlign w:val="superscript"/>
        </w:rPr>
        <w:t xml:space="preserve">c</w:t>
      </w:r>
      <w:r>
        <w:t xml:space="preserve"> </w:t>
      </w:r>
      <w:r>
        <w:t xml:space="preserve">Tianjin Hydraulic Research Institute, Tianjin 300061, China.</w:t>
      </w:r>
      <w:r>
        <w:br/>
      </w:r>
      <w:r>
        <w:rPr>
          <w:vertAlign w:val="superscript"/>
        </w:rPr>
        <w:t xml:space="preserve">d</w:t>
      </w:r>
      <w:r>
        <w:t xml:space="preserve"> </w:t>
      </w:r>
      <w:r>
        <w:t xml:space="preserve">Tianjin Key Laboratory of Animal and Plant Resistance, College of Life Sciences, Tianjin Normal University, Tianjin 300387, China.</w:t>
      </w:r>
      <w:r>
        <w:br/>
      </w:r>
      <w:r>
        <w:rPr>
          <w:vertAlign w:val="superscript"/>
        </w:rPr>
        <w:t xml:space="preserve">e</w:t>
      </w:r>
      <w:r>
        <w:t xml:space="preserve"> </w:t>
      </w:r>
      <w:r>
        <w:t xml:space="preserve">Institute of Hydrobiology, Chinese Academy of Sciences, Wuhan 430070, China.</w:t>
      </w:r>
      <w:r>
        <w:br/>
      </w:r>
      <w:r>
        <w:rPr>
          <w:vertAlign w:val="superscript"/>
        </w:rPr>
        <w:t xml:space="preserve">f</w:t>
      </w:r>
      <w:r>
        <w:t xml:space="preserve"> </w:t>
      </w:r>
      <w:r>
        <w:t xml:space="preserve">University of Chinese Academy of Sciences, Beijing 100049, China.</w:t>
      </w:r>
    </w:p>
    <w:p>
      <w:pPr>
        <w:pStyle w:val="BodyText"/>
      </w:pPr>
      <w:r>
        <w:rPr>
          <w:vertAlign w:val="superscript"/>
        </w:rPr>
        <w:t xml:space="preserve">*</w:t>
      </w:r>
      <w:r>
        <w:t xml:space="preserve"> </w:t>
      </w:r>
      <w:r>
        <w:t xml:space="preserve">Corresponding to:</w:t>
      </w:r>
      <w:r>
        <w:t xml:space="preserve"> </w:t>
      </w:r>
      <w:hyperlink r:id="rId21">
        <w:r>
          <w:rPr>
            <w:rStyle w:val="Hyperlink"/>
          </w:rPr>
          <w:t xml:space="preserve">Ming Su (mingsu@rcees.ac.cn)</w:t>
        </w:r>
      </w:hyperlink>
    </w:p>
    <w:p>
      <w:r>
        <w:br w:type="page"/>
      </w:r>
    </w:p>
    <w:bookmarkStart w:id="22" w:name="abstract"/>
    <w:p>
      <w:pPr>
        <w:pStyle w:val="Heading1"/>
      </w:pPr>
      <w:r>
        <w:t xml:space="preserve">Abstract</w:t>
      </w:r>
    </w:p>
    <w:p>
      <w:pPr>
        <w:pStyle w:val="BodyText"/>
      </w:pPr>
      <w:r>
        <w:t xml:space="preserve">Geosmin contamination represents a pervasive challenge to drinking water security, yet the spatiotemporal mechanisms linking biological production to intake odor episodes remain insufficiently quantified. This study integrated a national-scale survey with a five-year high-frequency monitoring program in Yuqiao Reservoir, China, to characterize these dynamics. National data demonstrated that 14% of surveyed sites exceeded the 10 ng L</w:t>
      </w:r>
      <w:r>
        <w:rPr>
          <w:vertAlign w:val="superscript"/>
        </w:rPr>
        <w:t xml:space="preserve">-1</w:t>
      </w:r>
      <w:r>
        <w:t xml:space="preserve"> </w:t>
      </w:r>
      <w:r>
        <w:t xml:space="preserve">odor threshold, confirming geosmin as a widespread water quality risk. In Yuqiao Reservoir,</w:t>
      </w:r>
      <w:r>
        <w:t xml:space="preserve"> </w:t>
      </w:r>
      <w:r>
        <w:rPr>
          <w:i/>
          <w:iCs/>
        </w:rPr>
        <w:t xml:space="preserve">Planktothrix agardhii</w:t>
      </w:r>
      <w:r>
        <w:t xml:space="preserve"> </w:t>
      </w:r>
      <w:r>
        <w:t xml:space="preserve">was identified as one of the primary geosmin producer. Monitoring revealed a systematic spatiotemporal decoupling: shallow littoral zones functioned as production centers where</w:t>
      </w:r>
      <w:r>
        <w:t xml:space="preserve"> </w:t>
      </w:r>
      <w:r>
        <w:rPr>
          <w:i/>
          <w:iCs/>
        </w:rPr>
        <w:t xml:space="preserve">P. agardhii</w:t>
      </w:r>
      <w:r>
        <w:t xml:space="preserve"> </w:t>
      </w:r>
      <w:r>
        <w:t xml:space="preserve">biomass peaked 8 days prior to the lacustrine intake. Time-lagged correlation analysis indicated that littoral biomass predicts intake geosmin concentrations with a 5-week lead time (R</w:t>
      </w:r>
      <w:r>
        <w:rPr>
          <w:vertAlign w:val="superscript"/>
        </w:rPr>
        <w:t xml:space="preserve">2</w:t>
      </w:r>
      <w:r>
        <w:t xml:space="preserve"> </w:t>
      </w:r>
      <w:r>
        <w:t xml:space="preserve">= 0.41). Ammonium (NH</w:t>
      </w:r>
      <w:r>
        <w:rPr>
          <w:vertAlign w:val="subscript"/>
        </w:rPr>
        <w:t xml:space="preserve">4</w:t>
      </w:r>
      <w:r>
        <w:rPr>
          <w:vertAlign w:val="superscript"/>
        </w:rPr>
        <w:t xml:space="preserve">+</w:t>
      </w:r>
      <w:r>
        <w:t xml:space="preserve">-N) was identified as a primary regulatory factor, exhibiting the strongest correlation with geosmin within littoral zones (R</w:t>
      </w:r>
      <w:r>
        <w:rPr>
          <w:vertAlign w:val="superscript"/>
        </w:rPr>
        <w:t xml:space="preserve">2</w:t>
      </w:r>
      <w:r>
        <w:t xml:space="preserve"> </w:t>
      </w:r>
      <w:r>
        <w:t xml:space="preserve">= 0.37), with this linkage undergoing progressive attenuation during transport. The proposed mechanistic transport model and tiered monitoring framework shift surveillance from reactive intake sampling to proactive littoral sentinel stations, establishing a critical predictive window for preventive intervention and providing a technical foundation to mitigate recurrent taste-and-odor challenges in reservoir-dependent water supplies.</w:t>
      </w:r>
    </w:p>
    <w:bookmarkEnd w:id="22"/>
    <w:bookmarkStart w:id="23" w:name="synopsis"/>
    <w:p>
      <w:pPr>
        <w:pStyle w:val="Heading1"/>
      </w:pPr>
      <w:r>
        <w:t xml:space="preserve">Synopsis</w:t>
      </w:r>
    </w:p>
    <w:p>
      <w:pPr>
        <w:pStyle w:val="BodyText"/>
      </w:pPr>
      <w:r>
        <w:t xml:space="preserve">This study pioneers an early-warning framework by identifying the littoral zone as the critical hotspot for reservoir odor outbreaks and integrating real-time monitoring with predictive modeling for targeted intervention.</w:t>
      </w:r>
    </w:p>
    <w:bookmarkEnd w:id="23"/>
    <w:bookmarkStart w:id="24" w:name="introduction"/>
    <w:p>
      <w:pPr>
        <w:pStyle w:val="Heading1"/>
      </w:pPr>
      <w:r>
        <w:t xml:space="preserve">Introduction</w:t>
      </w:r>
    </w:p>
    <w:p>
      <w:pPr>
        <w:pStyle w:val="BodyText"/>
      </w:pPr>
      <w:r>
        <w:t xml:space="preserve">The increasing frequency and intensity of harmful cyanobacterial blooms (CyanoHABs) in surface waters, driven by climate change and intensified anthropogenic activities, represent a significant global threat to water security</w:t>
      </w:r>
      <w:r>
        <w:rPr>
          <w:vertAlign w:val="superscript"/>
        </w:rPr>
        <w:t xml:space="preserve">1–7</w:t>
      </w:r>
      <w:r>
        <w:t xml:space="preserve">. While CyanoHABs in eutrophic shallow lakes have been extensively characterized</w:t>
      </w:r>
      <w:r>
        <w:rPr>
          <w:vertAlign w:val="superscript"/>
        </w:rPr>
        <w:t xml:space="preserve">8–13</w:t>
      </w:r>
      <w:r>
        <w:t xml:space="preserve">, research in reservoir systems remains comparatively limited. In these critical drinking water resources, CyanoHABs directly jeopardize water safety through the production of toxins</w:t>
      </w:r>
      <w:r>
        <w:rPr>
          <w:vertAlign w:val="superscript"/>
        </w:rPr>
        <w:t xml:space="preserve">14–16</w:t>
      </w:r>
      <w:r>
        <w:t xml:space="preserve"> </w:t>
      </w:r>
      <w:r>
        <w:t xml:space="preserve">and taste-and-odor (T&amp;O) compounds</w:t>
      </w:r>
      <w:r>
        <w:rPr>
          <w:vertAlign w:val="superscript"/>
        </w:rPr>
        <w:t xml:space="preserve">17–20</w:t>
      </w:r>
      <w:r>
        <w:t xml:space="preserve">. Approximately half of China’s source-water reservoirs experience recurrent algal-derived T&amp;O episodes</w:t>
      </w:r>
      <w:r>
        <w:rPr>
          <w:vertAlign w:val="superscript"/>
        </w:rPr>
        <w:t xml:space="preserve">21</w:t>
      </w:r>
      <w:r>
        <w:t xml:space="preserve">. Unlike chemical contaminants, cyanobacterial populations exhibit exponential growth under favorable conditions</w:t>
      </w:r>
      <w:r>
        <w:rPr>
          <w:vertAlign w:val="superscript"/>
        </w:rPr>
        <w:t xml:space="preserve">22,23</w:t>
      </w:r>
      <w:r>
        <w:t xml:space="preserve">, resulting in rapid metabolite release</w:t>
      </w:r>
      <w:r>
        <w:rPr>
          <w:vertAlign w:val="superscript"/>
        </w:rPr>
        <w:t xml:space="preserve">24,25</w:t>
      </w:r>
      <w:r>
        <w:t xml:space="preserve"> </w:t>
      </w:r>
      <w:r>
        <w:t xml:space="preserve">that often exceeds the treatment capacity of conventional water utilities</w:t>
      </w:r>
      <w:r>
        <w:rPr>
          <w:vertAlign w:val="superscript"/>
        </w:rPr>
        <w:t xml:space="preserve">26–28</w:t>
      </w:r>
      <w:r>
        <w:t xml:space="preserve">.</w:t>
      </w:r>
    </w:p>
    <w:p>
      <w:pPr>
        <w:pStyle w:val="BodyText"/>
      </w:pPr>
      <w:r>
        <w:t xml:space="preserve">Managing CyanoHABs in reservoirs involves distinct challenges due to spatial and hydraulic complexity, which results in less predictable ecological regimes than those in natural lakes</w:t>
      </w:r>
      <w:r>
        <w:rPr>
          <w:vertAlign w:val="superscript"/>
        </w:rPr>
        <w:t xml:space="preserve">29,30</w:t>
      </w:r>
      <w:r>
        <w:t xml:space="preserve">. Conventional monitoring strategies, typically concentrated at lacustrine intakes near dams, often fail to capture the heterogeneous distribution of algal biomass and metabolites. Furthermore, the limited hydraulic residence time between the intake and the treatment plant provides an insufficient operational window for intervention. Littoral zones in reservoirs are characterized by enhanced nutrient availability and light penetration</w:t>
      </w:r>
      <w:r>
        <w:rPr>
          <w:vertAlign w:val="superscript"/>
        </w:rPr>
        <w:t xml:space="preserve">31,32</w:t>
      </w:r>
      <w:r>
        <w:t xml:space="preserve">, which may facilitate early cyanobacterial proliferation. Despite their potential as sentinel sites, these areas are frequently under-monitored, and the mechanistic linkages between littoral zone dynamics and downstream water quality at intakes remain insufficiently quantified.</w:t>
      </w:r>
    </w:p>
    <w:p>
      <w:pPr>
        <w:pStyle w:val="BodyText"/>
      </w:pPr>
      <w:r>
        <w:t xml:space="preserve">Geosmin and 2-methylisoborneol (MIB) are the primary terpenoid T&amp;O compounds synthesized by cyanobacteria</w:t>
      </w:r>
      <w:r>
        <w:rPr>
          <w:vertAlign w:val="superscript"/>
        </w:rPr>
        <w:t xml:space="preserve">33,34</w:t>
      </w:r>
      <w:r>
        <w:t xml:space="preserve">. Their low molecular weight and chemical stability allow them to penetrate conventional treatment barriers and persist in distribution networks</w:t>
      </w:r>
      <w:r>
        <w:rPr>
          <w:vertAlign w:val="superscript"/>
        </w:rPr>
        <w:t xml:space="preserve">19,35</w:t>
      </w:r>
      <w:r>
        <w:t xml:space="preserve">. While MIB episodes in China have been well studied and managed through hydraulic controls</w:t>
      </w:r>
      <w:r>
        <w:rPr>
          <w:vertAlign w:val="superscript"/>
        </w:rPr>
        <w:t xml:space="preserve">18,36</w:t>
      </w:r>
      <w:r>
        <w:t xml:space="preserve">, geosmin episodes are increasing in frequency across Northern Hemisphere reservoirs</w:t>
      </w:r>
      <w:r>
        <w:rPr>
          <w:vertAlign w:val="superscript"/>
        </w:rPr>
        <w:t xml:space="preserve">37,38</w:t>
      </w:r>
      <w:r>
        <w:t xml:space="preserve">. The high phylogenetic diversity of geosmin-producing taxa</w:t>
      </w:r>
      <w:r>
        <w:rPr>
          <w:vertAlign w:val="superscript"/>
        </w:rPr>
        <w:t xml:space="preserve">39</w:t>
      </w:r>
      <w:r>
        <w:t xml:space="preserve"> </w:t>
      </w:r>
      <w:r>
        <w:t xml:space="preserve">complicates the identification of biological sources and the development of targeted management strategies, emphasizing the need for research into the ecological niches and</w:t>
      </w:r>
      <w:r>
        <w:t xml:space="preserve"> </w:t>
      </w:r>
      <w:r>
        <w:t xml:space="preserve">growth dynamics of these organisms in littoral zones.</w:t>
      </w:r>
    </w:p>
    <w:p>
      <w:pPr>
        <w:pStyle w:val="BodyText"/>
      </w:pPr>
      <w:r>
        <w:t xml:space="preserve">This study analyzes recent national survey data to characterize the occurrence of geosmin across China’s drinking water sources and presents a five-year, spatially resolved investigation of a representative reservoir. By integrating water chemistry, molecular profiling, and statistical modeling, this research examines the spatiotemporal decoupling between cyanobacterial communities in littoral zones and concentrations at the lacustrine intake. The objectives are to identify the primary cyanobacterial taxa responsible for geosmin production and to demonstrate how population dynamics within littoral hotspots determine downstream odor levels. This work provides an evidence-based framework for shifting from reactive treatment toward proactive, risk-based management of cyanobacterial T&amp;O threats.</w:t>
      </w:r>
    </w:p>
    <w:bookmarkEnd w:id="24"/>
    <w:bookmarkStart w:id="30" w:name="materials-and-methods"/>
    <w:p>
      <w:pPr>
        <w:pStyle w:val="Heading1"/>
      </w:pPr>
      <w:r>
        <w:t xml:space="preserve">Materials and methods</w:t>
      </w:r>
    </w:p>
    <w:bookmarkStart w:id="25" w:name="study-area-and-sampling-design"/>
    <w:p>
      <w:pPr>
        <w:pStyle w:val="Heading2"/>
      </w:pPr>
      <w:r>
        <w:t xml:space="preserve">Study area and sampling design</w:t>
      </w:r>
    </w:p>
    <w:p>
      <w:pPr>
        <w:pStyle w:val="BodyText"/>
      </w:pPr>
      <w:r>
        <w:rPr>
          <w:b/>
          <w:bCs/>
        </w:rPr>
        <w:t xml:space="preserve">National-scale geosmin survey.</w:t>
      </w:r>
      <w:r>
        <w:t xml:space="preserve"> </w:t>
      </w:r>
      <w:r>
        <w:t xml:space="preserve">This study compiles geosmin concentration data from drinking water sources across China, representing an extensive national assessment of this odorant. The dataset integrates long-term monitoring results with high-quality measurements from established literature, including a survey of 33 reservoirs in Guangdong province</w:t>
      </w:r>
      <w:r>
        <w:rPr>
          <w:vertAlign w:val="superscript"/>
        </w:rPr>
        <w:t xml:space="preserve">40</w:t>
      </w:r>
      <w:r>
        <w:t xml:space="preserve">. In total, geosmin data from 214 distinct sampling sites were analyzed to characterize spatial heterogeneity and nationwide occurrence patterns.</w:t>
      </w:r>
    </w:p>
    <w:p>
      <w:pPr>
        <w:pStyle w:val="BodyText"/>
      </w:pPr>
      <w:r>
        <w:rPr>
          <w:b/>
          <w:bCs/>
        </w:rPr>
        <w:t xml:space="preserve">Intensive monitoring at Yuqiao Reservoir.</w:t>
      </w:r>
      <w:r>
        <w:t xml:space="preserve"> </w:t>
      </w:r>
      <w:r>
        <w:t xml:space="preserve">Yuqiao Reservoir (40°00′30″–40°05′30″N, 117°22′30″–117°27′30″E) is a large, river-type reservoir (total capacity: 1.559 billion m</w:t>
      </w:r>
      <w:r>
        <w:rPr>
          <w:vertAlign w:val="superscript"/>
        </w:rPr>
        <w:t xml:space="preserve">3</w:t>
      </w:r>
      <w:r>
        <w:t xml:space="preserve">) and a primary drinking water source for Tianjin, China</w:t>
      </w:r>
      <w:r>
        <w:rPr>
          <w:vertAlign w:val="superscript"/>
        </w:rPr>
        <w:t xml:space="preserve">41,42</w:t>
      </w:r>
      <w:r>
        <w:t xml:space="preserve">. The reservoir has experienced recurrent seasonal taste-and-odor episodes in recent years</w:t>
      </w:r>
      <w:r>
        <w:rPr>
          <w:vertAlign w:val="superscript"/>
        </w:rPr>
        <w:t xml:space="preserve">43,44</w:t>
      </w:r>
      <w:r>
        <w:t xml:space="preserve">. Based on bathymetric and hydrodynamic gradients, seven sampling sites (YQ01–YQ07) were established along a littoral-to-lacustrine transect. Site YQ01, located in the deep lacustrine zone (max depth ~12 m), was monitored via integrated water column sampling. Sites YQ02–YQ07 were situated in shallower littoral and transitional zones (depth 2–4 m), where surface water was collected. High-frequency sampling (2–3 times per week) was conducted from 2019 to 2024 during the annual odor season. Samples for geosmin, water chemistry, and phytoplankton were collected concurrently, stored at 4°C in the dark, and processed within 24 hours.</w:t>
      </w:r>
    </w:p>
    <w:bookmarkEnd w:id="25"/>
    <w:bookmarkStart w:id="26" w:name="analytical-methods"/>
    <w:p>
      <w:pPr>
        <w:pStyle w:val="Heading2"/>
      </w:pPr>
      <w:r>
        <w:t xml:space="preserve">Analytical methods</w:t>
      </w:r>
    </w:p>
    <w:p>
      <w:pPr>
        <w:pStyle w:val="BodyText"/>
      </w:pPr>
      <w:r>
        <w:rPr>
          <w:b/>
          <w:bCs/>
        </w:rPr>
        <w:t xml:space="preserve">Geosmin analysis.</w:t>
      </w:r>
      <w:r>
        <w:t xml:space="preserve"> </w:t>
      </w:r>
      <w:r>
        <w:t xml:space="preserve">Geosmin concentrations were determined via headspace solid-phase microextraction (HS-SPME) coupled with gas chromatography–mass spectrometry (GC-MS; Agilent 6890GC-5973MSD) following established protocols</w:t>
      </w:r>
      <w:r>
        <w:rPr>
          <w:vertAlign w:val="superscript"/>
        </w:rPr>
        <w:t xml:space="preserve">18</w:t>
      </w:r>
      <w:r>
        <w:t xml:space="preserve">. The method detection limit (MDL) for geosmin was 1 ng L</w:t>
      </w:r>
      <w:r>
        <w:rPr>
          <w:vertAlign w:val="superscript"/>
        </w:rPr>
        <w:t xml:space="preserve">-1</w:t>
      </w:r>
      <w:r>
        <w:t xml:space="preserve">.</w:t>
      </w:r>
    </w:p>
    <w:p>
      <w:pPr>
        <w:pStyle w:val="BodyText"/>
      </w:pPr>
      <w:r>
        <w:rPr>
          <w:b/>
          <w:bCs/>
        </w:rPr>
        <w:t xml:space="preserve">Water quality parameters.</w:t>
      </w:r>
      <w:r>
        <w:t xml:space="preserve"> </w:t>
      </w:r>
      <w:r>
        <w:rPr>
          <w:i/>
          <w:iCs/>
        </w:rPr>
        <w:t xml:space="preserve">In-situ</w:t>
      </w:r>
      <w:r>
        <w:t xml:space="preserve"> </w:t>
      </w:r>
      <w:r>
        <w:t xml:space="preserve">measurements of water temperature, pH, dissolved oxygen (DO), and turbidity were recorded using a multiparameter sonde (EXO2, Xylem, USA). Ammonium (NH</w:t>
      </w:r>
      <w:r>
        <w:rPr>
          <w:vertAlign w:val="subscript"/>
        </w:rPr>
        <w:t xml:space="preserve">4</w:t>
      </w:r>
      <w:r>
        <w:rPr>
          <w:vertAlign w:val="superscript"/>
        </w:rPr>
        <w:t xml:space="preserve">+</w:t>
      </w:r>
      <w:r>
        <w:t xml:space="preserve">-N), total nitrogen (TN), and total phosphorus (TP) were quantified according to Chinese national standard methods.</w:t>
      </w:r>
    </w:p>
    <w:p>
      <w:pPr>
        <w:pStyle w:val="BodyText"/>
      </w:pPr>
      <w:r>
        <w:rPr>
          <w:b/>
          <w:bCs/>
        </w:rPr>
        <w:t xml:space="preserve">Phytoplankton analysis.</w:t>
      </w:r>
      <w:r>
        <w:t xml:space="preserve"> </w:t>
      </w:r>
      <w:r>
        <w:t xml:space="preserve">Samples were fixed with 5% Lugol’s iodine solution and concentrated to 10 mL after 48-h sedimentation. Cell identification and enumeration were performed using an inverted microscope (Olympus BX51) and a Sedgewick–Rafter counting chamber. Biomass is reported as cell density.</w:t>
      </w:r>
    </w:p>
    <w:bookmarkEnd w:id="26"/>
    <w:bookmarkStart w:id="27" w:name="X5e404bfe7259253ba2d893cf6c75420807e87cb"/>
    <w:p>
      <w:pPr>
        <w:pStyle w:val="Heading2"/>
      </w:pPr>
      <w:r>
        <w:t xml:space="preserve">Molecular identification of geosmin-producing cyanobacteria</w:t>
      </w:r>
    </w:p>
    <w:p>
      <w:pPr>
        <w:pStyle w:val="BodyText"/>
      </w:pPr>
      <w:r>
        <w:t xml:space="preserve">Biomass for molecular analysis was collected on 1.2-μm polycarbonate filters (Millipore) and stored at–80°C. Genomic DNA was extracted using the FastDNA</w:t>
      </w:r>
      <w:r>
        <w:rPr>
          <w:vertAlign w:val="superscript"/>
        </w:rPr>
        <w:t xml:space="preserve">TM</w:t>
      </w:r>
      <w:r>
        <w:t xml:space="preserve"> </w:t>
      </w:r>
      <w:r>
        <w:t xml:space="preserve">Spin Kit for Soil (MP Biomedicals). The geosmin synthase gene (</w:t>
      </w:r>
      <w:r>
        <w:rPr>
          <w:i/>
          <w:iCs/>
        </w:rPr>
        <w:t xml:space="preserve">geoA</w:t>
      </w:r>
      <w:r>
        <w:t xml:space="preserve">) was amplified with cyanobacterium-specific primers</w:t>
      </w:r>
      <w:r>
        <w:rPr>
          <w:vertAlign w:val="superscript"/>
        </w:rPr>
        <w:t xml:space="preserve">45,46</w:t>
      </w:r>
      <w:r>
        <w:t xml:space="preserve">. Amplicons were verified via agarose gel electrophoresis and subjected to high-throughput sequencing. After quality filtering, sequences were clustered into operational taxonomic units (OTUs) at 97% similarity. Representative sequences were taxonomically assigned via BLAST searches, and a maximum-likelihood phylogenetic tree was constructed to confirm the identity of the dominant producer.</w:t>
      </w:r>
    </w:p>
    <w:bookmarkEnd w:id="27"/>
    <w:bookmarkStart w:id="29" w:name="data-processing-and-statistical-analysis"/>
    <w:p>
      <w:pPr>
        <w:pStyle w:val="Heading2"/>
      </w:pPr>
      <w:r>
        <w:t xml:space="preserve">Data processing and statistical analysis</w:t>
      </w:r>
    </w:p>
    <w:p>
      <w:pPr>
        <w:pStyle w:val="BodyText"/>
      </w:pPr>
      <w:r>
        <w:rPr>
          <w:b/>
          <w:bCs/>
        </w:rPr>
        <w:t xml:space="preserve">Temporal aggregation and lagged correlation.</w:t>
      </w:r>
      <w:r>
        <w:t xml:space="preserve"> </w:t>
      </w:r>
      <w:r>
        <w:t xml:space="preserve">Data were aggregated to weekly means to align time series and reduce noise. To investigate time-lagged relationships, weekly geosmin concentrations were shifted forward by</w:t>
      </w:r>
      <w:r>
        <w:t xml:space="preserve"> </w:t>
      </w:r>
      <w:r>
        <w:rPr>
          <w:i/>
          <w:iCs/>
        </w:rPr>
        <w:t xml:space="preserve">i</w:t>
      </w:r>
      <w:r>
        <w:t xml:space="preserve"> </w:t>
      </w:r>
      <w:r>
        <w:t xml:space="preserve">weeks (</w:t>
      </w:r>
      <w:r>
        <w:rPr>
          <w:i/>
          <w:iCs/>
        </w:rPr>
        <w:t xml:space="preserve">i</w:t>
      </w:r>
      <w:r>
        <w:t xml:space="preserve"> </w:t>
      </w:r>
      <w:r>
        <w:t xml:space="preserve">= 0–7) and paired with concurrent</w:t>
      </w:r>
      <w:r>
        <w:t xml:space="preserve"> </w:t>
      </w:r>
      <w:r>
        <w:rPr>
          <w:i/>
          <w:iCs/>
        </w:rPr>
        <w:t xml:space="preserve">Planktothrix agardhii</w:t>
      </w:r>
      <w:r>
        <w:t xml:space="preserve"> </w:t>
      </w:r>
      <w:r>
        <w:t xml:space="preserve">biomass. A log–log linear model was applied:</w:t>
      </w:r>
    </w:p>
    <w:p>
      <w:pPr>
        <w:pStyle w:val="BodyText"/>
      </w:pPr>
      <w:bookmarkStart w:id="28" w:name="eq-lag"/>
      <m:oMathPara>
        <m:oMathParaPr>
          <m:jc m:val="center"/>
        </m:oMathParaPr>
        <m:oMath>
          <m:sSub>
            <m:e>
              <m:r>
                <m:rPr>
                  <m:sty m:val="p"/>
                </m:rPr>
                <m:t>log</m:t>
              </m:r>
            </m:e>
            <m:sub>
              <m:r>
                <m:t>10</m:t>
              </m:r>
            </m:sub>
          </m:sSub>
          <m:d>
            <m:dPr>
              <m:begChr m:val="("/>
              <m:sepChr m:val=""/>
              <m:endChr m:val=")"/>
              <m:grow/>
            </m:dPr>
            <m:e>
              <m:r>
                <m:t>G</m:t>
              </m:r>
            </m:e>
          </m:d>
          <m:r>
            <m:rPr>
              <m:sty m:val="p"/>
            </m:rPr>
            <m:t>=</m:t>
          </m:r>
          <m:r>
            <m:t>α</m:t>
          </m:r>
          <m:r>
            <m:rPr>
              <m:sty m:val="p"/>
            </m:rPr>
            <m:t>+</m:t>
          </m:r>
          <m:r>
            <m:t>β</m:t>
          </m:r>
          <m:sSub>
            <m:e>
              <m:r>
                <m:rPr>
                  <m:sty m:val="p"/>
                </m:rPr>
                <m:t>log</m:t>
              </m:r>
            </m:e>
            <m:sub>
              <m:r>
                <m:t>10</m:t>
              </m:r>
            </m:sub>
          </m:sSub>
          <m:d>
            <m:dPr>
              <m:begChr m:val="("/>
              <m:sepChr m:val=""/>
              <m:endChr m:val=")"/>
              <m:grow/>
            </m:dPr>
            <m:e>
              <m:r>
                <m:t>P</m:t>
              </m:r>
            </m:e>
          </m:d>
          <m:r>
            <m:rPr>
              <m:sty m:val="p"/>
            </m:rPr>
            <m:t>+</m:t>
          </m:r>
          <m:r>
            <m:t>ε</m:t>
          </m:r>
          <m:r>
            <m:t>  </m:t>
          </m:r>
          <m:d>
            <m:dPr>
              <m:begChr m:val="("/>
              <m:sepChr m:val=""/>
              <m:endChr m:val=")"/>
              <m:grow/>
            </m:dPr>
            <m:e>
              <m:r>
                <m:t>1</m:t>
              </m:r>
            </m:e>
          </m:d>
        </m:oMath>
      </m:oMathPara>
      <w:bookmarkEnd w:id="28"/>
    </w:p>
    <w:p>
      <w:pPr>
        <w:pStyle w:val="BodyText"/>
      </w:pPr>
      <w:r>
        <w:t xml:space="preserve">where</w:t>
      </w:r>
      <w:r>
        <w:t xml:space="preserve"> </w:t>
      </w:r>
      <m:oMath>
        <m:r>
          <m:t>G</m:t>
        </m:r>
      </m:oMath>
      <w:r>
        <w:t xml:space="preserve"> </w:t>
      </w:r>
      <w:r>
        <w:t xml:space="preserve">is the geosmin concentration (ng L</w:t>
      </w:r>
      <w:r>
        <w:rPr>
          <w:vertAlign w:val="superscript"/>
        </w:rPr>
        <w:t xml:space="preserve">-1</w:t>
      </w:r>
      <w:r>
        <w:t xml:space="preserve">) and</w:t>
      </w:r>
      <w:r>
        <w:t xml:space="preserve"> </w:t>
      </w:r>
      <m:oMath>
        <m:r>
          <m:t>P</m:t>
        </m:r>
      </m:oMath>
      <w:r>
        <w:t xml:space="preserve"> </w:t>
      </w:r>
      <w:r>
        <w:t xml:space="preserve">is</w:t>
      </w:r>
      <w:r>
        <w:t xml:space="preserve"> </w:t>
      </w:r>
      <m:oMath>
        <m:r>
          <m:t>P</m:t>
        </m:r>
        <m:r>
          <m:rPr>
            <m:sty m:val="p"/>
          </m:rPr>
          <m:t>.</m:t>
        </m:r>
        <m:r>
          <m:t>a</m:t>
        </m:r>
        <m:r>
          <m:t>g</m:t>
        </m:r>
        <m:r>
          <m:t>a</m:t>
        </m:r>
        <m:r>
          <m:t>r</m:t>
        </m:r>
        <m:r>
          <m:t>d</m:t>
        </m:r>
        <m:r>
          <m:t>h</m:t>
        </m:r>
        <m:r>
          <m:t>i</m:t>
        </m:r>
        <m:r>
          <m:t>i</m:t>
        </m:r>
      </m:oMath>
      <w:r>
        <w:t xml:space="preserve"> </w:t>
      </w:r>
      <w:r>
        <w:t xml:space="preserve">cell density (cells L</w:t>
      </w:r>
      <w:r>
        <w:rPr>
          <w:vertAlign w:val="superscript"/>
        </w:rPr>
        <w:t xml:space="preserve">-1</w:t>
      </w:r>
      <w:r>
        <w:t xml:space="preserve">). To minimize low-value interference, only paired observations with geosmin &gt; 2 ng L</w:t>
      </w:r>
      <w:r>
        <w:rPr>
          <w:vertAlign w:val="superscript"/>
        </w:rPr>
        <w:t xml:space="preserve">-1</w:t>
      </w:r>
      <w:r>
        <w:t xml:space="preserve"> </w:t>
      </w:r>
      <w:r>
        <w:t xml:space="preserve">and positive biomass were included. Analysis was restricted to sites with≥20 valid weekly observations. The coefficient of determination (</w:t>
      </w:r>
      <m:oMath>
        <m:sSup>
          <m:e>
            <m:r>
              <m:t>R</m:t>
            </m:r>
          </m:e>
          <m:sup>
            <m:r>
              <m:t>2</m:t>
            </m:r>
          </m:sup>
        </m:sSup>
      </m:oMath>
      <w:r>
        <w:t xml:space="preserve">) identified the optimal lag period (early-warning window), and slope significance was evaluated via t-test.</w:t>
      </w:r>
    </w:p>
    <w:p>
      <w:pPr>
        <w:pStyle w:val="BodyText"/>
      </w:pPr>
      <w:r>
        <w:rPr>
          <w:b/>
          <w:bCs/>
        </w:rPr>
        <w:t xml:space="preserve">Multivariate and spatial analysis.</w:t>
      </w:r>
      <w:r>
        <w:t xml:space="preserve"> </w:t>
      </w:r>
      <w:r>
        <w:t xml:space="preserve">Principal component analysis (PCA) was performed on standardized variables to explore multivariate relationships. Zone-specific regressions (littoral, transitional, lacustrine) compared the strength of the ammonium–geosmin linkage. Bathymetric data were spatially interpolated via ordinary kriging to illustrate the reservoir’s depth gradient. All analyses were conducted in R (version 4.4.2) using the</w:t>
      </w:r>
      <w:r>
        <w:t xml:space="preserve"> </w:t>
      </w:r>
      <w:r>
        <w:rPr>
          <w:i/>
          <w:iCs/>
        </w:rPr>
        <w:t xml:space="preserve">dplyr</w:t>
      </w:r>
      <w:r>
        <w:t xml:space="preserve">,</w:t>
      </w:r>
      <w:r>
        <w:t xml:space="preserve"> </w:t>
      </w:r>
      <w:r>
        <w:rPr>
          <w:i/>
          <w:iCs/>
        </w:rPr>
        <w:t xml:space="preserve">lubridate</w:t>
      </w:r>
      <w:r>
        <w:t xml:space="preserve">,</w:t>
      </w:r>
      <w:r>
        <w:t xml:space="preserve"> </w:t>
      </w:r>
      <w:r>
        <w:rPr>
          <w:i/>
          <w:iCs/>
        </w:rPr>
        <w:t xml:space="preserve">stats</w:t>
      </w:r>
      <w:r>
        <w:t xml:space="preserve">, and</w:t>
      </w:r>
      <w:r>
        <w:t xml:space="preserve"> </w:t>
      </w:r>
      <w:r>
        <w:rPr>
          <w:i/>
          <w:iCs/>
        </w:rPr>
        <w:t xml:space="preserve">ggplot2</w:t>
      </w:r>
      <w:r>
        <w:t xml:space="preserve"> </w:t>
      </w:r>
      <w:r>
        <w:t xml:space="preserve">packages.</w:t>
      </w:r>
    </w:p>
    <w:bookmarkEnd w:id="29"/>
    <w:bookmarkEnd w:id="30"/>
    <w:bookmarkStart w:id="58" w:name="results"/>
    <w:p>
      <w:pPr>
        <w:pStyle w:val="Heading1"/>
      </w:pPr>
      <w:r>
        <w:t xml:space="preserve">Results</w:t>
      </w:r>
    </w:p>
    <w:bookmarkStart w:id="35" w:name="Xaeab5dd0fb62be475a2148700cedf7eafbbd29d"/>
    <w:p>
      <w:pPr>
        <w:pStyle w:val="Heading2"/>
      </w:pPr>
      <w:r>
        <w:t xml:space="preserve">National survey of geosmin occurrence in drinking water sources</w:t>
      </w:r>
    </w:p>
    <w:p>
      <w:pPr>
        <w:pStyle w:val="BodyText"/>
      </w:pPr>
      <w:r>
        <w:t xml:space="preserve">We conducted a nationwide survey of 214 sites across 26 provinces to assess geosmin levels in China’s major drinking water sources, including reservoirs and key surface water bodies. Risk potential at each site was evaluated using peak recorded concentrations. Values varied by more than four orders of magnitude, ranging from non-detectable levels to a maximum of 150 ng L</w:t>
      </w:r>
      <w:r>
        <w:rPr>
          <w:vertAlign w:val="superscript"/>
        </w:rPr>
        <w:t xml:space="preserve">-1</w:t>
      </w:r>
      <w:r>
        <w:t xml:space="preserve"> </w:t>
      </w:r>
      <w:r>
        <w:t xml:space="preserve">in East Coastal China. Across the study area, 14% of sites exceeded the 10 ng L</w:t>
      </w:r>
      <w:r>
        <w:rPr>
          <w:vertAlign w:val="superscript"/>
        </w:rPr>
        <w:t xml:space="preserve">-1</w:t>
      </w:r>
      <w:r>
        <w:t xml:space="preserve"> </w:t>
      </w:r>
      <w:r>
        <w:t xml:space="preserve">odor threshold. The geospatial distribution showed marked spatial variability; elevated geosmin levels were primarily concentrated in eastern and southern China—specifically the Yangtze and Pearl River Deltas and parts of North China. In contrast, concentrations remained low or below detection limits throughout the northwest (e.g., Tibet, Xinjiang, and Qinghai) and certain central provinces, indicating a clear longitudinal gradient. These results identify geosmin as a pervasive odorant affecting drinking water quality across diverse climatic and geographic zones in China.</w:t>
      </w:r>
    </w:p>
    <w:tbl>
      <w:tblPr>
        <w:tblStyle w:val="Table"/>
        <w:tblW w:type="pct" w:w="5000"/>
        <w:tblLayout w:type="fixed"/>
        <w:tblLook w:firstRow="0" w:lastRow="0" w:firstColumn="0" w:lastColumn="0" w:noHBand="0" w:noVBand="0" w:val="0000"/>
      </w:tblPr>
      <w:tblGrid>
        <w:gridCol w:w="7920"/>
      </w:tblGrid>
      <w:tr>
        <w:tc>
          <w:tcPr/>
          <w:bookmarkStart w:id="34" w:name="fig-nationalgsm"/>
          <w:p>
            <w:pPr>
              <w:pStyle w:val="Compact"/>
              <w:jc w:val="center"/>
            </w:pPr>
            <w:r>
              <w:drawing>
                <wp:inline>
                  <wp:extent cx="4602480" cy="3835400"/>
                  <wp:effectExtent b="0" l="0" r="0" t="0"/>
                  <wp:docPr descr="" title="" id="32" name="Picture"/>
                  <a:graphic>
                    <a:graphicData uri="http://schemas.openxmlformats.org/drawingml/2006/picture">
                      <pic:pic>
                        <pic:nvPicPr>
                          <pic:cNvPr descr="../figures/nationalgsm.png" id="33" name="Picture"/>
                          <pic:cNvPicPr>
                            <a:picLocks noChangeArrowheads="1" noChangeAspect="1"/>
                          </pic:cNvPicPr>
                        </pic:nvPicPr>
                        <pic:blipFill>
                          <a:blip r:embed="rId31"/>
                          <a:stretch>
                            <a:fillRect/>
                          </a:stretch>
                        </pic:blipFill>
                        <pic:spPr bwMode="auto">
                          <a:xfrm>
                            <a:off x="0" y="0"/>
                            <a:ext cx="4602480" cy="3835400"/>
                          </a:xfrm>
                          <a:prstGeom prst="rect">
                            <a:avLst/>
                          </a:prstGeom>
                          <a:noFill/>
                          <a:ln w="9525">
                            <a:noFill/>
                            <a:headEnd/>
                            <a:tailEnd/>
                          </a:ln>
                        </pic:spPr>
                      </pic:pic>
                    </a:graphicData>
                  </a:graphic>
                </wp:inline>
              </w:drawing>
            </w:r>
          </w:p>
          <w:p>
            <w:pPr>
              <w:jc w:val="center"/>
            </w:pPr>
            <w:pPr>
              <w:jc w:val="start"/>
              <w:spacing w:before="200"/>
              <w:pStyle w:val="ImageCaption"/>
            </w:pPr>
            <w:r>
              <w:t xml:space="preserve">Fig. 1: A multi-scale visualization of geosmin occurrence: linking individual sampling sites to provincial-level aggregates (Provincial/regional aggregate bars (log-scale binned) connected to individual sampling sites. Beijing-Tianjin-Hebei and Jiangsu-Shanghai-Zhejiang are treated as single units to avoid spatial overlap).</w:t>
            </w:r>
          </w:p>
          <w:bookmarkEnd w:id="34"/>
        </w:tc>
      </w:tr>
    </w:tbl>
    <w:bookmarkEnd w:id="35"/>
    <w:bookmarkStart w:id="40" w:name="X3d89d53f4eeafb4b572e4006f1e4db3e6ad0e29"/>
    <w:p>
      <w:pPr>
        <w:pStyle w:val="Heading2"/>
      </w:pPr>
      <w:r>
        <w:t xml:space="preserve">Seasonal and interannual dynamics in Yuqiao Reservoir</w:t>
      </w:r>
    </w:p>
    <w:p>
      <w:pPr>
        <w:pStyle w:val="BodyText"/>
      </w:pPr>
      <w:r>
        <w:t xml:space="preserve">High-frequency monitoring was conducted at the primary intake (site YQ01) of Yuqiao Reservoir from 2019 to 2024 to characterize temporal geosmin variability. The longitudinal record demonstrates a recurrent seasonal pattern (</w:t>
      </w:r>
      <w:hyperlink w:anchor="fig-yqgsminvest">
        <w:r>
          <w:rPr>
            <w:rStyle w:val="Hyperlink"/>
          </w:rPr>
          <w:t xml:space="preserve">Fig. 2</w:t>
        </w:r>
      </w:hyperlink>
      <w:r>
        <w:t xml:space="preserve">A). Concentrations typically remained below 5 ng L</w:t>
      </w:r>
      <w:r>
        <w:rPr>
          <w:vertAlign w:val="superscript"/>
        </w:rPr>
        <w:t xml:space="preserve">-1</w:t>
      </w:r>
      <w:r>
        <w:t xml:space="preserve"> </w:t>
      </w:r>
      <w:r>
        <w:t xml:space="preserve">during the spring (April–May), followed by an abrupt increase in June. Primary peaks occurred during the July–August period, with secondary elevations persisting through autumn and early winter (October–December) before a gradual decline. The 10 ng L</w:t>
      </w:r>
      <w:r>
        <w:rPr>
          <w:vertAlign w:val="superscript"/>
        </w:rPr>
        <w:t xml:space="preserve">-1</w:t>
      </w:r>
      <w:r>
        <w:t xml:space="preserve"> </w:t>
      </w:r>
      <w:r>
        <w:t xml:space="preserve">odor threshold was frequently exceeded during the study period. Monthly median values surpassed this threshold in 40% of summer months (July–September) and 100% of autumn/early winter months (October–December), indicating a recurrent odor risk during the warmer half of the year.</w:t>
      </w:r>
    </w:p>
    <w:p>
      <w:pPr>
        <w:pStyle w:val="BodyText"/>
      </w:pPr>
      <w:r>
        <w:t xml:space="preserve">Interannual analysis (</w:t>
      </w:r>
      <w:hyperlink w:anchor="fig-yqgsminvest">
        <w:r>
          <w:rPr>
            <w:rStyle w:val="Hyperlink"/>
          </w:rPr>
          <w:t xml:space="preserve">Fig. 2</w:t>
        </w:r>
      </w:hyperlink>
      <w:r>
        <w:t xml:space="preserve">B) revealed a reduction in geosmin levels following the 2019–2020 monitoring period, which recorded a median concentration of 2.5 ng L</w:t>
      </w:r>
      <w:r>
        <w:rPr>
          <w:vertAlign w:val="superscript"/>
        </w:rPr>
        <w:t xml:space="preserve">-1</w:t>
      </w:r>
      <w:r>
        <w:t xml:space="preserve">. Between 2020 and 2024, annual medians stabilized within a range of 5.2 to 10 ng L</w:t>
      </w:r>
      <w:r>
        <w:rPr>
          <w:vertAlign w:val="superscript"/>
        </w:rPr>
        <w:t xml:space="preserve">-1</w:t>
      </w:r>
      <w:r>
        <w:t xml:space="preserve">. Statistical differences between years were confirmed by a Kruskal-Wallis test (χ</w:t>
      </w:r>
      <w:r>
        <w:rPr>
          <w:vertAlign w:val="superscript"/>
        </w:rPr>
        <w:t xml:space="preserve">2</w:t>
      </w:r>
      <w:r>
        <w:t xml:space="preserve">(4) = 64.3,</w:t>
      </w:r>
      <w:r>
        <w:t xml:space="preserve"> </w:t>
      </w:r>
      <w:r>
        <w:rPr>
          <w:i/>
          <w:iCs/>
        </w:rPr>
        <w:t xml:space="preserve">p</w:t>
      </w:r>
      <w:r>
        <w:t xml:space="preserve"> </w:t>
      </w:r>
      <w:r>
        <w:t xml:space="preserve">&lt; 0.001). These data suggest a shift in baseline conditions or source inputs after the initial year, although seasonal periodicity remained a consistent feature.</w:t>
      </w:r>
    </w:p>
    <w:tbl>
      <w:tblPr>
        <w:tblStyle w:val="Table"/>
        <w:tblW w:type="pct" w:w="5000"/>
        <w:tblLayout w:type="fixed"/>
        <w:tblLook w:firstRow="0" w:lastRow="0" w:firstColumn="0" w:lastColumn="0" w:noHBand="0" w:noVBand="0" w:val="0000"/>
      </w:tblPr>
      <w:tblGrid>
        <w:gridCol w:w="7920"/>
      </w:tblGrid>
      <w:tr>
        <w:tc>
          <w:tcPr/>
          <w:bookmarkStart w:id="39" w:name="fig-yqgsminvest"/>
          <w:p>
            <w:pPr>
              <w:pStyle w:val="Compact"/>
              <w:jc w:val="center"/>
            </w:pPr>
            <w:r>
              <w:drawing>
                <wp:inline>
                  <wp:extent cx="5177790" cy="5695349"/>
                  <wp:effectExtent b="0" l="0" r="0" t="0"/>
                  <wp:docPr descr="" title="" id="37" name="Picture"/>
                  <a:graphic>
                    <a:graphicData uri="http://schemas.openxmlformats.org/drawingml/2006/picture">
                      <pic:pic>
                        <pic:nvPicPr>
                          <pic:cNvPr descr="../figures/yqgsminvest_revised.png" id="38" name="Picture"/>
                          <pic:cNvPicPr>
                            <a:picLocks noChangeArrowheads="1" noChangeAspect="1"/>
                          </pic:cNvPicPr>
                        </pic:nvPicPr>
                        <pic:blipFill>
                          <a:blip r:embed="rId36"/>
                          <a:stretch>
                            <a:fillRect/>
                          </a:stretch>
                        </pic:blipFill>
                        <pic:spPr bwMode="auto">
                          <a:xfrm>
                            <a:off x="0" y="0"/>
                            <a:ext cx="5177790" cy="5695349"/>
                          </a:xfrm>
                          <a:prstGeom prst="rect">
                            <a:avLst/>
                          </a:prstGeom>
                          <a:noFill/>
                          <a:ln w="9525">
                            <a:noFill/>
                            <a:headEnd/>
                            <a:tailEnd/>
                          </a:ln>
                        </pic:spPr>
                      </pic:pic>
                    </a:graphicData>
                  </a:graphic>
                </wp:inline>
              </w:drawing>
            </w:r>
          </w:p>
          <w:p>
            <w:pPr>
              <w:jc w:val="center"/>
            </w:pPr>
            <w:pPr>
              <w:jc w:val="start"/>
              <w:spacing w:before="200"/>
              <w:pStyle w:val="ImageCaption"/>
            </w:pPr>
            <w:r>
              <w:t xml:space="preserve">Fig. 2: Long-term dynamics of geosmin and phytoplankton community in Yuqiao Reservoir (2019–2024). (A) Seasonal and interannual variations in geosmin concentrations at the main water intake (site YQ01). (B) Heatmap showing monthly log</w:t>
            </w:r>
            <w:r>
              <w:t xml:space="preserve">10</w:t>
            </w:r>
            <w:r>
              <w:t xml:space="preserve">-transformed biomass of total phytoplankton, total cyanobacteria, and key geosmin-producing cyanobacterial genera. (C) Temporal patterns of Planktothrix agardhii biomass across sampling sites. (D-F) Microscopic image of primary geosmin producers (</w:t>
            </w:r>
            <w:r>
              <w:rPr>
                <w:i/>
                <w:iCs/>
              </w:rPr>
              <w:t xml:space="preserve">P. agardhii</w:t>
            </w:r>
            <w:r>
              <w:t xml:space="preserve">,</w:t>
            </w:r>
            <w:r>
              <w:t xml:space="preserve"> </w:t>
            </w:r>
            <w:r>
              <w:rPr>
                <w:i/>
                <w:iCs/>
              </w:rPr>
              <w:t xml:space="preserve">Dolichospermum</w:t>
            </w:r>
            <w:r>
              <w:t xml:space="preserve"> </w:t>
            </w:r>
            <w:r>
              <w:t xml:space="preserve">and</w:t>
            </w:r>
            <w:r>
              <w:t xml:space="preserve"> </w:t>
            </w:r>
            <w:r>
              <w:rPr>
                <w:i/>
                <w:iCs/>
              </w:rPr>
              <w:t xml:space="preserve">Aphanizomenon</w:t>
            </w:r>
            <w:r>
              <w:t xml:space="preserve">) . (G) Agarose gel electrophoresis image for the molecular identification of geosmin producers. (H) Spatial mapping of seasonal</w:t>
            </w:r>
            <w:r>
              <w:t xml:space="preserve"> </w:t>
            </w:r>
            <w:r>
              <w:rPr>
                <w:i/>
                <w:iCs/>
              </w:rPr>
              <w:t xml:space="preserve">P. agardhii</w:t>
            </w:r>
            <w:r>
              <w:t xml:space="preserve"> </w:t>
            </w:r>
            <w:r>
              <w:t xml:space="preserve">biomass variations at representative sampling sites overlaid on the reservoir map.</w:t>
            </w:r>
          </w:p>
          <w:bookmarkEnd w:id="39"/>
        </w:tc>
      </w:tr>
    </w:tbl>
    <w:bookmarkEnd w:id="40"/>
    <w:bookmarkStart w:id="41" w:name="Xca0b3c67d89f7639e252e97d2ae3b7ccbae1524"/>
    <w:p>
      <w:pPr>
        <w:pStyle w:val="Heading2"/>
      </w:pPr>
      <w:r>
        <w:t xml:space="preserve">Phytoplankton community dynamics and key cyanobacterial genera</w:t>
      </w:r>
    </w:p>
    <w:p>
      <w:pPr>
        <w:pStyle w:val="BodyText"/>
      </w:pPr>
      <w:r>
        <w:t xml:space="preserve">Phytoplankton composition data from Yuqiao Reservoir (site YQ01, 2019–2024) were analyzed to assess the relationship between community dynamics and geosmin occurrence (</w:t>
      </w:r>
      <w:hyperlink w:anchor="fig-yqgsminvest">
        <w:r>
          <w:rPr>
            <w:rStyle w:val="Hyperlink"/>
          </w:rPr>
          <w:t xml:space="preserve">Fig. 2</w:t>
        </w:r>
      </w:hyperlink>
      <w:r>
        <w:t xml:space="preserve">B). Total phytoplankton biomass (log</w:t>
      </w:r>
      <w:r>
        <w:rPr>
          <w:vertAlign w:val="subscript"/>
        </w:rPr>
        <w:t xml:space="preserve">10</w:t>
      </w:r>
      <w:r>
        <w:t xml:space="preserve">-transformed cell density) demonstrated seasonal variability, with minimum values in winter (January–March, ~10</w:t>
      </w:r>
      <w:r>
        <w:rPr>
          <w:vertAlign w:val="superscript"/>
        </w:rPr>
        <w:t xml:space="preserve">7</w:t>
      </w:r>
      <w:r>
        <w:t xml:space="preserve"> </w:t>
      </w:r>
      <w:r>
        <w:t xml:space="preserve">cells L</w:t>
      </w:r>
      <w:r>
        <w:rPr>
          <w:vertAlign w:val="superscript"/>
        </w:rPr>
        <w:t xml:space="preserve">-1</w:t>
      </w:r>
      <w:r>
        <w:t xml:space="preserve">) followed by an increase starting in April. Biomass peaked during summer (July–September, &gt;10</w:t>
      </w:r>
      <w:r>
        <w:rPr>
          <w:vertAlign w:val="superscript"/>
        </w:rPr>
        <w:t xml:space="preserve">8</w:t>
      </w:r>
      <w:r>
        <w:t xml:space="preserve"> </w:t>
      </w:r>
      <w:r>
        <w:t xml:space="preserve">cells L</w:t>
      </w:r>
      <w:r>
        <w:rPr>
          <w:vertAlign w:val="superscript"/>
        </w:rPr>
        <w:t xml:space="preserve">-1</w:t>
      </w:r>
      <w:r>
        <w:t xml:space="preserve">) and remained elevated through autumn (October–December) before declining in late winter, a trajectory consistent with observed geosmin fluctuations.</w:t>
      </w:r>
    </w:p>
    <w:p>
      <w:pPr>
        <w:pStyle w:val="BodyText"/>
      </w:pPr>
      <w:r>
        <w:t xml:space="preserve">Cyanobacteria dominated the assemblage throughout most of the monitoring period, with peak biomass recorded from June to October. Within this group, filamentous genera associated with geosmin production followed distinct successional patterns.</w:t>
      </w:r>
      <w:r>
        <w:t xml:space="preserve"> </w:t>
      </w:r>
      <w:r>
        <w:rPr>
          <w:i/>
          <w:iCs/>
        </w:rPr>
        <w:t xml:space="preserve">Planktothrix agardhii</w:t>
      </w:r>
      <w:r>
        <w:t xml:space="preserve"> </w:t>
      </w:r>
      <w:r>
        <w:t xml:space="preserve">and</w:t>
      </w:r>
      <w:r>
        <w:t xml:space="preserve"> </w:t>
      </w:r>
      <w:r>
        <w:rPr>
          <w:i/>
          <w:iCs/>
        </w:rPr>
        <w:t xml:space="preserve">Aphanizomenon gracile</w:t>
      </w:r>
      <w:r>
        <w:t xml:space="preserve"> </w:t>
      </w:r>
      <w:r>
        <w:t xml:space="preserve">were present year-round but reached maxima in summer and autumn. In contrast,</w:t>
      </w:r>
      <w:r>
        <w:t xml:space="preserve"> </w:t>
      </w:r>
      <w:r>
        <w:rPr>
          <w:i/>
          <w:iCs/>
        </w:rPr>
        <w:t xml:space="preserve">Pseudanabaena catenata</w:t>
      </w:r>
      <w:r>
        <w:t xml:space="preserve"> </w:t>
      </w:r>
      <w:r>
        <w:t xml:space="preserve">was primarily restricted to spring (April–May). Several</w:t>
      </w:r>
      <w:r>
        <w:t xml:space="preserve"> </w:t>
      </w:r>
      <w:r>
        <w:rPr>
          <w:i/>
          <w:iCs/>
        </w:rPr>
        <w:t xml:space="preserve">Dolichospermum</w:t>
      </w:r>
      <w:r>
        <w:t xml:space="preserve"> </w:t>
      </w:r>
      <w:r>
        <w:t xml:space="preserve">species (e.g.,</w:t>
      </w:r>
      <w:r>
        <w:t xml:space="preserve"> </w:t>
      </w:r>
      <w:r>
        <w:rPr>
          <w:i/>
          <w:iCs/>
        </w:rPr>
        <w:t xml:space="preserve">D. circinale</w:t>
      </w:r>
      <w:r>
        <w:t xml:space="preserve">,</w:t>
      </w:r>
      <w:r>
        <w:t xml:space="preserve"> </w:t>
      </w:r>
      <w:r>
        <w:rPr>
          <w:i/>
          <w:iCs/>
        </w:rPr>
        <w:t xml:space="preserve">D. flos-aquae</w:t>
      </w:r>
      <w:r>
        <w:t xml:space="preserve">,</w:t>
      </w:r>
      <w:r>
        <w:t xml:space="preserve"> </w:t>
      </w:r>
      <w:r>
        <w:rPr>
          <w:i/>
          <w:iCs/>
        </w:rPr>
        <w:t xml:space="preserve">D. planctonicum</w:t>
      </w:r>
      <w:r>
        <w:t xml:space="preserve">) and</w:t>
      </w:r>
      <w:r>
        <w:t xml:space="preserve"> </w:t>
      </w:r>
      <w:r>
        <w:rPr>
          <w:i/>
          <w:iCs/>
        </w:rPr>
        <w:t xml:space="preserve">Aphanizomenon flos-aquae</w:t>
      </w:r>
      <w:r>
        <w:t xml:space="preserve"> </w:t>
      </w:r>
      <w:r>
        <w:t xml:space="preserve">emerged in late spring, proliferated during summer, and declined by late autumn. Other taxa, including</w:t>
      </w:r>
      <w:r>
        <w:t xml:space="preserve"> </w:t>
      </w:r>
      <w:r>
        <w:rPr>
          <w:i/>
          <w:iCs/>
        </w:rPr>
        <w:t xml:space="preserve">Trichormus variabilis</w:t>
      </w:r>
      <w:r>
        <w:t xml:space="preserve">,</w:t>
      </w:r>
      <w:r>
        <w:t xml:space="preserve"> </w:t>
      </w:r>
      <w:r>
        <w:rPr>
          <w:i/>
          <w:iCs/>
        </w:rPr>
        <w:t xml:space="preserve">Microcoleus amoenus</w:t>
      </w:r>
      <w:r>
        <w:t xml:space="preserve">, and</w:t>
      </w:r>
      <w:r>
        <w:t xml:space="preserve"> </w:t>
      </w:r>
      <w:r>
        <w:rPr>
          <w:i/>
          <w:iCs/>
        </w:rPr>
        <w:t xml:space="preserve">Pseudanabaena limnetica</w:t>
      </w:r>
      <w:r>
        <w:t xml:space="preserve">, occurred sporadically, with peaks confined to specific intervals between June and August.</w:t>
      </w:r>
    </w:p>
    <w:p>
      <w:pPr>
        <w:pStyle w:val="BodyText"/>
      </w:pPr>
      <w:r>
        <w:t xml:space="preserve">The synchronization of elevated geosmin concentrations with high cyanobacterial biomass—particularly during blooms of</w:t>
      </w:r>
      <w:r>
        <w:t xml:space="preserve"> </w:t>
      </w:r>
      <w:r>
        <w:rPr>
          <w:i/>
          <w:iCs/>
        </w:rPr>
        <w:t xml:space="preserve">Planktothrix</w:t>
      </w:r>
      <w:r>
        <w:t xml:space="preserve">,</w:t>
      </w:r>
      <w:r>
        <w:t xml:space="preserve"> </w:t>
      </w:r>
      <w:r>
        <w:rPr>
          <w:i/>
          <w:iCs/>
        </w:rPr>
        <w:t xml:space="preserve">Dolichospermum</w:t>
      </w:r>
      <w:r>
        <w:t xml:space="preserve"> </w:t>
      </w:r>
      <w:r>
        <w:t xml:space="preserve">and</w:t>
      </w:r>
      <w:r>
        <w:t xml:space="preserve"> </w:t>
      </w:r>
      <w:r>
        <w:rPr>
          <w:i/>
          <w:iCs/>
        </w:rPr>
        <w:t xml:space="preserve">Aphanizomenon</w:t>
      </w:r>
      <w:r>
        <w:t xml:space="preserve">—points to a biological origin for the odor episodes. The temporal succession of these specific taxa likely drives the characteristic bimodal geosmin peaks observed during the summer and autumn months.</w:t>
      </w:r>
    </w:p>
    <w:bookmarkEnd w:id="41"/>
    <w:bookmarkStart w:id="42" w:name="Xe508461f88f8835f10009b18d132efe2f44ae82"/>
    <w:p>
      <w:pPr>
        <w:pStyle w:val="Heading2"/>
      </w:pPr>
      <w:r>
        <w:t xml:space="preserve">Identification and spatiotemporal distribution of the primary geosmin producer</w:t>
      </w:r>
    </w:p>
    <w:p>
      <w:pPr>
        <w:pStyle w:val="BodyText"/>
      </w:pPr>
      <w:r>
        <w:t xml:space="preserve">Screening of 16S rRNA and</w:t>
      </w:r>
      <w:r>
        <w:t xml:space="preserve"> </w:t>
      </w:r>
      <w:r>
        <w:rPr>
          <w:rStyle w:val="VerbatimChar"/>
        </w:rPr>
        <w:t xml:space="preserve">geoA</w:t>
      </w:r>
      <w:r>
        <w:t xml:space="preserve"> </w:t>
      </w:r>
      <w:r>
        <w:t xml:space="preserve">gene sequences identified the genera</w:t>
      </w:r>
      <w:r>
        <w:t xml:space="preserve"> </w:t>
      </w:r>
      <w:r>
        <w:rPr>
          <w:i/>
          <w:iCs/>
        </w:rPr>
        <w:t xml:space="preserve">Planktothrix</w:t>
      </w:r>
      <w:r>
        <w:t xml:space="preserve">,</w:t>
      </w:r>
      <w:r>
        <w:t xml:space="preserve"> </w:t>
      </w:r>
      <w:r>
        <w:rPr>
          <w:i/>
          <w:iCs/>
        </w:rPr>
        <w:t xml:space="preserve">Dolichospermum</w:t>
      </w:r>
      <w:r>
        <w:t xml:space="preserve">, and</w:t>
      </w:r>
      <w:r>
        <w:t xml:space="preserve"> </w:t>
      </w:r>
      <w:r>
        <w:rPr>
          <w:i/>
          <w:iCs/>
        </w:rPr>
        <w:t xml:space="preserve">Aphanizomenon</w:t>
      </w:r>
      <w:r>
        <w:t xml:space="preserve"> </w:t>
      </w:r>
      <w:r>
        <w:t xml:space="preserve">as the primary geosmin producers in Yuqiao Reservoir (</w:t>
      </w:r>
      <w:hyperlink w:anchor="fig-yqgsminvest">
        <w:r>
          <w:rPr>
            <w:rStyle w:val="Hyperlink"/>
          </w:rPr>
          <w:t xml:space="preserve">Fig. 2</w:t>
        </w:r>
      </w:hyperlink>
      <w:r>
        <w:t xml:space="preserve">D-</w:t>
      </w:r>
      <w:hyperlink w:anchor="fig-yqgsminvest">
        <w:r>
          <w:rPr>
            <w:rStyle w:val="Hyperlink"/>
          </w:rPr>
          <w:t xml:space="preserve">2</w:t>
        </w:r>
      </w:hyperlink>
      <w:r>
        <w:t xml:space="preserve">G). Due to the high diversity and dynamic succession of filamentous cyanobacteria observed over the five-year monitoring period, taxonomic identification at the species level remains inconclusive based on current evidence. However,</w:t>
      </w:r>
      <w:r>
        <w:t xml:space="preserve"> </w:t>
      </w:r>
      <w:r>
        <w:rPr>
          <w:i/>
          <w:iCs/>
        </w:rPr>
        <w:t xml:space="preserve">P. agardhii</w:t>
      </w:r>
      <w:r>
        <w:t xml:space="preserve"> </w:t>
      </w:r>
      <w:r>
        <w:t xml:space="preserve">was selected as the representative taxon for subsequent analysis, as this genus exhibited the highest correlation with geosmin concentrations.</w:t>
      </w:r>
    </w:p>
    <w:p>
      <w:pPr>
        <w:pStyle w:val="BodyText"/>
      </w:pPr>
      <w:r>
        <w:t xml:space="preserve">Spatial monitoring in 2023 demonstrated a clear biomass gradient; littoral sites (YQ03, YQ04, YQ06, and YQ07, Supplementary Fig. 3) maintained significantly higher cell densities than the lacustrine site (YQ01). Maximum biomass reached 5.1×10</w:t>
      </w:r>
      <w:r>
        <w:rPr>
          <w:vertAlign w:val="superscript"/>
        </w:rPr>
        <w:t xml:space="preserve">7</w:t>
      </w:r>
      <w:r>
        <w:t xml:space="preserve"> </w:t>
      </w:r>
      <w:r>
        <w:t xml:space="preserve">cells L</w:t>
      </w:r>
      <w:r>
        <w:rPr>
          <w:vertAlign w:val="superscript"/>
        </w:rPr>
        <w:t xml:space="preserve">-1</w:t>
      </w:r>
      <w:r>
        <w:t xml:space="preserve"> </w:t>
      </w:r>
      <w:r>
        <w:t xml:space="preserve">at littoral locations, nearly double the peak of 2.9×10</w:t>
      </w:r>
      <w:r>
        <w:rPr>
          <w:vertAlign w:val="superscript"/>
        </w:rPr>
        <w:t xml:space="preserve">7</w:t>
      </w:r>
      <w:r>
        <w:t xml:space="preserve"> </w:t>
      </w:r>
      <w:r>
        <w:t xml:space="preserve">cells L</w:t>
      </w:r>
      <w:r>
        <w:rPr>
          <w:vertAlign w:val="superscript"/>
        </w:rPr>
        <w:t xml:space="preserve">-1</w:t>
      </w:r>
      <w:r>
        <w:t xml:space="preserve"> </w:t>
      </w:r>
      <w:r>
        <w:t xml:space="preserve">recorded at the lacustrine abstraction point. Biomass exceeded the 2×10</w:t>
      </w:r>
      <w:r>
        <w:rPr>
          <w:vertAlign w:val="superscript"/>
        </w:rPr>
        <w:t xml:space="preserve">7</w:t>
      </w:r>
      <w:r>
        <w:t xml:space="preserve"> </w:t>
      </w:r>
      <w:r>
        <w:t xml:space="preserve">cells L</w:t>
      </w:r>
      <w:r>
        <w:rPr>
          <w:vertAlign w:val="superscript"/>
        </w:rPr>
        <w:t xml:space="preserve">-1</w:t>
      </w:r>
      <w:r>
        <w:t xml:space="preserve"> </w:t>
      </w:r>
      <w:r>
        <w:t xml:space="preserve">threshold in 7% of littoral samples, compared to 4% at YQ01. Unlike the ephemeral peaks of other cyanobacteria,</w:t>
      </w:r>
      <w:r>
        <w:t xml:space="preserve"> </w:t>
      </w:r>
      <w:r>
        <w:rPr>
          <w:i/>
          <w:iCs/>
        </w:rPr>
        <w:t xml:space="preserve">P. agardhii</w:t>
      </w:r>
      <w:r>
        <w:t xml:space="preserve"> </w:t>
      </w:r>
      <w:r>
        <w:t xml:space="preserve">persisted throughout the warm season (</w:t>
      </w:r>
      <w:hyperlink w:anchor="fig-yqgsminvest">
        <w:r>
          <w:rPr>
            <w:rStyle w:val="Hyperlink"/>
          </w:rPr>
          <w:t xml:space="preserve">Fig. 2</w:t>
        </w:r>
      </w:hyperlink>
      <w:r>
        <w:t xml:space="preserve">C).</w:t>
      </w:r>
    </w:p>
    <w:p>
      <w:pPr>
        <w:pStyle w:val="BodyText"/>
      </w:pPr>
      <w:r>
        <w:t xml:space="preserve">The progression of bloom events (≥2×10</w:t>
      </w:r>
      <w:r>
        <w:rPr>
          <w:vertAlign w:val="superscript"/>
        </w:rPr>
        <w:t xml:space="preserve">7</w:t>
      </w:r>
      <w:r>
        <w:t xml:space="preserve"> </w:t>
      </w:r>
      <w:r>
        <w:t xml:space="preserve">cells L</w:t>
      </w:r>
      <w:r>
        <w:rPr>
          <w:vertAlign w:val="superscript"/>
        </w:rPr>
        <w:t xml:space="preserve">-1</w:t>
      </w:r>
      <w:r>
        <w:t xml:space="preserve">) followed a spatial sequence from the littoral zone toward the dam (</w:t>
      </w:r>
      <w:hyperlink w:anchor="fig-yqgsminvest">
        <w:r>
          <w:rPr>
            <w:rStyle w:val="Hyperlink"/>
          </w:rPr>
          <w:t xml:space="preserve">Fig. 2</w:t>
        </w:r>
      </w:hyperlink>
      <w:r>
        <w:t xml:space="preserve">H). For example, YQ05 reached this threshold 8 days before YQ01. This temporal lag suggests that littoral zones function as primary proliferation centers, with subsequent advection driving the geosmin peaks observed at the lacustrine intake.</w:t>
      </w:r>
    </w:p>
    <w:bookmarkEnd w:id="42"/>
    <w:bookmarkStart w:id="47" w:name="X28ed212692fa3df3a87ab4b703344660ce0c7e1"/>
    <w:p>
      <w:pPr>
        <w:pStyle w:val="Heading2"/>
      </w:pPr>
      <w:r>
        <w:t xml:space="preserve">Distinct spatiotemporal patterns of two geosmin episodes</w:t>
      </w:r>
    </w:p>
    <w:p>
      <w:pPr>
        <w:pStyle w:val="BodyText"/>
      </w:pPr>
      <w:r>
        <w:t xml:space="preserve">Two distinct odor episodes were identified in Yuqiao Reservoir during 2023 (April–August and August–December). Spatial mapping of monthly average geosmin concentrations at seven representative sites revealed contrasting trajectories between littoral and lacustrine regions (</w:t>
      </w:r>
      <w:hyperlink w:anchor="fig-gsmepisodes">
        <w:r>
          <w:rPr>
            <w:rStyle w:val="Hyperlink"/>
          </w:rPr>
          <w:t xml:space="preserve">Fig. 3</w:t>
        </w:r>
      </w:hyperlink>
      <w:r>
        <w:t xml:space="preserve">).</w:t>
      </w:r>
    </w:p>
    <w:p>
      <w:pPr>
        <w:pStyle w:val="BodyText"/>
      </w:pPr>
      <w:r>
        <w:t xml:space="preserve">During the first episode (April–August), littoral sites (YQ02, YQ03, YQ04, YQ06, and YQ07) recorded elevated concentrations in spring (April–June), ranging from 0 to 21.2 ng L</w:t>
      </w:r>
      <w:r>
        <w:rPr>
          <w:vertAlign w:val="superscript"/>
        </w:rPr>
        <w:t xml:space="preserve">-1</w:t>
      </w:r>
      <w:r>
        <w:t xml:space="preserve">. These values declined by August to between 0.6 and 5.8 ng L</w:t>
      </w:r>
      <w:r>
        <w:rPr>
          <w:vertAlign w:val="superscript"/>
        </w:rPr>
        <w:t xml:space="preserve">-1</w:t>
      </w:r>
      <w:r>
        <w:t xml:space="preserve">. In contrast, the lacustrine site (YQ01) and the transitional site (YQ05) exhibited a delayed response; concentrations increased progressively from April minima to reach a peak in August at 8.5 ng L</w:t>
      </w:r>
      <w:r>
        <w:rPr>
          <w:vertAlign w:val="superscript"/>
        </w:rPr>
        <w:t xml:space="preserve">-1</w:t>
      </w:r>
      <w:r>
        <w:t xml:space="preserve">.</w:t>
      </w:r>
    </w:p>
    <w:p>
      <w:pPr>
        <w:pStyle w:val="BodyText"/>
      </w:pPr>
      <w:r>
        <w:t xml:space="preserve">The second episode (August–December) showed a reversed spatiotemporal gradient. Littoral sites reached peak concentrations in October, ranging from 0 to 36.4 ng L</w:t>
      </w:r>
      <w:r>
        <w:rPr>
          <w:vertAlign w:val="superscript"/>
        </w:rPr>
        <w:t xml:space="preserve">-1</w:t>
      </w:r>
      <w:r>
        <w:t xml:space="preserve">, before decreasing by December. Conversely, the lacustrine site (YQ01) exhibited a monotonic increase throughout the period, reaching 24.2 ng L</w:t>
      </w:r>
      <w:r>
        <w:rPr>
          <w:vertAlign w:val="superscript"/>
        </w:rPr>
        <w:t xml:space="preserve">-1</w:t>
      </w:r>
      <w:r>
        <w:t xml:space="preserve"> </w:t>
      </w:r>
      <w:r>
        <w:t xml:space="preserve">in December. Site YQ05 demonstrated an intermediate transition, with concentrations declining in November.</w:t>
      </w:r>
    </w:p>
    <w:p>
      <w:pPr>
        <w:pStyle w:val="BodyText"/>
      </w:pPr>
      <w:r>
        <w:t xml:space="preserve">These divergent trajectories (</w:t>
      </w:r>
      <w:hyperlink w:anchor="fig-gsmepisodes">
        <w:r>
          <w:rPr>
            <w:rStyle w:val="Hyperlink"/>
          </w:rPr>
          <w:t xml:space="preserve">Fig. 3</w:t>
        </w:r>
      </w:hyperlink>
      <w:r>
        <w:t xml:space="preserve">) indicate a systematic spatiotemporal decoupling: littoral zones demonstrate earlier onset and decline during both episodes, while the lacustrine region shows delayed and prolonged elevations. This pattern reflects the integrated effects of initial production in littoral hotspots and subsequent advective transport toward the central reservoir.</w:t>
      </w:r>
    </w:p>
    <w:tbl>
      <w:tblPr>
        <w:tblStyle w:val="Table"/>
        <w:tblW w:type="pct" w:w="5000"/>
        <w:tblLayout w:type="fixed"/>
        <w:tblLook w:firstRow="0" w:lastRow="0" w:firstColumn="0" w:lastColumn="0" w:noHBand="0" w:noVBand="0" w:val="0000"/>
      </w:tblPr>
      <w:tblGrid>
        <w:gridCol w:w="7920"/>
      </w:tblGrid>
      <w:tr>
        <w:tc>
          <w:tcPr/>
          <w:bookmarkStart w:id="46" w:name="fig-gsmepisodes"/>
          <w:p>
            <w:pPr>
              <w:pStyle w:val="Compact"/>
              <w:jc w:val="center"/>
            </w:pPr>
            <w:r>
              <w:drawing>
                <wp:inline>
                  <wp:extent cx="3451860" cy="3655340"/>
                  <wp:effectExtent b="0" l="0" r="0" t="0"/>
                  <wp:docPr descr="" title="" id="44" name="Picture"/>
                  <a:graphic>
                    <a:graphicData uri="http://schemas.openxmlformats.org/drawingml/2006/picture">
                      <pic:pic>
                        <pic:nvPicPr>
                          <pic:cNvPr descr="../figures/gsmepisodes_revised.png" id="45" name="Picture"/>
                          <pic:cNvPicPr>
                            <a:picLocks noChangeArrowheads="1" noChangeAspect="1"/>
                          </pic:cNvPicPr>
                        </pic:nvPicPr>
                        <pic:blipFill>
                          <a:blip r:embed="rId43"/>
                          <a:stretch>
                            <a:fillRect/>
                          </a:stretch>
                        </pic:blipFill>
                        <pic:spPr bwMode="auto">
                          <a:xfrm>
                            <a:off x="0" y="0"/>
                            <a:ext cx="3451860" cy="3655340"/>
                          </a:xfrm>
                          <a:prstGeom prst="rect">
                            <a:avLst/>
                          </a:prstGeom>
                          <a:noFill/>
                          <a:ln w="9525">
                            <a:noFill/>
                            <a:headEnd/>
                            <a:tailEnd/>
                          </a:ln>
                        </pic:spPr>
                      </pic:pic>
                    </a:graphicData>
                  </a:graphic>
                </wp:inline>
              </w:drawing>
            </w:r>
          </w:p>
          <w:p>
            <w:pPr>
              <w:jc w:val="center"/>
            </w:pPr>
            <w:pPr>
              <w:jc w:val="start"/>
              <w:spacing w:before="200"/>
              <w:pStyle w:val="ImageCaption"/>
            </w:pPr>
            <w:r>
              <w:t xml:space="preserve">Fig. 3: Spatial mapping of monthly mean geosmin concentrations during Episode 1 (April–August, A) and Episode 2 (August–December, B) in Yuqiao Reservoir.</w:t>
            </w:r>
          </w:p>
          <w:bookmarkEnd w:id="46"/>
        </w:tc>
      </w:tr>
    </w:tbl>
    <w:bookmarkEnd w:id="47"/>
    <w:bookmarkStart w:id="52" w:name="X1c9732b19a9f606233e3fbdcc22735ebf91f903"/>
    <w:p>
      <w:pPr>
        <w:pStyle w:val="Heading2"/>
      </w:pPr>
      <w:r>
        <w:t xml:space="preserve">Predictive relationship between</w:t>
      </w:r>
      <w:r>
        <w:t xml:space="preserve"> </w:t>
      </w:r>
      <w:r>
        <w:rPr>
          <w:i/>
          <w:iCs/>
        </w:rPr>
        <w:t xml:space="preserve">Planktothrix agardhii</w:t>
      </w:r>
      <w:r>
        <w:t xml:space="preserve"> </w:t>
      </w:r>
      <w:r>
        <w:t xml:space="preserve">dynamics and geosmin episodes</w:t>
      </w:r>
    </w:p>
    <w:p>
      <w:pPr>
        <w:pStyle w:val="BodyText"/>
      </w:pPr>
      <w:r>
        <w:t xml:space="preserve">Time-lagged correlation analyses were performed between</w:t>
      </w:r>
      <w:r>
        <w:t xml:space="preserve"> </w:t>
      </w:r>
      <w:r>
        <w:rPr>
          <w:i/>
          <w:iCs/>
        </w:rPr>
        <w:t xml:space="preserve">Planktothrix agardhii</w:t>
      </w:r>
      <w:r>
        <w:t xml:space="preserve"> </w:t>
      </w:r>
      <w:r>
        <w:t xml:space="preserve">biomass and geosmin concentrations at the near-littoral site YQ05 and the lacustrine site YQ01 (</w:t>
      </w:r>
      <w:hyperlink w:anchor="fig-lag">
        <w:r>
          <w:rPr>
            <w:rStyle w:val="Hyperlink"/>
          </w:rPr>
          <w:t xml:space="preserve">Fig. 4</w:t>
        </w:r>
      </w:hyperlink>
      <w:r>
        <w:t xml:space="preserve">A). The analysis demonstrated divergent temporal coupling between the two locations. At YQ05, the strongest correlation (R</w:t>
      </w:r>
      <w:r>
        <w:rPr>
          <w:vertAlign w:val="superscript"/>
        </w:rPr>
        <w:t xml:space="preserve">2</w:t>
      </w:r>
      <w:r>
        <w:t xml:space="preserve"> </w:t>
      </w:r>
      <w:r>
        <w:t xml:space="preserve">= 0.5,</w:t>
      </w:r>
      <w:r>
        <w:t xml:space="preserve"> </w:t>
      </w:r>
      <w:r>
        <w:rPr>
          <w:i/>
          <w:iCs/>
        </w:rPr>
        <w:t xml:space="preserve">p</w:t>
      </w:r>
      <w:r>
        <w:t xml:space="preserve"> </w:t>
      </w:r>
      <w:r>
        <w:t xml:space="preserve">&lt; 0.001) occurred at zero lag, indicating that geosmin levels fluctuated synchronously with local</w:t>
      </w:r>
      <w:r>
        <w:t xml:space="preserve"> </w:t>
      </w:r>
      <w:r>
        <w:rPr>
          <w:i/>
          <w:iCs/>
        </w:rPr>
        <w:t xml:space="preserve">P. agardhii</w:t>
      </w:r>
      <w:r>
        <w:t xml:space="preserve"> </w:t>
      </w:r>
      <w:r>
        <w:t xml:space="preserve">density. In contrast, the correlation at the lacustrine site YQ01 was weakest at zero lag but increased with time, peaking at a 5-week lag (R</w:t>
      </w:r>
      <w:r>
        <w:rPr>
          <w:vertAlign w:val="superscript"/>
        </w:rPr>
        <w:t xml:space="preserve">2</w:t>
      </w:r>
      <w:r>
        <w:t xml:space="preserve"> </w:t>
      </w:r>
      <w:r>
        <w:t xml:space="preserve">= 0.41,</w:t>
      </w:r>
      <w:r>
        <w:t xml:space="preserve"> </w:t>
      </w:r>
      <w:r>
        <w:rPr>
          <w:i/>
          <w:iCs/>
        </w:rPr>
        <w:t xml:space="preserve">p</w:t>
      </w:r>
      <w:r>
        <w:t xml:space="preserve"> </w:t>
      </w:r>
      <w:r>
        <w:t xml:space="preserve">&lt; 0.001). This offset indicates that</w:t>
      </w:r>
      <w:r>
        <w:t xml:space="preserve"> </w:t>
      </w:r>
      <w:r>
        <w:rPr>
          <w:i/>
          <w:iCs/>
        </w:rPr>
        <w:t xml:space="preserve">P. agardhii</w:t>
      </w:r>
      <w:r>
        <w:t xml:space="preserve"> </w:t>
      </w:r>
      <w:r>
        <w:t xml:space="preserve">biomass functions as a concurrent indicator in the littoral production zone but acts as a leading indicator for geosmin risk at the distal lacustrine intake.</w:t>
      </w:r>
    </w:p>
    <w:p>
      <w:pPr>
        <w:pStyle w:val="BodyText"/>
      </w:pPr>
      <w:r>
        <w:t xml:space="preserve">Regression models were established using the optimal lag periods for each site (</w:t>
      </w:r>
      <w:hyperlink w:anchor="fig-lag">
        <w:r>
          <w:rPr>
            <w:rStyle w:val="Hyperlink"/>
          </w:rPr>
          <w:t xml:space="preserve">Fig. 4</w:t>
        </w:r>
      </w:hyperlink>
      <w:r>
        <w:t xml:space="preserve">B). For YQ05 (zero lag), the relationship followed the equation: log</w:t>
      </w:r>
      <w:r>
        <w:rPr>
          <w:vertAlign w:val="subscript"/>
        </w:rPr>
        <w:t xml:space="preserve">10</w:t>
      </w:r>
      <w:r>
        <w:t xml:space="preserve">(geosmin) = 0.24 0.29×log</w:t>
      </w:r>
      <w:r>
        <w:rPr>
          <w:vertAlign w:val="subscript"/>
        </w:rPr>
        <w:t xml:space="preserve">10</w:t>
      </w:r>
      <w:r>
        <w:t xml:space="preserve">(</w:t>
      </w:r>
      <w:r>
        <w:rPr>
          <w:i/>
          <w:iCs/>
        </w:rPr>
        <w:t xml:space="preserve">P. agardhii</w:t>
      </w:r>
      <w:r>
        <w:t xml:space="preserve"> </w:t>
      </w:r>
      <w:r>
        <w:t xml:space="preserve">biomass). For YQ01 (5-week lag), the model was: log</w:t>
      </w:r>
      <w:r>
        <w:rPr>
          <w:vertAlign w:val="subscript"/>
        </w:rPr>
        <w:t xml:space="preserve">10</w:t>
      </w:r>
      <w:r>
        <w:t xml:space="preserve">(geosmin) = 0.56 0.2×log</w:t>
      </w:r>
      <w:r>
        <w:rPr>
          <w:vertAlign w:val="subscript"/>
        </w:rPr>
        <w:t xml:space="preserve">10</w:t>
      </w:r>
      <w:r>
        <w:t xml:space="preserve">(</w:t>
      </w:r>
      <w:r>
        <w:rPr>
          <w:i/>
          <w:iCs/>
        </w:rPr>
        <w:t xml:space="preserve">P. agardhii</w:t>
      </w:r>
      <w:r>
        <w:t xml:space="preserve"> </w:t>
      </w:r>
      <w:r>
        <w:t xml:space="preserve">biomass). The higher slope observed at YQ01 suggests a potential amplification of geosmin concentrations during transport from littoral zones to the reservoir center.</w:t>
      </w:r>
    </w:p>
    <w:p>
      <w:pPr>
        <w:pStyle w:val="BodyText"/>
      </w:pPr>
      <w:r>
        <w:t xml:space="preserve">Bi-weekly time series further illustrate this temporal phasing (</w:t>
      </w:r>
      <w:hyperlink w:anchor="fig-lag">
        <w:r>
          <w:rPr>
            <w:rStyle w:val="Hyperlink"/>
          </w:rPr>
          <w:t xml:space="preserve">Fig. 4</w:t>
        </w:r>
      </w:hyperlink>
      <w:r>
        <w:t xml:space="preserve">C). At YQ05,</w:t>
      </w:r>
      <w:r>
        <w:t xml:space="preserve"> </w:t>
      </w:r>
      <w:r>
        <w:rPr>
          <w:i/>
          <w:iCs/>
        </w:rPr>
        <w:t xml:space="preserve">P. agardhii</w:t>
      </w:r>
      <w:r>
        <w:t xml:space="preserve"> </w:t>
      </w:r>
      <w:r>
        <w:t xml:space="preserve">and geosmin peaks were closely aligned, whereas at YQ01, biomass peaks preceded major odor episodes by approximately 6.7 weeks. This consistent lag serves as a predictive window; when</w:t>
      </w:r>
      <w:r>
        <w:t xml:space="preserve"> </w:t>
      </w:r>
      <w:r>
        <w:rPr>
          <w:i/>
          <w:iCs/>
        </w:rPr>
        <w:t xml:space="preserve">P. agardhii</w:t>
      </w:r>
      <w:r>
        <w:t xml:space="preserve"> </w:t>
      </w:r>
      <w:r>
        <w:t xml:space="preserve">biomass at YQ05 exceeded 5.0×10</w:t>
      </w:r>
      <w:r>
        <w:rPr>
          <w:vertAlign w:val="superscript"/>
        </w:rPr>
        <w:t xml:space="preserve">7</w:t>
      </w:r>
      <w:r>
        <w:t xml:space="preserve"> </w:t>
      </w:r>
      <w:r>
        <w:t xml:space="preserve">cells L</w:t>
      </w:r>
      <w:r>
        <w:rPr>
          <w:vertAlign w:val="superscript"/>
        </w:rPr>
        <w:t xml:space="preserve">-1</w:t>
      </w:r>
      <w:r>
        <w:t xml:space="preserve">, geosmin at the lacustrine intake surpassed the 10 ng L</w:t>
      </w:r>
      <w:r>
        <w:rPr>
          <w:vertAlign w:val="superscript"/>
        </w:rPr>
        <w:t xml:space="preserve">-1</w:t>
      </w:r>
      <w:r>
        <w:t xml:space="preserve"> </w:t>
      </w:r>
      <w:r>
        <w:t xml:space="preserve">threshold within 4–6 weeks in 61.9% of observations. These results support the use of near-littoral monitoring for forecasting odor risks at central abstraction points.</w:t>
      </w:r>
    </w:p>
    <w:tbl>
      <w:tblPr>
        <w:tblStyle w:val="Table"/>
        <w:tblW w:type="pct" w:w="5000"/>
        <w:tblLayout w:type="fixed"/>
        <w:tblLook w:firstRow="0" w:lastRow="0" w:firstColumn="0" w:lastColumn="0" w:noHBand="0" w:noVBand="0" w:val="0000"/>
      </w:tblPr>
      <w:tblGrid>
        <w:gridCol w:w="7920"/>
      </w:tblGrid>
      <w:tr>
        <w:tc>
          <w:tcPr/>
          <w:bookmarkStart w:id="51" w:name="fig-lag"/>
          <w:p>
            <w:pPr>
              <w:pStyle w:val="Compact"/>
              <w:jc w:val="center"/>
            </w:pPr>
            <w:r>
              <w:drawing>
                <wp:inline>
                  <wp:extent cx="4027170" cy="6039689"/>
                  <wp:effectExtent b="0" l="0" r="0" t="0"/>
                  <wp:docPr descr="" title="" id="49" name="Picture"/>
                  <a:graphic>
                    <a:graphicData uri="http://schemas.openxmlformats.org/drawingml/2006/picture">
                      <pic:pic>
                        <pic:nvPicPr>
                          <pic:cNvPr descr="../figures/lag_revised.png" id="50" name="Picture"/>
                          <pic:cNvPicPr>
                            <a:picLocks noChangeArrowheads="1" noChangeAspect="1"/>
                          </pic:cNvPicPr>
                        </pic:nvPicPr>
                        <pic:blipFill>
                          <a:blip r:embed="rId48"/>
                          <a:stretch>
                            <a:fillRect/>
                          </a:stretch>
                        </pic:blipFill>
                        <pic:spPr bwMode="auto">
                          <a:xfrm>
                            <a:off x="0" y="0"/>
                            <a:ext cx="4027170" cy="6039689"/>
                          </a:xfrm>
                          <a:prstGeom prst="rect">
                            <a:avLst/>
                          </a:prstGeom>
                          <a:noFill/>
                          <a:ln w="9525">
                            <a:noFill/>
                            <a:headEnd/>
                            <a:tailEnd/>
                          </a:ln>
                        </pic:spPr>
                      </pic:pic>
                    </a:graphicData>
                  </a:graphic>
                </wp:inline>
              </w:drawing>
            </w:r>
          </w:p>
          <w:p>
            <w:pPr>
              <w:jc w:val="center"/>
            </w:pPr>
            <w:pPr>
              <w:jc w:val="start"/>
              <w:spacing w:before="200"/>
              <w:pStyle w:val="ImageCaption"/>
            </w:pPr>
            <w:r>
              <w:t xml:space="preserve">Fig. 4: Time-lagged relationships between Planktothrix agardhii biomass and geosmin concentrations at near-littoral and dam sites. (A) Correlation coefficients (R</w:t>
            </w:r>
            <w:r>
              <w:rPr>
                <w:vertAlign w:val="superscript"/>
              </w:rPr>
              <w:t xml:space="preserve">2</w:t>
            </w:r>
            <w:r>
              <w:t xml:space="preserve">) between P. agardhii biomass and geosmin at different lag periods (0–5 weeks) for site YQ05 (near-littoral) and YQ01 (dam intake). (B) Linear regression models at optimal lag periods: zero lag for YQ05 and 5-week lag for YQ01. (C) Scatter plots with fitted regression lines showing the quantitative relationships between P. agardhii biomass and geosmin at each site.</w:t>
            </w:r>
          </w:p>
          <w:bookmarkEnd w:id="51"/>
        </w:tc>
      </w:tr>
    </w:tbl>
    <w:bookmarkEnd w:id="52"/>
    <w:bookmarkStart w:id="57" w:name="X7c289579419a9ca0dfbb59352a798fc58302bd4"/>
    <w:p>
      <w:pPr>
        <w:pStyle w:val="Heading2"/>
      </w:pPr>
      <w:r>
        <w:t xml:space="preserve">Environmental drivers of geosmin and proposed transport pathway</w:t>
      </w:r>
    </w:p>
    <w:p>
      <w:pPr>
        <w:pStyle w:val="BodyText"/>
      </w:pPr>
      <w:r>
        <w:t xml:space="preserve">Principal component analysis (PCA) identified ammonium (NH</w:t>
      </w:r>
      <w:r>
        <w:rPr>
          <w:vertAlign w:val="subscript"/>
        </w:rPr>
        <w:t xml:space="preserve">4</w:t>
      </w:r>
      <w:r>
        <w:rPr>
          <w:vertAlign w:val="superscript"/>
        </w:rPr>
        <w:t xml:space="preserve">+</w:t>
      </w:r>
      <w:r>
        <w:t xml:space="preserve">-N) as the variable most strongly associated with geosmin variability in the PC1–PC2 plane (</w:t>
      </w:r>
      <w:hyperlink w:anchor="fig-mech">
        <w:r>
          <w:rPr>
            <w:rStyle w:val="Hyperlink"/>
          </w:rPr>
          <w:t xml:space="preserve">Fig. 5</w:t>
        </w:r>
      </w:hyperlink>
      <w:r>
        <w:t xml:space="preserve">A). The first two principal components accounted for 60.6% of total variance. PC1 (43.5%) represented a thermal-nutrient productivity axis, characterized by high loadings for temperature (0.342), total phosphorus (TP, 0.39), and chlorophyll-a (Chl-a, 0.428). PC2 (17.1%) represented a nitrogen availability axis, dominated by ammonium (-0.449) and total nitrogen (TN, 0.432). Geosmin exhibited moderate positive loadings on both PC1 (0.122) and PC2 (0.229), suggesting that variability is driven by a combination of thermal-nutrient status and nitrogen availability.</w:t>
      </w:r>
    </w:p>
    <w:p>
      <w:pPr>
        <w:pStyle w:val="BodyText"/>
      </w:pPr>
      <w:r>
        <w:t xml:space="preserve">Log-log regressions between ammonium and geosmin were performed across three reservoir zones: littoral (YQ02–YQ04, YQ06–YQ07), transitional (YQ05), and lacustrine (YQ01) (</w:t>
      </w:r>
      <w:hyperlink w:anchor="fig-mech">
        <w:r>
          <w:rPr>
            <w:rStyle w:val="Hyperlink"/>
          </w:rPr>
          <w:t xml:space="preserve">Fig. 5</w:t>
        </w:r>
      </w:hyperlink>
      <w:r>
        <w:t xml:space="preserve">B). A clear spatial gradient in correlation strength was observed, with the highest R</w:t>
      </w:r>
      <w:r>
        <w:rPr>
          <w:vertAlign w:val="superscript"/>
        </w:rPr>
        <w:t xml:space="preserve">2</w:t>
      </w:r>
      <w:r>
        <w:t xml:space="preserve"> </w:t>
      </w:r>
      <w:r>
        <w:t xml:space="preserve">at littoral sites (0.365), followed by YQ05 (0.203), and the lacustrine site YQ01 (0.035). This attenuation suggests that the ammonium-geosmin linkage is most direct in production zones and undergoes progressive decoupling during transport toward the lacustrine intake.</w:t>
      </w:r>
    </w:p>
    <w:p>
      <w:pPr>
        <w:pStyle w:val="BodyText"/>
      </w:pPr>
      <w:r>
        <w:t xml:space="preserve">Based on these results and the observed spatiotemporal dynamics of</w:t>
      </w:r>
      <w:r>
        <w:t xml:space="preserve"> </w:t>
      </w:r>
      <w:r>
        <w:rPr>
          <w:i/>
          <w:iCs/>
        </w:rPr>
        <w:t xml:space="preserve">Planktothrix agardhii</w:t>
      </w:r>
      <w:r>
        <w:t xml:space="preserve">, a transport pathway for odor episodes is proposed (</w:t>
      </w:r>
      <w:hyperlink w:anchor="fig-mech">
        <w:r>
          <w:rPr>
            <w:rStyle w:val="Hyperlink"/>
          </w:rPr>
          <w:t xml:space="preserve">Fig. 5</w:t>
        </w:r>
      </w:hyperlink>
      <w:r>
        <w:t xml:space="preserve">C). Shallow littoral areas (depths &lt; 4–5 m) serve as primary sites for ammonium accumulation,</w:t>
      </w:r>
      <w:r>
        <w:t xml:space="preserve"> </w:t>
      </w:r>
      <w:r>
        <w:rPr>
          <w:i/>
          <w:iCs/>
        </w:rPr>
        <w:t xml:space="preserve">P. agardhii</w:t>
      </w:r>
      <w:r>
        <w:t xml:space="preserve"> </w:t>
      </w:r>
      <w:r>
        <w:t xml:space="preserve">proliferation, and geosmin production. Advective transport then moves cells and dissolved geosmin from these littoral zones through the transitional region (YQ05) to the lacustrine intake (YQ01). This framework integrates the spatial gradient in nutrient-geosmin coupling, the observed temporal lags between zones, and the bathymetric influence on water residence times. These elements provide a mechanistic basis for the origin and delayed manifestation of geosmin episodes at the reservoir’s primary abstraction point.</w:t>
      </w:r>
    </w:p>
    <w:tbl>
      <w:tblPr>
        <w:tblStyle w:val="Table"/>
        <w:tblW w:type="pct" w:w="5000"/>
        <w:tblLayout w:type="fixed"/>
        <w:tblLook w:firstRow="0" w:lastRow="0" w:firstColumn="0" w:lastColumn="0" w:noHBand="0" w:noVBand="0" w:val="0000"/>
      </w:tblPr>
      <w:tblGrid>
        <w:gridCol w:w="7920"/>
      </w:tblGrid>
      <w:tr>
        <w:tc>
          <w:tcPr/>
          <w:bookmarkStart w:id="56" w:name="fig-mech"/>
          <w:p>
            <w:pPr>
              <w:pStyle w:val="Compact"/>
              <w:jc w:val="center"/>
            </w:pPr>
            <w:r>
              <w:drawing>
                <wp:inline>
                  <wp:extent cx="4027170" cy="4245072"/>
                  <wp:effectExtent b="0" l="0" r="0" t="0"/>
                  <wp:docPr descr="" title="" id="54" name="Picture"/>
                  <a:graphic>
                    <a:graphicData uri="http://schemas.openxmlformats.org/drawingml/2006/picture">
                      <pic:pic>
                        <pic:nvPicPr>
                          <pic:cNvPr descr="../figures/mech_revised.png" id="55" name="Picture"/>
                          <pic:cNvPicPr>
                            <a:picLocks noChangeArrowheads="1" noChangeAspect="1"/>
                          </pic:cNvPicPr>
                        </pic:nvPicPr>
                        <pic:blipFill>
                          <a:blip r:embed="rId53"/>
                          <a:stretch>
                            <a:fillRect/>
                          </a:stretch>
                        </pic:blipFill>
                        <pic:spPr bwMode="auto">
                          <a:xfrm>
                            <a:off x="0" y="0"/>
                            <a:ext cx="4027170" cy="4245072"/>
                          </a:xfrm>
                          <a:prstGeom prst="rect">
                            <a:avLst/>
                          </a:prstGeom>
                          <a:noFill/>
                          <a:ln w="9525">
                            <a:noFill/>
                            <a:headEnd/>
                            <a:tailEnd/>
                          </a:ln>
                        </pic:spPr>
                      </pic:pic>
                    </a:graphicData>
                  </a:graphic>
                </wp:inline>
              </w:drawing>
            </w:r>
          </w:p>
          <w:p>
            <w:pPr>
              <w:jc w:val="center"/>
            </w:pPr>
            <w:pPr>
              <w:jc w:val="start"/>
              <w:spacing w:before="200"/>
              <w:pStyle w:val="ImageCaption"/>
            </w:pPr>
            <w:r>
              <w:t xml:space="preserve">Fig. 5: Environmental drivers and conceptual transport pathway of geosmin in Yuqiao Reservoir. (A) Principal component analysis (PCA) biplot showing relationships between geosmin and key environmental variables. (B) Log-log regressions between ammonia concentration and geosmin across littoral, transitional (YQ05), and dam (YQ01) zones. (C) Bathymetric map of Yuqiao Reservoir depicting the proposed transport pathway from littoral production zones to the central water intake.</w:t>
            </w:r>
          </w:p>
          <w:bookmarkEnd w:id="56"/>
        </w:tc>
      </w:tr>
    </w:tbl>
    <w:bookmarkEnd w:id="57"/>
    <w:bookmarkEnd w:id="58"/>
    <w:bookmarkStart w:id="66" w:name="discussion"/>
    <w:p>
      <w:pPr>
        <w:pStyle w:val="Heading1"/>
      </w:pPr>
      <w:r>
        <w:t xml:space="preserve">Discussion</w:t>
      </w:r>
    </w:p>
    <w:bookmarkStart w:id="59" w:name="X5be45c400a640dba1de89afbfe4a580e4690870"/>
    <w:p>
      <w:pPr>
        <w:pStyle w:val="Heading2"/>
      </w:pPr>
      <w:r>
        <w:t xml:space="preserve">Geosmin prevalence in Chinese drinking water sources</w:t>
      </w:r>
    </w:p>
    <w:p>
      <w:pPr>
        <w:pStyle w:val="BodyText"/>
      </w:pPr>
      <w:r>
        <w:t xml:space="preserve">National survey data indicate that geosmin contamination is widespread across China’s primary drinking water sources, with 14% of sites exceeding the 10 ng L</w:t>
      </w:r>
      <w:r>
        <w:rPr>
          <w:vertAlign w:val="superscript"/>
        </w:rPr>
        <w:t xml:space="preserve">-1</w:t>
      </w:r>
      <w:r>
        <w:t xml:space="preserve"> </w:t>
      </w:r>
      <w:r>
        <w:t xml:space="preserve">odor threshold (</w:t>
      </w:r>
      <w:r>
        <w:rPr>
          <w:vertAlign w:val="superscript"/>
        </w:rPr>
        <w:t xml:space="preserve">39</w:t>
      </w:r>
      <w:r>
        <w:t xml:space="preserve">). These results identify geosmin as a pervasive water quality challenge, consistent with observations in other climatological regions</w:t>
      </w:r>
      <w:r>
        <w:rPr>
          <w:vertAlign w:val="superscript"/>
        </w:rPr>
        <w:t xml:space="preserve">19,47</w:t>
      </w:r>
      <w:r>
        <w:t xml:space="preserve">. The observed spatial heterogeneity—specifically the higher concentrations within the Yangtze and Pearl River Deltas—suggests that regional climatic conditions, watershed land use, and nutrient loading are primary determinants of geosmin risk. Given its low odor threshold and resistance to conventional treatment processes</w:t>
      </w:r>
      <w:r>
        <w:rPr>
          <w:vertAlign w:val="superscript"/>
        </w:rPr>
        <w:t xml:space="preserve">27,35,48</w:t>
      </w:r>
      <w:r>
        <w:t xml:space="preserve">, geosmin poses significant operational challenges for water utilities</w:t>
      </w:r>
      <w:r>
        <w:rPr>
          <w:vertAlign w:val="superscript"/>
        </w:rPr>
        <w:t xml:space="preserve">26</w:t>
      </w:r>
      <w:r>
        <w:t xml:space="preserve"> </w:t>
      </w:r>
      <w:r>
        <w:t xml:space="preserve">and impacts compliance with water safety objectives such as Sustainable Development Goal 6</w:t>
      </w:r>
      <w:r>
        <w:rPr>
          <w:vertAlign w:val="superscript"/>
        </w:rPr>
        <w:t xml:space="preserve">49</w:t>
      </w:r>
      <w:r>
        <w:t xml:space="preserve">. Consequently, these risks drive substantial investment in advanced treatment technologies and proactive source management</w:t>
      </w:r>
      <w:r>
        <w:rPr>
          <w:vertAlign w:val="superscript"/>
        </w:rPr>
        <w:t xml:space="preserve">50</w:t>
      </w:r>
      <w:r>
        <w:t xml:space="preserve">.</w:t>
      </w:r>
    </w:p>
    <w:bookmarkEnd w:id="59"/>
    <w:bookmarkStart w:id="60" w:name="X45eec8f9c7c59fa9b08fa623fa2bc41600a6438"/>
    <w:p>
      <w:pPr>
        <w:pStyle w:val="Heading2"/>
      </w:pPr>
      <w:r>
        <w:t xml:space="preserve">Littoral zones as production centers and spatiotemporal decoupling</w:t>
      </w:r>
    </w:p>
    <w:p>
      <w:pPr>
        <w:pStyle w:val="BodyText"/>
      </w:pPr>
      <w:r>
        <w:t xml:space="preserve">While actinomycetes are established sources of geosmin in freshwater sediments</w:t>
      </w:r>
      <w:r>
        <w:rPr>
          <w:vertAlign w:val="superscript"/>
        </w:rPr>
        <w:t xml:space="preserve">51–54</w:t>
      </w:r>
      <w:r>
        <w:t xml:space="preserve">, the synchronous peaks of</w:t>
      </w:r>
      <w:r>
        <w:t xml:space="preserve"> </w:t>
      </w:r>
      <w:r>
        <w:rPr>
          <w:i/>
          <w:iCs/>
        </w:rPr>
        <w:t xml:space="preserve">Planktothrix agardhii</w:t>
      </w:r>
      <w:r>
        <w:t xml:space="preserve"> </w:t>
      </w:r>
      <w:r>
        <w:t xml:space="preserve">biomass and geosmin at littoral sites (R</w:t>
      </w:r>
      <w:r>
        <w:rPr>
          <w:vertAlign w:val="superscript"/>
        </w:rPr>
        <w:t xml:space="preserve">2</w:t>
      </w:r>
      <w:r>
        <w:t xml:space="preserve"> </w:t>
      </w:r>
      <w:r>
        <w:t xml:space="preserve">= 0.5), combined with the molecular identification of the</w:t>
      </w:r>
      <w:r>
        <w:t xml:space="preserve"> </w:t>
      </w:r>
      <w:r>
        <w:rPr>
          <w:i/>
          <w:iCs/>
        </w:rPr>
        <w:t xml:space="preserve">geoA</w:t>
      </w:r>
      <w:r>
        <w:t xml:space="preserve"> </w:t>
      </w:r>
      <w:r>
        <w:t xml:space="preserve">gene (</w:t>
      </w:r>
      <w:hyperlink w:anchor="fig-yqgsminvest">
        <w:r>
          <w:rPr>
            <w:rStyle w:val="Hyperlink"/>
          </w:rPr>
          <w:t xml:space="preserve">Fig. 2</w:t>
        </w:r>
      </w:hyperlink>
      <w:r>
        <w:t xml:space="preserve">D, F), confirm a cyanobacterial origin in Yuqiao Reservoir. This supports the consensus that cyanobacteria are the primary biotic source of odorants in well-oxygenated reservoir water columns</w:t>
      </w:r>
      <w:r>
        <w:rPr>
          <w:vertAlign w:val="superscript"/>
        </w:rPr>
        <w:t xml:space="preserve">45,55–59</w:t>
      </w:r>
      <w:r>
        <w:t xml:space="preserve">. Detection of</w:t>
      </w:r>
      <w:r>
        <w:t xml:space="preserve"> </w:t>
      </w:r>
      <w:r>
        <w:rPr>
          <w:i/>
          <w:iCs/>
        </w:rPr>
        <w:t xml:space="preserve">geoA</w:t>
      </w:r>
      <w:r>
        <w:t xml:space="preserve">-harboring cyanobacteria</w:t>
      </w:r>
      <w:r>
        <w:rPr>
          <w:vertAlign w:val="superscript"/>
        </w:rPr>
        <w:t xml:space="preserve">46,60,61</w:t>
      </w:r>
      <w:r>
        <w:t xml:space="preserve"> </w:t>
      </w:r>
      <w:r>
        <w:t xml:space="preserve">in this oxygenated environment indicates that geosmin is primarily derived from cyanobacterial activity, aligning with studies linking specific blooms to odor episodes globally</w:t>
      </w:r>
      <w:r>
        <w:rPr>
          <w:vertAlign w:val="superscript"/>
        </w:rPr>
        <w:t xml:space="preserve">62–64</w:t>
      </w:r>
      <w:r>
        <w:t xml:space="preserve">.</w:t>
      </w:r>
    </w:p>
    <w:p>
      <w:pPr>
        <w:pStyle w:val="BodyText"/>
      </w:pPr>
      <w:r>
        <w:t xml:space="preserve">Monitoring data identify littoral zones as critical ecological niches for</w:t>
      </w:r>
      <w:r>
        <w:t xml:space="preserve"> </w:t>
      </w:r>
      <w:r>
        <w:rPr>
          <w:i/>
          <w:iCs/>
        </w:rPr>
        <w:t xml:space="preserve">P. agardhii</w:t>
      </w:r>
      <w:r>
        <w:t xml:space="preserve"> </w:t>
      </w:r>
      <w:r>
        <w:t xml:space="preserve">proliferation. The filamentous morphology and low-light adaptation of</w:t>
      </w:r>
      <w:r>
        <w:t xml:space="preserve"> </w:t>
      </w:r>
      <w:r>
        <w:rPr>
          <w:i/>
          <w:iCs/>
        </w:rPr>
        <w:t xml:space="preserve">P. agardhii</w:t>
      </w:r>
      <w:r>
        <w:t xml:space="preserve"> </w:t>
      </w:r>
      <w:r>
        <w:t xml:space="preserve">facilitate its dominance in shallow, intermittently mixed littoral environments</w:t>
      </w:r>
      <w:r>
        <w:rPr>
          <w:vertAlign w:val="superscript"/>
        </w:rPr>
        <w:t xml:space="preserve">65–68</w:t>
      </w:r>
      <w:r>
        <w:t xml:space="preserve">. These traits allow for optimal light harvesting under the variable regimes typical of nearshore areas</w:t>
      </w:r>
      <w:r>
        <w:rPr>
          <w:vertAlign w:val="superscript"/>
        </w:rPr>
        <w:t xml:space="preserve">32,69</w:t>
      </w:r>
      <w:r>
        <w:t xml:space="preserve">. The high correlation between ammonium and geosmin specifically in littoral zones (R</w:t>
      </w:r>
      <w:r>
        <w:rPr>
          <w:vertAlign w:val="superscript"/>
        </w:rPr>
        <w:t xml:space="preserve">2</w:t>
      </w:r>
      <w:r>
        <w:t xml:space="preserve"> </w:t>
      </w:r>
      <w:r>
        <w:t xml:space="preserve">= 0.37) points to nitrogen availability from shoreline inputs as a key regulator. The subsequent weakening of this correlation at the lacustrine intake (R</w:t>
      </w:r>
      <w:r>
        <w:rPr>
          <w:vertAlign w:val="superscript"/>
        </w:rPr>
        <w:t xml:space="preserve">2</w:t>
      </w:r>
      <w:r>
        <w:t xml:space="preserve"> </w:t>
      </w:r>
      <w:r>
        <w:t xml:space="preserve">= 0.03) reflects the decoupling of biological production from observed concentrations during transport. This spatial decoupling is quantified by the 8-day lag in bloom development between littoral sites and the dam, representing a period of physical advection and continued metabolic accumulation.</w:t>
      </w:r>
    </w:p>
    <w:bookmarkEnd w:id="60"/>
    <w:bookmarkStart w:id="65" w:name="X812672268fb4909a3764356cf053bc10a7a6c75"/>
    <w:p>
      <w:pPr>
        <w:pStyle w:val="Heading2"/>
      </w:pPr>
      <w:r>
        <w:t xml:space="preserve">Implications for proactive monitoring and risk management</w:t>
      </w:r>
    </w:p>
    <w:p>
      <w:pPr>
        <w:pStyle w:val="BodyText"/>
      </w:pPr>
      <w:r>
        <w:t xml:space="preserve">The conceptual mechanism depicted in</w:t>
      </w:r>
      <w:r>
        <w:t xml:space="preserve"> </w:t>
      </w:r>
      <w:hyperlink w:anchor="fig-sketch">
        <w:r>
          <w:rPr>
            <w:rStyle w:val="Hyperlink"/>
          </w:rPr>
          <w:t xml:space="preserve">Fig. 6</w:t>
        </w:r>
      </w:hyperlink>
      <w:r>
        <w:t xml:space="preserve"> </w:t>
      </w:r>
      <w:r>
        <w:t xml:space="preserve">illustrates that maximum geosmin production is localized in littoral zones before advective transport through the limnetic zone. This sequence demonstrates a limitation in intake-centric monitoring: by the time geosmin reaches the lacustrine zone, the window for preventive intervention is minimal</w:t>
      </w:r>
      <w:r>
        <w:rPr>
          <w:vertAlign w:val="superscript"/>
        </w:rPr>
        <w:t xml:space="preserve">35,70</w:t>
      </w:r>
      <w:r>
        <w:t xml:space="preserve">. The identified 4–6 week lag between littoral proliferation and lacustrine contamination establishes a quantifiable window for risk mitigation. By deploying littoral sentinel sites, utilities can move beyond reactive crisis management—such as emergency high-dose activated carbon application—toward preventive catchment-based strategies.</w:t>
      </w:r>
    </w:p>
    <w:tbl>
      <w:tblPr>
        <w:tblStyle w:val="Table"/>
        <w:tblW w:type="pct" w:w="5000"/>
        <w:tblLayout w:type="fixed"/>
        <w:tblLook w:firstRow="0" w:lastRow="0" w:firstColumn="0" w:lastColumn="0" w:noHBand="0" w:noVBand="0" w:val="0000"/>
      </w:tblPr>
      <w:tblGrid>
        <w:gridCol w:w="7920"/>
      </w:tblGrid>
      <w:tr>
        <w:tc>
          <w:tcPr/>
          <w:bookmarkStart w:id="64" w:name="fig-sketch"/>
          <w:p>
            <w:pPr>
              <w:pStyle w:val="Compact"/>
              <w:jc w:val="center"/>
            </w:pPr>
            <w:r>
              <w:drawing>
                <wp:inline>
                  <wp:extent cx="4602480" cy="1890488"/>
                  <wp:effectExtent b="0" l="0" r="0" t="0"/>
                  <wp:docPr descr="" title="" id="62" name="Picture"/>
                  <a:graphic>
                    <a:graphicData uri="http://schemas.openxmlformats.org/drawingml/2006/picture">
                      <pic:pic>
                        <pic:nvPicPr>
                          <pic:cNvPr descr="../figures/sketch_revised.png" id="63" name="Picture"/>
                          <pic:cNvPicPr>
                            <a:picLocks noChangeArrowheads="1" noChangeAspect="1"/>
                          </pic:cNvPicPr>
                        </pic:nvPicPr>
                        <pic:blipFill>
                          <a:blip r:embed="rId61"/>
                          <a:stretch>
                            <a:fillRect/>
                          </a:stretch>
                        </pic:blipFill>
                        <pic:spPr bwMode="auto">
                          <a:xfrm>
                            <a:off x="0" y="0"/>
                            <a:ext cx="4602480" cy="1890488"/>
                          </a:xfrm>
                          <a:prstGeom prst="rect">
                            <a:avLst/>
                          </a:prstGeom>
                          <a:noFill/>
                          <a:ln w="9525">
                            <a:noFill/>
                            <a:headEnd/>
                            <a:tailEnd/>
                          </a:ln>
                        </pic:spPr>
                      </pic:pic>
                    </a:graphicData>
                  </a:graphic>
                </wp:inline>
              </w:drawing>
            </w:r>
          </w:p>
          <w:p>
            <w:pPr>
              <w:jc w:val="center"/>
            </w:pPr>
            <w:pPr>
              <w:jc w:val="start"/>
              <w:spacing w:before="200"/>
              <w:pStyle w:val="ImageCaption"/>
            </w:pPr>
            <w:r>
              <w:t xml:space="preserve">Fig. 6: Conceptual model of littoral-initiated geosmin transport and its implications for monitoring strategy. A sketch illustrating the spatiotemporal progression of geosmin episodes: (1) high metabolic activity of cyanobacteria (e.g.,</w:t>
            </w:r>
            <w:r>
              <w:t xml:space="preserve"> </w:t>
            </w:r>
            <w:r>
              <w:rPr>
                <w:i/>
                <w:iCs/>
              </w:rPr>
              <w:t xml:space="preserve">Planktothrix agardhii</w:t>
            </w:r>
            <w:r>
              <w:t xml:space="preserve">) in the littoral zone, driven by nutrient inputs and favorable light conditions; (2) advection of produced geosmin and biomass into the limnetic zone, resulting in a transport lag; (3) accumulation of geosmin in the lacustrine zone (dam intake), posing an immediate treatment challenge; and (4) the proposed monitoring shift from conventional reactive intake-focused sampling to proactive early detection in littoral zones, providing critical warning time for preventive measures.</w:t>
            </w:r>
          </w:p>
          <w:bookmarkEnd w:id="64"/>
        </w:tc>
      </w:tr>
    </w:tbl>
    <w:p>
      <w:pPr>
        <w:pStyle w:val="BodyText"/>
      </w:pPr>
      <w:r>
        <w:t xml:space="preserve">For example, reservoir operations, including selective withdrawal or hydrodynamic controls, can be adjusted to disrupt the transport of geosmin-rich water masses before they reach critical intake depths</w:t>
      </w:r>
      <w:r>
        <w:rPr>
          <w:vertAlign w:val="superscript"/>
        </w:rPr>
        <w:t xml:space="preserve">36,71,72</w:t>
      </w:r>
      <w:r>
        <w:t xml:space="preserve">. Focusing surveillance on littoral production zones provides a 4–6 week lead time—supported by the lagged correlation at YQ01 (R</w:t>
      </w:r>
      <w:r>
        <w:rPr>
          <w:vertAlign w:val="superscript"/>
        </w:rPr>
        <w:t xml:space="preserve">2</w:t>
      </w:r>
      <w:r>
        <w:t xml:space="preserve"> </w:t>
      </w:r>
      <w:r>
        <w:t xml:space="preserve">= 0.41 at 5 weeks). This interval allows for optimized treatment costs and proactive resource allocation to intercept risks during the incipient growth phase, aligning with modern water safety frameworks</w:t>
      </w:r>
      <w:r>
        <w:rPr>
          <w:vertAlign w:val="superscript"/>
        </w:rPr>
        <w:t xml:space="preserve">73</w:t>
      </w:r>
      <w:r>
        <w:t xml:space="preserve">.</w:t>
      </w:r>
    </w:p>
    <w:p>
      <w:pPr>
        <w:pStyle w:val="BodyText"/>
      </w:pPr>
      <w:r>
        <w:t xml:space="preserve">While the current dataset captures robust seasonal and interannual trends, longer-term observations are required to evaluate these dynamics under shifting climate scenarios. Furthermore, while</w:t>
      </w:r>
      <w:r>
        <w:t xml:space="preserve"> </w:t>
      </w:r>
      <w:r>
        <w:rPr>
          <w:i/>
          <w:iCs/>
        </w:rPr>
        <w:t xml:space="preserve">P. agardhii</w:t>
      </w:r>
      <w:r>
        <w:t xml:space="preserve"> </w:t>
      </w:r>
      <w:r>
        <w:t xml:space="preserve">is the dominant producer in this system, other reservoirs may be driven by different taxa, such as</w:t>
      </w:r>
      <w:r>
        <w:t xml:space="preserve"> </w:t>
      </w:r>
      <w:r>
        <w:rPr>
          <w:i/>
          <w:iCs/>
        </w:rPr>
        <w:t xml:space="preserve">Dolichospermum</w:t>
      </w:r>
      <w:r>
        <w:t xml:space="preserve"> </w:t>
      </w:r>
      <w:r>
        <w:t xml:space="preserve">or</w:t>
      </w:r>
      <w:r>
        <w:t xml:space="preserve"> </w:t>
      </w:r>
      <w:r>
        <w:rPr>
          <w:i/>
          <w:iCs/>
        </w:rPr>
        <w:t xml:space="preserve">Aphanizomenon</w:t>
      </w:r>
      <w:r>
        <w:rPr>
          <w:vertAlign w:val="superscript"/>
        </w:rPr>
        <w:t xml:space="preserve">45,74,75</w:t>
      </w:r>
      <w:r>
        <w:t xml:space="preserve">.</w:t>
      </w:r>
    </w:p>
    <w:p>
      <w:pPr>
        <w:pStyle w:val="BodyText"/>
      </w:pPr>
      <w:r>
        <w:t xml:space="preserve">Future research should focus on: (1) integrating molecular tools to characterize the diversity and expression of geosmin synthesis genes, (2) coupling ecological monitoring with high-resolution hydrodynamic modeling to refine transport time estimates, and (3) conducting cost-benefit analyses to evaluate the economic feasibility of expanded littoral monitoring. By establishing quantifiable early-warning indicators based on the littoral-to-lacustrine transport mechanism, this work provides a technical foundation for improving drinking water security.</w:t>
      </w:r>
    </w:p>
    <w:bookmarkEnd w:id="65"/>
    <w:bookmarkEnd w:id="66"/>
    <w:bookmarkStart w:id="67" w:name="conclusions"/>
    <w:p>
      <w:pPr>
        <w:pStyle w:val="Heading1"/>
      </w:pPr>
      <w:r>
        <w:t xml:space="preserve">Conclusions</w:t>
      </w:r>
    </w:p>
    <w:p>
      <w:pPr>
        <w:pStyle w:val="BodyText"/>
      </w:pPr>
      <w:r>
        <w:t xml:space="preserve">This study delineates a coherent spatiotemporal mechanism for geosmin episodes in Yuqiao Reservoir, integrating landscape-scale drivers, in-reservoir ecological processes, and predictive management tools. The nationwide survey confirms geosmin as a pervasive challenge across China’s drinking water sources, establishing a critical context for reservoir-specific management. Within Yuqiao, littoral zones function as critical production hotspots, where</w:t>
      </w:r>
      <w:r>
        <w:t xml:space="preserve"> </w:t>
      </w:r>
      <w:r>
        <w:rPr>
          <w:i/>
          <w:iCs/>
        </w:rPr>
        <w:t xml:space="preserve">Planktothrix agardhii</w:t>
      </w:r>
      <w:r>
        <w:t xml:space="preserve">—identified as the dominant producer—proliferates in response to local nutrient conditions, particularly ammonia. The subsequent advective transport of biomass and metabolite creates a systematic spatiotemporal decoupling, manifested as a consistent 4–6 week lag between littoral proliferation and geosmin peaks at the dam intake. This mechanistic understanding enables a paradigm shift from reactive to proactive management. The established quantitative relationship, where littoral</w:t>
      </w:r>
      <w:r>
        <w:t xml:space="preserve"> </w:t>
      </w:r>
      <w:r>
        <w:rPr>
          <w:i/>
          <w:iCs/>
        </w:rPr>
        <w:t xml:space="preserve">P. agardhii</w:t>
      </w:r>
      <w:r>
        <w:t xml:space="preserve"> </w:t>
      </w:r>
      <w:r>
        <w:t xml:space="preserve">biomass serves as a leading indicator, provides an operational early-warning window. By shifting the monitoring focus upstream to littoral sentinel sites, water utilities can implement timely interventions, thereby enhancing the security and reliability of drinking water supplies against this persistent olfactory threat.</w:t>
      </w:r>
    </w:p>
    <w:bookmarkEnd w:id="67"/>
    <w:bookmarkStart w:id="68" w:name="figures"/>
    <w:p>
      <w:pPr>
        <w:pStyle w:val="Heading1"/>
      </w:pPr>
      <w:r>
        <w:t xml:space="preserve">FIGURES</w:t>
      </w:r>
    </w:p>
    <w:p>
      <w:pPr>
        <w:pStyle w:val="Compact"/>
        <w:numPr>
          <w:ilvl w:val="0"/>
          <w:numId w:val="1001"/>
        </w:numPr>
      </w:pPr>
      <w:hyperlink w:anchor="fig-nationalgsm">
        <w:r>
          <w:rPr>
            <w:rStyle w:val="Hyperlink"/>
          </w:rPr>
          <w:t xml:space="preserve">Fig. 1</w:t>
        </w:r>
      </w:hyperlink>
      <w:r>
        <w:t xml:space="preserve">: A multi-scale visualization of geosmin occurrence: linking individual sampling sites to provincial-level aggregates (Provincial/regional aggregate bars (log-scale binned) connected to individual sampling sites. Beijing-Tianjin-Hebei and Jiangsu-Shanghai-Zhejiang are treated as single units to avoid spatial overlap).</w:t>
      </w:r>
    </w:p>
    <w:p>
      <w:pPr>
        <w:pStyle w:val="Compact"/>
        <w:numPr>
          <w:ilvl w:val="0"/>
          <w:numId w:val="1001"/>
        </w:numPr>
      </w:pPr>
      <w:hyperlink w:anchor="fig-yqgsminvest">
        <w:r>
          <w:rPr>
            <w:rStyle w:val="Hyperlink"/>
          </w:rPr>
          <w:t xml:space="preserve">Fig. 2</w:t>
        </w:r>
      </w:hyperlink>
      <w:r>
        <w:t xml:space="preserve">: Long-term dynamics of geosmin and phytoplankton community in Yuqiao Reservoir (2019–2024). (A) Seasonal and interannual variations in geosmin concentrations at the main water intake (site YQ01). (B) Heatmap showing monthly log</w:t>
      </w:r>
      <w:r>
        <w:t xml:space="preserve">10</w:t>
      </w:r>
      <w:r>
        <w:t xml:space="preserve">-transformed biomass of total phytoplankton, total cyanobacteria, and key geosmin-producing cyanobacterial genera. (C) Temporal patterns of Planktothrix agardhii biomass across sampling sites. (D-F) Microscopic image of primary geosmin producers (</w:t>
      </w:r>
      <w:r>
        <w:rPr>
          <w:i/>
          <w:iCs/>
        </w:rPr>
        <w:t xml:space="preserve">P. agardhii</w:t>
      </w:r>
      <w:r>
        <w:t xml:space="preserve">,</w:t>
      </w:r>
      <w:r>
        <w:t xml:space="preserve"> </w:t>
      </w:r>
      <w:r>
        <w:rPr>
          <w:i/>
          <w:iCs/>
        </w:rPr>
        <w:t xml:space="preserve">Dolichospermum</w:t>
      </w:r>
      <w:r>
        <w:t xml:space="preserve"> </w:t>
      </w:r>
      <w:r>
        <w:t xml:space="preserve">and</w:t>
      </w:r>
      <w:r>
        <w:t xml:space="preserve"> </w:t>
      </w:r>
      <w:r>
        <w:rPr>
          <w:i/>
          <w:iCs/>
        </w:rPr>
        <w:t xml:space="preserve">Aphanizomenon</w:t>
      </w:r>
      <w:r>
        <w:t xml:space="preserve">) . (G) Agarose gel electrophoresis image for the molecular identification of geosmin producers. (H) Spatial mapping of seasonal</w:t>
      </w:r>
      <w:r>
        <w:t xml:space="preserve"> </w:t>
      </w:r>
      <w:r>
        <w:rPr>
          <w:i/>
          <w:iCs/>
        </w:rPr>
        <w:t xml:space="preserve">P. agardhii</w:t>
      </w:r>
      <w:r>
        <w:t xml:space="preserve"> </w:t>
      </w:r>
      <w:r>
        <w:t xml:space="preserve">biomass variations at representative sampling sites overlaid on the reservoir map.</w:t>
      </w:r>
    </w:p>
    <w:p>
      <w:pPr>
        <w:pStyle w:val="Compact"/>
        <w:numPr>
          <w:ilvl w:val="0"/>
          <w:numId w:val="1001"/>
        </w:numPr>
      </w:pPr>
      <w:hyperlink w:anchor="fig-gsmepisodes">
        <w:r>
          <w:rPr>
            <w:rStyle w:val="Hyperlink"/>
          </w:rPr>
          <w:t xml:space="preserve">Fig. 3</w:t>
        </w:r>
      </w:hyperlink>
      <w:r>
        <w:t xml:space="preserve">: Spatial mapping of monthly mean geosmin concentrations during Episode 1 (April–August, A) and Episode 2 (August–December, B) in Yuqiao Reservoir.</w:t>
      </w:r>
    </w:p>
    <w:p>
      <w:pPr>
        <w:pStyle w:val="Compact"/>
        <w:numPr>
          <w:ilvl w:val="0"/>
          <w:numId w:val="1001"/>
        </w:numPr>
      </w:pPr>
      <w:hyperlink w:anchor="fig-lag">
        <w:r>
          <w:rPr>
            <w:rStyle w:val="Hyperlink"/>
          </w:rPr>
          <w:t xml:space="preserve">Fig. 4</w:t>
        </w:r>
      </w:hyperlink>
      <w:r>
        <w:t xml:space="preserve">: Time-lagged relationships between Planktothrix agardhii biomass and geosmin concentrations at near-littoral and dam sites. (A) Correlation coefficients (R</w:t>
      </w:r>
      <w:r>
        <w:rPr>
          <w:vertAlign w:val="superscript"/>
        </w:rPr>
        <w:t xml:space="preserve">2</w:t>
      </w:r>
      <w:r>
        <w:t xml:space="preserve">) between P. agardhii biomass and geosmin at different lag periods (0–5 weeks) for site YQ05 (near-littoral) and YQ01 (dam intake). (B) Linear regression models at optimal lag periods: zero lag for YQ05 and 5-week lag for YQ01. (C) Scatter plots with fitted regression lines showing the quantitative relationships between P. agardhii biomass and geosmin at each site.</w:t>
      </w:r>
    </w:p>
    <w:p>
      <w:pPr>
        <w:pStyle w:val="Compact"/>
        <w:numPr>
          <w:ilvl w:val="0"/>
          <w:numId w:val="1001"/>
        </w:numPr>
      </w:pPr>
      <w:hyperlink w:anchor="fig-mech">
        <w:r>
          <w:rPr>
            <w:rStyle w:val="Hyperlink"/>
          </w:rPr>
          <w:t xml:space="preserve">Fig. 5</w:t>
        </w:r>
      </w:hyperlink>
      <w:r>
        <w:t xml:space="preserve">: Environmental drivers and conceptual transport pathway of geosmin in Yuqiao Reservoir. (A) Principal component analysis (PCA) biplot showing relationships between geosmin and key environmental variables. (B) Log-log regressions between ammonia concentration and geosmin across littoral, transitional (YQ05), and dam (YQ01) zones. (C) Bathymetric map of Yuqiao Reservoir depicting the proposed transport pathway from littoral production zones to the central water intake.</w:t>
      </w:r>
    </w:p>
    <w:p>
      <w:pPr>
        <w:pStyle w:val="Compact"/>
        <w:numPr>
          <w:ilvl w:val="0"/>
          <w:numId w:val="1001"/>
        </w:numPr>
      </w:pPr>
      <w:hyperlink w:anchor="fig-sketch">
        <w:r>
          <w:rPr>
            <w:rStyle w:val="Hyperlink"/>
          </w:rPr>
          <w:t xml:space="preserve">Fig. 6</w:t>
        </w:r>
      </w:hyperlink>
      <w:r>
        <w:t xml:space="preserve">: Conceptual model of littoral-initiated geosmin transport and its implications for monitoring strategy. A sketch illustrating the spatiotemporal progression of geosmin episodes: (1) high metabolic activity of cyanobacteria (e.g.,</w:t>
      </w:r>
      <w:r>
        <w:t xml:space="preserve"> </w:t>
      </w:r>
      <w:r>
        <w:rPr>
          <w:i/>
          <w:iCs/>
        </w:rPr>
        <w:t xml:space="preserve">Planktothrix agardhii</w:t>
      </w:r>
      <w:r>
        <w:t xml:space="preserve">) in the littoral zone, driven by nutrient inputs and favorable light conditions; (2) advection of produced geosmin and biomass into the limnetic zone, resulting in a transport lag; (3) accumulation of geosmin in the lacustrine zone (dam intake), posing an immediate treatment challenge; and (4) the proposed monitoring shift from conventional reactive intake-focused sampling to proactive early detection in littoral zones, providing critical warning time for preventive measures.</w:t>
      </w:r>
    </w:p>
    <w:bookmarkEnd w:id="68"/>
    <w:bookmarkStart w:id="70" w:name="associated-content"/>
    <w:p>
      <w:pPr>
        <w:pStyle w:val="Heading1"/>
      </w:pPr>
      <w:r>
        <w:t xml:space="preserve">ASSOCIATED CONTENT</w:t>
      </w:r>
    </w:p>
    <w:bookmarkStart w:id="69" w:name="supporting-information"/>
    <w:p>
      <w:pPr>
        <w:pStyle w:val="Heading2"/>
      </w:pPr>
      <w:r>
        <w:t xml:space="preserve">Supporting Information</w:t>
      </w:r>
    </w:p>
    <w:p>
      <w:pPr>
        <w:pStyle w:val="BodyText"/>
      </w:pPr>
      <w:r>
        <w:t xml:space="preserve">The Supporting Information is available free of charge at https://.</w:t>
      </w:r>
    </w:p>
    <w:p>
      <w:pPr>
        <w:pStyle w:val="BodyText"/>
      </w:pPr>
      <w:r>
        <w:t xml:space="preserve">The Supporting Information provides comprehensive datasets, experimental details, and supplementary analyses supporting the main text, including: The nutrient concentrations difference in surveyed 43 reservoirs (Fig. S1); The phytoplankton composition and basic sediment characteristics in ten representative reservoirs (Figs. S2-S3); Temporal dynamics of</w:t>
      </w:r>
      <w:r>
        <w:t xml:space="preserve"> </w:t>
      </w:r>
      <w:r>
        <w:rPr>
          <w:i/>
          <w:iCs/>
        </w:rPr>
        <w:t xml:space="preserve">Microcystis</w:t>
      </w:r>
      <w:r>
        <w:t xml:space="preserve"> </w:t>
      </w:r>
      <w:r>
        <w:t xml:space="preserve">density and dissolved metals during formal sediment resuspension (SR) experiments (Figs. S4-S8); Predictive modeling of SR performance across reservoirs with varying sediment reactivity and particle size structures (Fig. S9); Temporal dynamics of dissolved metals during</w:t>
      </w:r>
      <w:r>
        <w:t xml:space="preserve"> </w:t>
      </w:r>
      <w:r>
        <w:rPr>
          <w:i/>
          <w:iCs/>
        </w:rPr>
        <w:t xml:space="preserve">in-situ</w:t>
      </w:r>
      <w:r>
        <w:t xml:space="preserve"> </w:t>
      </w:r>
      <w:r>
        <w:t xml:space="preserve">SR operation (Fig. S10); Relationships between physicochemical properties and algal removal performance of air‐dried sediments during 72‐h settling pre-experiments (Fig. S11); Sediment physicochemical properties,</w:t>
      </w:r>
      <w:r>
        <w:t xml:space="preserve"> </w:t>
      </w:r>
      <w:r>
        <w:rPr>
          <w:i/>
          <w:iCs/>
        </w:rPr>
        <w:t xml:space="preserve">Microcystis</w:t>
      </w:r>
      <w:r>
        <w:t xml:space="preserve"> </w:t>
      </w:r>
      <w:r>
        <w:t xml:space="preserve">removal efficiency, and dissolved heavy metals dynamics during the second preliminary SR experiments (Tables S1–S2; Figs. S12-S13); Scanning electron microscopy (SEM) images and real image illustrating</w:t>
      </w:r>
      <w:r>
        <w:t xml:space="preserve"> </w:t>
      </w:r>
      <w:r>
        <w:rPr>
          <w:i/>
          <w:iCs/>
        </w:rPr>
        <w:t xml:space="preserve">Microcystis</w:t>
      </w:r>
      <w:r>
        <w:t xml:space="preserve">–sediment floc formation (Figs. S14-S15); and references (PDF).</w:t>
      </w:r>
    </w:p>
    <w:bookmarkEnd w:id="69"/>
    <w:bookmarkEnd w:id="70"/>
    <w:bookmarkStart w:id="77" w:name="author-information"/>
    <w:p>
      <w:pPr>
        <w:pStyle w:val="Heading1"/>
      </w:pPr>
      <w:r>
        <w:t xml:space="preserve">AUTHOR INFORMATION</w:t>
      </w:r>
    </w:p>
    <w:bookmarkStart w:id="73" w:name="corresponding-authors"/>
    <w:p>
      <w:pPr>
        <w:pStyle w:val="Heading2"/>
      </w:pPr>
      <w:r>
        <w:t xml:space="preserve">Corresponding Authors</w:t>
      </w:r>
    </w:p>
    <w:p>
      <w:pPr>
        <w:pStyle w:val="Compact"/>
        <w:numPr>
          <w:ilvl w:val="0"/>
          <w:numId w:val="1002"/>
        </w:numPr>
      </w:pPr>
      <w:r>
        <w:rPr>
          <w:b/>
          <w:bCs/>
        </w:rPr>
        <w:t xml:space="preserve">Ming Su</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r>
        <w:t xml:space="preserve"> </w:t>
      </w:r>
      <w:r>
        <w:t xml:space="preserve">ORCID:</w:t>
      </w:r>
      <w:r>
        <w:t xml:space="preserve"> </w:t>
      </w:r>
      <w:hyperlink r:id="rId71">
        <w:r>
          <w:rPr>
            <w:rStyle w:val="Hyperlink"/>
          </w:rPr>
          <w:t xml:space="preserve">0000-0001-9821-1268</w:t>
        </w:r>
      </w:hyperlink>
      <w:r>
        <w:t xml:space="preserve">;</w:t>
      </w:r>
      <w:r>
        <w:t xml:space="preserve"> </w:t>
      </w:r>
      <w:r>
        <w:t xml:space="preserve">URL:</w:t>
      </w:r>
      <w:r>
        <w:t xml:space="preserve"> </w:t>
      </w:r>
      <w:hyperlink r:id="rId72">
        <w:r>
          <w:rPr>
            <w:rStyle w:val="Hyperlink"/>
          </w:rPr>
          <w:t xml:space="preserve">https://drwater.net/team/ming-su/</w:t>
        </w:r>
      </w:hyperlink>
      <w:r>
        <w:t xml:space="preserve">;</w:t>
      </w:r>
      <w:r>
        <w:t xml:space="preserve"> </w:t>
      </w:r>
      <w:r>
        <w:t xml:space="preserve">Email:</w:t>
      </w:r>
      <w:r>
        <w:t xml:space="preserve"> </w:t>
      </w:r>
      <w:hyperlink r:id="rId21">
        <w:r>
          <w:rPr>
            <w:rStyle w:val="Hyperlink"/>
          </w:rPr>
          <w:t xml:space="preserve">mingsu@rcees.ac.cn</w:t>
        </w:r>
      </w:hyperlink>
    </w:p>
    <w:bookmarkEnd w:id="73"/>
    <w:bookmarkStart w:id="74" w:name="authors"/>
    <w:p>
      <w:pPr>
        <w:pStyle w:val="Heading2"/>
      </w:pPr>
      <w:r>
        <w:t xml:space="preserve">Authors</w:t>
      </w:r>
    </w:p>
    <w:p>
      <w:pPr>
        <w:pStyle w:val="Compact"/>
        <w:numPr>
          <w:ilvl w:val="0"/>
          <w:numId w:val="1003"/>
        </w:numPr>
      </w:pPr>
      <w:r>
        <w:rPr>
          <w:b/>
          <w:bCs/>
        </w:rPr>
        <w:t xml:space="preserve">Yuying Gui</w:t>
      </w:r>
      <w:r>
        <w:t xml:space="preserve">:</w:t>
      </w:r>
      <w:r>
        <w:t xml:space="preserve"> </w:t>
      </w:r>
      <w:r>
        <w:rPr>
          <w:i/>
          <w:iCs/>
        </w:rPr>
        <w:t xml:space="preserve">1. College of Environmental Science and Engineering, Ocean University of China, No. 238 Songling Road, Qingdao, 266100, China; 2. Key Laboratory of Environmental Aquatic Chemistry, State Key Laboratory of Regional Environment and Sustainability, Research Center for Eco-Environmental Sciences, Chinese Academy of Sciences, Beijing 100085, China</w:t>
      </w:r>
    </w:p>
    <w:p>
      <w:pPr>
        <w:pStyle w:val="Compact"/>
        <w:numPr>
          <w:ilvl w:val="0"/>
          <w:numId w:val="1003"/>
        </w:numPr>
      </w:pPr>
      <w:r>
        <w:rPr>
          <w:b/>
          <w:bCs/>
        </w:rPr>
        <w:t xml:space="preserve">Tengxin Cao</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p>
    <w:p>
      <w:pPr>
        <w:pStyle w:val="Compact"/>
        <w:numPr>
          <w:ilvl w:val="0"/>
          <w:numId w:val="1003"/>
        </w:numPr>
      </w:pPr>
      <w:r>
        <w:rPr>
          <w:b/>
          <w:bCs/>
        </w:rPr>
        <w:t xml:space="preserve">Jie Yang</w:t>
      </w:r>
      <w:r>
        <w:t xml:space="preserve">:</w:t>
      </w:r>
      <w:r>
        <w:t xml:space="preserve"> </w:t>
      </w:r>
      <w:r>
        <w:rPr>
          <w:i/>
          <w:iCs/>
        </w:rPr>
        <w:t xml:space="preserve">Tianjin Hydraulic Research Institute, No. 60 Youyi Road, Hexi District, Tianjin, 300061, China</w:t>
      </w:r>
    </w:p>
    <w:p>
      <w:pPr>
        <w:pStyle w:val="Compact"/>
        <w:numPr>
          <w:ilvl w:val="0"/>
          <w:numId w:val="1003"/>
        </w:numPr>
      </w:pPr>
      <w:r>
        <w:rPr>
          <w:b/>
          <w:bCs/>
        </w:rPr>
        <w:t xml:space="preserve">Ziyi Yang</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p>
    <w:p>
      <w:pPr>
        <w:pStyle w:val="Compact"/>
        <w:numPr>
          <w:ilvl w:val="0"/>
          <w:numId w:val="1003"/>
        </w:numPr>
      </w:pPr>
      <w:r>
        <w:rPr>
          <w:b/>
          <w:bCs/>
        </w:rPr>
        <w:t xml:space="preserve">Qi Zhang</w:t>
      </w:r>
      <w:r>
        <w:t xml:space="preserve">:</w:t>
      </w:r>
      <w:r>
        <w:t xml:space="preserve"> </w:t>
      </w:r>
      <w:r>
        <w:rPr>
          <w:i/>
          <w:iCs/>
        </w:rPr>
        <w:t xml:space="preserve">Institute of Hydrobiology, Chinese Academy of Sciences, 7 Donghu South Road, Wuchang District, Wuhan, 430070, China</w:t>
      </w:r>
    </w:p>
    <w:p>
      <w:pPr>
        <w:pStyle w:val="Compact"/>
        <w:numPr>
          <w:ilvl w:val="0"/>
          <w:numId w:val="1003"/>
        </w:numPr>
      </w:pPr>
      <w:r>
        <w:rPr>
          <w:b/>
          <w:bCs/>
        </w:rPr>
        <w:t xml:space="preserve">Lin Sun</w:t>
      </w:r>
      <w:r>
        <w:t xml:space="preserve">:</w:t>
      </w:r>
      <w:r>
        <w:t xml:space="preserve"> </w:t>
      </w:r>
      <w:r>
        <w:rPr>
          <w:i/>
          <w:iCs/>
        </w:rPr>
        <w:t xml:space="preserve">Tianjin Key Laboratory of Animal and Plant Resistance, College of Life Sciences, Tianjin Normal University, Binshui West Road 393, Xiqing District, Tianjin, 300387, China</w:t>
      </w:r>
    </w:p>
    <w:p>
      <w:pPr>
        <w:pStyle w:val="Compact"/>
        <w:numPr>
          <w:ilvl w:val="0"/>
          <w:numId w:val="1003"/>
        </w:numPr>
      </w:pPr>
      <w:r>
        <w:rPr>
          <w:b/>
          <w:bCs/>
        </w:rPr>
        <w:t xml:space="preserve">Yufan Ai</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p>
    <w:p>
      <w:pPr>
        <w:pStyle w:val="Compact"/>
        <w:numPr>
          <w:ilvl w:val="0"/>
          <w:numId w:val="1003"/>
        </w:numPr>
      </w:pPr>
      <w:r>
        <w:rPr>
          <w:b/>
          <w:bCs/>
        </w:rPr>
        <w:t xml:space="preserve">Jiao Fang</w:t>
      </w:r>
      <w:r>
        <w:t xml:space="preserve">:</w:t>
      </w:r>
      <w:r>
        <w:t xml:space="preserve"> </w:t>
      </w:r>
      <w:r>
        <w:rPr>
          <w:i/>
          <w:iCs/>
        </w:rPr>
        <w:t xml:space="preserve">1. School of Environment and Spatial Informatics, China University of Mining and Technology, No. 1 Daxue Road, Xuzhou, 221116, China; 2. Key Laboratory of Environmental Aquatic Chemistry, State Key Laboratory of Regional Environment and Sustainability, Research Center for Eco-Environmental Sciences, Chinese Academy of Sciences, Beijing 100085, China</w:t>
      </w:r>
    </w:p>
    <w:p>
      <w:pPr>
        <w:pStyle w:val="Compact"/>
        <w:numPr>
          <w:ilvl w:val="0"/>
          <w:numId w:val="1003"/>
        </w:numPr>
      </w:pPr>
      <w:r>
        <w:rPr>
          <w:b/>
          <w:bCs/>
        </w:rPr>
        <w:t xml:space="preserve">Yingjie Li</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p>
    <w:bookmarkEnd w:id="74"/>
    <w:bookmarkStart w:id="75" w:name="author-contributions"/>
    <w:p>
      <w:pPr>
        <w:pStyle w:val="Heading2"/>
      </w:pPr>
      <w:r>
        <w:t xml:space="preserve">Author contributions</w:t>
      </w:r>
    </w:p>
    <w:p>
      <w:pPr>
        <w:pStyle w:val="BodyText"/>
      </w:pPr>
      <w:r>
        <w:t xml:space="preserve">Yuying Gui (Equal contributor) and Tengxin Cao (Equal contributor) jointly contributed to methodology design and formal analysis. Yuying Gui also provided support from Ocean University of China. Jie Yang contributed to conceptualization and methodology. Ming Su (Corresponding Author) led conceptualization, formal analysis, and visualization, and was responsible for original draft writing, manuscript editing, project administration, and supervision. Ziyi Yang, Qi Zhang and Lin Sun provided methodology support from their respective institutes. Yufan Ai and Yingjie Li assisted in methodology and formal analysis. Min Yang provided supervision and supported the project coordination from the Research Center for Eco-Environmental Sciences.</w:t>
      </w:r>
    </w:p>
    <w:bookmarkEnd w:id="75"/>
    <w:bookmarkStart w:id="76" w:name="notes"/>
    <w:p>
      <w:pPr>
        <w:pStyle w:val="Heading2"/>
      </w:pPr>
      <w:r>
        <w:t xml:space="preserve">Notes</w:t>
      </w:r>
    </w:p>
    <w:p>
      <w:pPr>
        <w:pStyle w:val="BodyText"/>
      </w:pPr>
      <w:r>
        <w:t xml:space="preserve">The authors declare no competing financial interest.</w:t>
      </w:r>
    </w:p>
    <w:bookmarkEnd w:id="76"/>
    <w:bookmarkEnd w:id="77"/>
    <w:bookmarkStart w:id="78" w:name="acknowledgements"/>
    <w:p>
      <w:pPr>
        <w:pStyle w:val="Heading1"/>
      </w:pPr>
      <w:r>
        <w:t xml:space="preserve">Acknowledgements</w:t>
      </w:r>
    </w:p>
    <w:p>
      <w:pPr>
        <w:pStyle w:val="BodyText"/>
      </w:pPr>
      <w:r>
        <w:t xml:space="preserve">This work was financially supported by the National Natural Science Foundation of China (52030002, 51878649), and Youth Innovation Promotion Association CAS.</w:t>
      </w:r>
    </w:p>
    <w:bookmarkEnd w:id="78"/>
    <w:bookmarkStart w:id="226" w:name="references"/>
    <w:p>
      <w:pPr>
        <w:pStyle w:val="Heading1"/>
      </w:pPr>
      <w:r>
        <w:t xml:space="preserve">References</w:t>
      </w:r>
    </w:p>
    <w:bookmarkStart w:id="225" w:name="refs"/>
    <w:bookmarkStart w:id="80" w:name="ref-huisman2018cyanobacterial"/>
    <w:p>
      <w:pPr>
        <w:pStyle w:val="Bibliography"/>
      </w:pPr>
      <w:r>
        <w:t xml:space="preserve">(1)</w:t>
      </w:r>
      <w:r>
        <w:t xml:space="preserve"> </w:t>
      </w:r>
      <w:r>
        <w:t xml:space="preserve">	</w:t>
      </w:r>
      <w:r>
        <w:t xml:space="preserve">Huisman, J.; Codd, G. A.; Paerl, H. W.; Ibelings, B. W.; Verspagen, J. M. H.; Visser, P. M. Cyanobacterial Blooms.</w:t>
      </w:r>
      <w:r>
        <w:t xml:space="preserve"> </w:t>
      </w:r>
      <w:r>
        <w:rPr>
          <w:i/>
          <w:iCs/>
        </w:rPr>
        <w:t xml:space="preserve">Nature Reviews Microbiology</w:t>
      </w:r>
      <w:r>
        <w:t xml:space="preserve"> </w:t>
      </w:r>
      <w:r>
        <w:rPr>
          <w:b/>
          <w:bCs/>
        </w:rPr>
        <w:t xml:space="preserve">2018</w:t>
      </w:r>
      <w:r>
        <w:t xml:space="preserve">,</w:t>
      </w:r>
      <w:r>
        <w:t xml:space="preserve"> </w:t>
      </w:r>
      <w:r>
        <w:rPr>
          <w:i/>
          <w:iCs/>
        </w:rPr>
        <w:t xml:space="preserve">16</w:t>
      </w:r>
      <w:r>
        <w:t xml:space="preserve"> </w:t>
      </w:r>
      <w:r>
        <w:t xml:space="preserve">(8), 471–483. https://doi.org/</w:t>
      </w:r>
      <w:hyperlink r:id="rId79">
        <w:r>
          <w:rPr>
            <w:rStyle w:val="Hyperlink"/>
          </w:rPr>
          <w:t xml:space="preserve">10.1038/s41579-018-0040-1</w:t>
        </w:r>
      </w:hyperlink>
      <w:r>
        <w:t xml:space="preserve">.</w:t>
      </w:r>
    </w:p>
    <w:bookmarkEnd w:id="80"/>
    <w:bookmarkStart w:id="82" w:name="ref-paerl2001harmful"/>
    <w:p>
      <w:pPr>
        <w:pStyle w:val="Bibliography"/>
      </w:pPr>
      <w:r>
        <w:t xml:space="preserve">(2)</w:t>
      </w:r>
      <w:r>
        <w:t xml:space="preserve"> </w:t>
      </w:r>
      <w:r>
        <w:t xml:space="preserve">	</w:t>
      </w:r>
      <w:r>
        <w:t xml:space="preserve">Paerl, H. W.; Fulton, R. S.; Moisander, P. H.; Dyble, J. Harmful Freshwater Algal Blooms, with an Emphasis on Cyanobacteria.</w:t>
      </w:r>
      <w:r>
        <w:t xml:space="preserve"> </w:t>
      </w:r>
      <w:r>
        <w:rPr>
          <w:i/>
          <w:iCs/>
        </w:rPr>
        <w:t xml:space="preserve">The Scientific World Journal</w:t>
      </w:r>
      <w:r>
        <w:t xml:space="preserve"> </w:t>
      </w:r>
      <w:r>
        <w:rPr>
          <w:b/>
          <w:bCs/>
        </w:rPr>
        <w:t xml:space="preserve">2001</w:t>
      </w:r>
      <w:r>
        <w:t xml:space="preserve">,</w:t>
      </w:r>
      <w:r>
        <w:t xml:space="preserve"> </w:t>
      </w:r>
      <w:r>
        <w:rPr>
          <w:i/>
          <w:iCs/>
        </w:rPr>
        <w:t xml:space="preserve">1</w:t>
      </w:r>
      <w:r>
        <w:t xml:space="preserve">, 76–113. https://doi.org/</w:t>
      </w:r>
      <w:hyperlink r:id="rId81">
        <w:r>
          <w:rPr>
            <w:rStyle w:val="Hyperlink"/>
          </w:rPr>
          <w:t xml:space="preserve">10.1100/tsw.2001.16</w:t>
        </w:r>
      </w:hyperlink>
      <w:r>
        <w:t xml:space="preserve">.</w:t>
      </w:r>
    </w:p>
    <w:bookmarkEnd w:id="82"/>
    <w:bookmarkStart w:id="84" w:name="ref-heisler2008eutrophication"/>
    <w:p>
      <w:pPr>
        <w:pStyle w:val="Bibliography"/>
      </w:pPr>
      <w:r>
        <w:t xml:space="preserve">(3)</w:t>
      </w:r>
      <w:r>
        <w:t xml:space="preserve"> </w:t>
      </w:r>
      <w:r>
        <w:t xml:space="preserve">	</w:t>
      </w:r>
      <w:r>
        <w:t xml:space="preserve">Heisler, J.; Glibert, P. M.; Burkholder, J. M.; Anderson, D. M.; Cochlan, W.; Dennison, W. C.; Dortch, Q.; Gobler, C. J.; Heil, C. A.; Humphries, E.; Lewitus, A.; Magnien, R.; Marshall, H. G.; Sellner, K.; Stockwell, D. A.; Stoecker, D. K.; Suddleson, M. Eutrophication and Harmful Algal Blooms: A Scientific Consensus.</w:t>
      </w:r>
      <w:r>
        <w:t xml:space="preserve"> </w:t>
      </w:r>
      <w:r>
        <w:rPr>
          <w:i/>
          <w:iCs/>
        </w:rPr>
        <w:t xml:space="preserve">Harmful Algae</w:t>
      </w:r>
      <w:r>
        <w:t xml:space="preserve"> </w:t>
      </w:r>
      <w:r>
        <w:rPr>
          <w:b/>
          <w:bCs/>
        </w:rPr>
        <w:t xml:space="preserve">2008</w:t>
      </w:r>
      <w:r>
        <w:t xml:space="preserve">,</w:t>
      </w:r>
      <w:r>
        <w:t xml:space="preserve"> </w:t>
      </w:r>
      <w:r>
        <w:rPr>
          <w:i/>
          <w:iCs/>
        </w:rPr>
        <w:t xml:space="preserve">8</w:t>
      </w:r>
      <w:r>
        <w:t xml:space="preserve"> </w:t>
      </w:r>
      <w:r>
        <w:t xml:space="preserve">(1), 3–13. https://doi.org/</w:t>
      </w:r>
      <w:hyperlink r:id="rId83">
        <w:r>
          <w:rPr>
            <w:rStyle w:val="Hyperlink"/>
          </w:rPr>
          <w:t xml:space="preserve">10.1016/j.hal.2008.08.006</w:t>
        </w:r>
      </w:hyperlink>
      <w:r>
        <w:t xml:space="preserve">.</w:t>
      </w:r>
    </w:p>
    <w:bookmarkEnd w:id="84"/>
    <w:bookmarkStart w:id="86" w:name="ref-feng2021concerns"/>
    <w:p>
      <w:pPr>
        <w:pStyle w:val="Bibliography"/>
      </w:pPr>
      <w:r>
        <w:t xml:space="preserve">(4)</w:t>
      </w:r>
      <w:r>
        <w:t xml:space="preserve"> </w:t>
      </w:r>
      <w:r>
        <w:t xml:space="preserve">	</w:t>
      </w:r>
      <w:r>
        <w:t xml:space="preserve">Feng, L.; Dai, Y.; Hou, X.; Xu, Y.; Liu, J.; Zheng, C. Concerns about Phytoplankton Bloom Trends in Global Lakes.</w:t>
      </w:r>
      <w:r>
        <w:t xml:space="preserve"> </w:t>
      </w:r>
      <w:r>
        <w:rPr>
          <w:i/>
          <w:iCs/>
        </w:rPr>
        <w:t xml:space="preserve">Nature</w:t>
      </w:r>
      <w:r>
        <w:t xml:space="preserve"> </w:t>
      </w:r>
      <w:r>
        <w:rPr>
          <w:b/>
          <w:bCs/>
        </w:rPr>
        <w:t xml:space="preserve">2021</w:t>
      </w:r>
      <w:r>
        <w:t xml:space="preserve">,</w:t>
      </w:r>
      <w:r>
        <w:t xml:space="preserve"> </w:t>
      </w:r>
      <w:r>
        <w:rPr>
          <w:i/>
          <w:iCs/>
        </w:rPr>
        <w:t xml:space="preserve">590</w:t>
      </w:r>
      <w:r>
        <w:t xml:space="preserve"> </w:t>
      </w:r>
      <w:r>
        <w:t xml:space="preserve">(7846), E35–E47. https://doi.org/</w:t>
      </w:r>
      <w:hyperlink r:id="rId85">
        <w:r>
          <w:rPr>
            <w:rStyle w:val="Hyperlink"/>
          </w:rPr>
          <w:t xml:space="preserve">10.1038/s41586-021-03254-3</w:t>
        </w:r>
      </w:hyperlink>
      <w:r>
        <w:t xml:space="preserve">.</w:t>
      </w:r>
    </w:p>
    <w:bookmarkEnd w:id="86"/>
    <w:bookmarkStart w:id="88" w:name="ref-woolway2020global"/>
    <w:p>
      <w:pPr>
        <w:pStyle w:val="Bibliography"/>
      </w:pPr>
      <w:r>
        <w:t xml:space="preserve">(5)</w:t>
      </w:r>
      <w:r>
        <w:t xml:space="preserve"> </w:t>
      </w:r>
      <w:r>
        <w:t xml:space="preserve">	</w:t>
      </w:r>
      <w:r>
        <w:t xml:space="preserve">Woolway, R. I.; Kraemer, B. M.; Lenters, J. D.; Merchant, C. J.; O’Reilly, C. M.; Sharma, S. Global Lake Responses to Climate Change.</w:t>
      </w:r>
      <w:r>
        <w:t xml:space="preserve"> </w:t>
      </w:r>
      <w:r>
        <w:rPr>
          <w:i/>
          <w:iCs/>
        </w:rPr>
        <w:t xml:space="preserve">Nature Reviews Earth &amp;amp; Environment</w:t>
      </w:r>
      <w:r>
        <w:t xml:space="preserve"> </w:t>
      </w:r>
      <w:r>
        <w:rPr>
          <w:b/>
          <w:bCs/>
        </w:rPr>
        <w:t xml:space="preserve">2020</w:t>
      </w:r>
      <w:r>
        <w:t xml:space="preserve">,</w:t>
      </w:r>
      <w:r>
        <w:t xml:space="preserve"> </w:t>
      </w:r>
      <w:r>
        <w:rPr>
          <w:i/>
          <w:iCs/>
        </w:rPr>
        <w:t xml:space="preserve">1</w:t>
      </w:r>
      <w:r>
        <w:t xml:space="preserve"> </w:t>
      </w:r>
      <w:r>
        <w:t xml:space="preserve">(8), 388–403. https://doi.org/</w:t>
      </w:r>
      <w:hyperlink r:id="rId87">
        <w:r>
          <w:rPr>
            <w:rStyle w:val="Hyperlink"/>
          </w:rPr>
          <w:t xml:space="preserve">10.1038/s43017-020-0067-5</w:t>
        </w:r>
      </w:hyperlink>
      <w:r>
        <w:t xml:space="preserve">.</w:t>
      </w:r>
    </w:p>
    <w:bookmarkEnd w:id="88"/>
    <w:bookmarkStart w:id="90" w:name="ref-paerl2012climate"/>
    <w:p>
      <w:pPr>
        <w:pStyle w:val="Bibliography"/>
      </w:pPr>
      <w:r>
        <w:t xml:space="preserve">(6)</w:t>
      </w:r>
      <w:r>
        <w:t xml:space="preserve"> </w:t>
      </w:r>
      <w:r>
        <w:t xml:space="preserve">	</w:t>
      </w:r>
      <w:r>
        <w:t xml:space="preserve">Paerl, H. W.; Paul, V. J. Climate Change: Links to Global Expansion of Harmful Cyanobacteria.</w:t>
      </w:r>
      <w:r>
        <w:t xml:space="preserve"> </w:t>
      </w:r>
      <w:r>
        <w:rPr>
          <w:i/>
          <w:iCs/>
        </w:rPr>
        <w:t xml:space="preserve">Water Research</w:t>
      </w:r>
      <w:r>
        <w:t xml:space="preserve"> </w:t>
      </w:r>
      <w:r>
        <w:rPr>
          <w:b/>
          <w:bCs/>
        </w:rPr>
        <w:t xml:space="preserve">2012</w:t>
      </w:r>
      <w:r>
        <w:t xml:space="preserve">,</w:t>
      </w:r>
      <w:r>
        <w:t xml:space="preserve"> </w:t>
      </w:r>
      <w:r>
        <w:rPr>
          <w:i/>
          <w:iCs/>
        </w:rPr>
        <w:t xml:space="preserve">46</w:t>
      </w:r>
      <w:r>
        <w:t xml:space="preserve"> </w:t>
      </w:r>
      <w:r>
        <w:t xml:space="preserve">(5), 1349–1363. https://doi.org/</w:t>
      </w:r>
      <w:hyperlink r:id="rId89">
        <w:r>
          <w:rPr>
            <w:rStyle w:val="Hyperlink"/>
          </w:rPr>
          <w:t xml:space="preserve">10.1016/j.watres.2011.08.002</w:t>
        </w:r>
      </w:hyperlink>
      <w:r>
        <w:t xml:space="preserve">.</w:t>
      </w:r>
    </w:p>
    <w:bookmarkEnd w:id="90"/>
    <w:bookmarkStart w:id="92" w:name="ref-oneil2012rise"/>
    <w:p>
      <w:pPr>
        <w:pStyle w:val="Bibliography"/>
      </w:pPr>
      <w:r>
        <w:t xml:space="preserve">(7)</w:t>
      </w:r>
      <w:r>
        <w:t xml:space="preserve"> </w:t>
      </w:r>
      <w:r>
        <w:t xml:space="preserve">	</w:t>
      </w:r>
      <w:r>
        <w:t xml:space="preserve">O’neil, J. m.; Davis, T. w.; Burford, M. a.; Gobler, C. j. The Rise of Harmful Cyanobacteria Blooms: The Potential Roles of Eutrophication and Climate Change.</w:t>
      </w:r>
      <w:r>
        <w:t xml:space="preserve"> </w:t>
      </w:r>
      <w:r>
        <w:rPr>
          <w:i/>
          <w:iCs/>
        </w:rPr>
        <w:t xml:space="preserve">Harmful Algae</w:t>
      </w:r>
      <w:r>
        <w:t xml:space="preserve"> </w:t>
      </w:r>
      <w:r>
        <w:rPr>
          <w:b/>
          <w:bCs/>
        </w:rPr>
        <w:t xml:space="preserve">2012</w:t>
      </w:r>
      <w:r>
        <w:t xml:space="preserve">,</w:t>
      </w:r>
      <w:r>
        <w:t xml:space="preserve"> </w:t>
      </w:r>
      <w:r>
        <w:rPr>
          <w:i/>
          <w:iCs/>
        </w:rPr>
        <w:t xml:space="preserve">14</w:t>
      </w:r>
      <w:r>
        <w:t xml:space="preserve"> </w:t>
      </w:r>
      <w:r>
        <w:t xml:space="preserve">(0), 313–334. https://doi.org/</w:t>
      </w:r>
      <w:hyperlink r:id="rId91">
        <w:r>
          <w:rPr>
            <w:rStyle w:val="Hyperlink"/>
          </w:rPr>
          <w:t xml:space="preserve">10.1016/j.hal.2011.10.027</w:t>
        </w:r>
      </w:hyperlink>
      <w:r>
        <w:t xml:space="preserve">.</w:t>
      </w:r>
    </w:p>
    <w:bookmarkEnd w:id="92"/>
    <w:bookmarkStart w:id="94" w:name="ref-rousso2020a"/>
    <w:p>
      <w:pPr>
        <w:pStyle w:val="Bibliography"/>
      </w:pPr>
      <w:r>
        <w:t xml:space="preserve">(8)</w:t>
      </w:r>
      <w:r>
        <w:t xml:space="preserve"> </w:t>
      </w:r>
      <w:r>
        <w:t xml:space="preserve">	</w:t>
      </w:r>
      <w:r>
        <w:t xml:space="preserve">Rousso, B. Z.; Bertone, E.; Stewart, R.; Hamilton, D. P. A Systematic Literature Review of Forecasting and Predictive Models for Cyanobacteria Blooms in Freshwater Lakes.</w:t>
      </w:r>
      <w:r>
        <w:t xml:space="preserve"> </w:t>
      </w:r>
      <w:r>
        <w:rPr>
          <w:i/>
          <w:iCs/>
        </w:rPr>
        <w:t xml:space="preserve">Water Research</w:t>
      </w:r>
      <w:r>
        <w:t xml:space="preserve"> </w:t>
      </w:r>
      <w:r>
        <w:rPr>
          <w:b/>
          <w:bCs/>
        </w:rPr>
        <w:t xml:space="preserve">2020</w:t>
      </w:r>
      <w:r>
        <w:t xml:space="preserve">,</w:t>
      </w:r>
      <w:r>
        <w:t xml:space="preserve"> </w:t>
      </w:r>
      <w:r>
        <w:rPr>
          <w:i/>
          <w:iCs/>
        </w:rPr>
        <w:t xml:space="preserve">182</w:t>
      </w:r>
      <w:r>
        <w:t xml:space="preserve">, 115959. https://doi.org/</w:t>
      </w:r>
      <w:hyperlink r:id="rId93">
        <w:r>
          <w:rPr>
            <w:rStyle w:val="Hyperlink"/>
          </w:rPr>
          <w:t xml:space="preserve">10.1016/j.watres.2020.115959</w:t>
        </w:r>
      </w:hyperlink>
      <w:r>
        <w:t xml:space="preserve">.</w:t>
      </w:r>
    </w:p>
    <w:bookmarkEnd w:id="94"/>
    <w:bookmarkStart w:id="96" w:name="ref-zhang2023harmful"/>
    <w:p>
      <w:pPr>
        <w:pStyle w:val="Bibliography"/>
      </w:pPr>
      <w:r>
        <w:t xml:space="preserve">(9)</w:t>
      </w:r>
      <w:r>
        <w:t xml:space="preserve"> </w:t>
      </w:r>
      <w:r>
        <w:t xml:space="preserve">	</w:t>
      </w:r>
      <w:r>
        <w:t xml:space="preserve">Zhang, Y.; Whalen, J. K.; Cai, C.; Shan, K.; Zhou, H. Harmful Cyanobacteria-Diatom/Dinoflagellate Blooms and Their Cyanotoxins in Freshwaters: A Nonnegligible Chronic Health and Ecological Hazard.</w:t>
      </w:r>
      <w:r>
        <w:t xml:space="preserve"> </w:t>
      </w:r>
      <w:r>
        <w:rPr>
          <w:i/>
          <w:iCs/>
        </w:rPr>
        <w:t xml:space="preserve">Water Research</w:t>
      </w:r>
      <w:r>
        <w:t xml:space="preserve"> </w:t>
      </w:r>
      <w:r>
        <w:rPr>
          <w:b/>
          <w:bCs/>
        </w:rPr>
        <w:t xml:space="preserve">2023</w:t>
      </w:r>
      <w:r>
        <w:t xml:space="preserve">,</w:t>
      </w:r>
      <w:r>
        <w:t xml:space="preserve"> </w:t>
      </w:r>
      <w:r>
        <w:rPr>
          <w:i/>
          <w:iCs/>
        </w:rPr>
        <w:t xml:space="preserve">233</w:t>
      </w:r>
      <w:r>
        <w:t xml:space="preserve">, 119807. https://doi.org/</w:t>
      </w:r>
      <w:hyperlink r:id="rId95">
        <w:r>
          <w:rPr>
            <w:rStyle w:val="Hyperlink"/>
          </w:rPr>
          <w:t xml:space="preserve">10.1016/j.watres.2023.119807</w:t>
        </w:r>
      </w:hyperlink>
      <w:r>
        <w:t xml:space="preserve">.</w:t>
      </w:r>
    </w:p>
    <w:bookmarkEnd w:id="96"/>
    <w:bookmarkStart w:id="98" w:name="ref-reinl2022the"/>
    <w:p>
      <w:pPr>
        <w:pStyle w:val="Bibliography"/>
      </w:pPr>
      <w:r>
        <w:t xml:space="preserve">(10)</w:t>
      </w:r>
      <w:r>
        <w:t xml:space="preserve"> </w:t>
      </w:r>
      <w:r>
        <w:t xml:space="preserve">	</w:t>
      </w:r>
      <w:r>
        <w:t xml:space="preserve">Reinl, K. L.; Harris, T. D.; Elfferich, I.; Coker, A.; Zhan, Q.; Domis, L. N. D. S.; Morales-Williams, A. M.; Bhattacharya, R.; Grossart, H.-P.; North, R. L.; Sweetman, J. N. The Role of Organic Nutrients in Structuring Freshwater Phytoplankton Communities in a Rapidly Changing World.</w:t>
      </w:r>
      <w:r>
        <w:t xml:space="preserve"> </w:t>
      </w:r>
      <w:r>
        <w:rPr>
          <w:i/>
          <w:iCs/>
        </w:rPr>
        <w:t xml:space="preserve">Water Research</w:t>
      </w:r>
      <w:r>
        <w:t xml:space="preserve"> </w:t>
      </w:r>
      <w:r>
        <w:rPr>
          <w:b/>
          <w:bCs/>
        </w:rPr>
        <w:t xml:space="preserve">2022</w:t>
      </w:r>
      <w:r>
        <w:t xml:space="preserve">,</w:t>
      </w:r>
      <w:r>
        <w:t xml:space="preserve"> </w:t>
      </w:r>
      <w:r>
        <w:rPr>
          <w:i/>
          <w:iCs/>
        </w:rPr>
        <w:t xml:space="preserve">219</w:t>
      </w:r>
      <w:r>
        <w:t xml:space="preserve">, 118573. https://doi.org/</w:t>
      </w:r>
      <w:hyperlink r:id="rId97">
        <w:r>
          <w:rPr>
            <w:rStyle w:val="Hyperlink"/>
          </w:rPr>
          <w:t xml:space="preserve">10.1016/j.watres.2022.118573</w:t>
        </w:r>
      </w:hyperlink>
      <w:r>
        <w:t xml:space="preserve">.</w:t>
      </w:r>
    </w:p>
    <w:bookmarkEnd w:id="98"/>
    <w:bookmarkStart w:id="100" w:name="ref-xu2009nitrogen"/>
    <w:p>
      <w:pPr>
        <w:pStyle w:val="Bibliography"/>
      </w:pPr>
      <w:r>
        <w:t xml:space="preserve">(11)</w:t>
      </w:r>
      <w:r>
        <w:t xml:space="preserve"> </w:t>
      </w:r>
      <w:r>
        <w:t xml:space="preserve">	</w:t>
      </w:r>
      <w:r>
        <w:t xml:space="preserve">Xu, H.; Paerl, H. W.; Qin, B.; Zhu, G.; Gaoa, G. Nitrogen and Phosphorus Inputs Control Phytoplankton Growth in Eutrophic</w:t>
      </w:r>
      <w:r>
        <w:t xml:space="preserve"> </w:t>
      </w:r>
      <w:r>
        <w:t xml:space="preserve">Lake Taihu</w:t>
      </w:r>
      <w:r>
        <w:t xml:space="preserve">,</w:t>
      </w:r>
      <w:r>
        <w:t xml:space="preserve"> </w:t>
      </w:r>
      <w:r>
        <w:t xml:space="preserve">China</w:t>
      </w:r>
      <w:r>
        <w:t xml:space="preserve">.</w:t>
      </w:r>
      <w:r>
        <w:t xml:space="preserve"> </w:t>
      </w:r>
      <w:r>
        <w:rPr>
          <w:i/>
          <w:iCs/>
        </w:rPr>
        <w:t xml:space="preserve">Limnology and Oceanography</w:t>
      </w:r>
      <w:r>
        <w:t xml:space="preserve"> </w:t>
      </w:r>
      <w:r>
        <w:rPr>
          <w:b/>
          <w:bCs/>
        </w:rPr>
        <w:t xml:space="preserve">2009</w:t>
      </w:r>
      <w:r>
        <w:t xml:space="preserve">,</w:t>
      </w:r>
      <w:r>
        <w:t xml:space="preserve"> </w:t>
      </w:r>
      <w:r>
        <w:rPr>
          <w:i/>
          <w:iCs/>
        </w:rPr>
        <w:t xml:space="preserve">55</w:t>
      </w:r>
      <w:r>
        <w:t xml:space="preserve"> </w:t>
      </w:r>
      <w:r>
        <w:t xml:space="preserve">(1), 420–432. https://doi.org/</w:t>
      </w:r>
      <w:hyperlink r:id="rId99">
        <w:r>
          <w:rPr>
            <w:rStyle w:val="Hyperlink"/>
          </w:rPr>
          <w:t xml:space="preserve">10.4319/lo.2010.55.1.0420</w:t>
        </w:r>
      </w:hyperlink>
      <w:r>
        <w:t xml:space="preserve">.</w:t>
      </w:r>
    </w:p>
    <w:bookmarkEnd w:id="100"/>
    <w:bookmarkStart w:id="102" w:name="ref-paerl2011controllingharmful"/>
    <w:p>
      <w:pPr>
        <w:pStyle w:val="Bibliography"/>
      </w:pPr>
      <w:r>
        <w:t xml:space="preserve">(12)</w:t>
      </w:r>
      <w:r>
        <w:t xml:space="preserve"> </w:t>
      </w:r>
      <w:r>
        <w:t xml:space="preserve">	</w:t>
      </w:r>
      <w:r>
        <w:t xml:space="preserve">Paerl, H. W.; Xu, H.; Mccarthy, M. J.; Zhu, G.; Qin, B.; Li, Y.; Gardner, W. S. Controlling Harmful Cyanobacterial Blooms in a Hyper-Eutrophic Lake (Lake Taihu,</w:t>
      </w:r>
      <w:r>
        <w:t xml:space="preserve"> </w:t>
      </w:r>
      <w:r>
        <w:t xml:space="preserve">China</w:t>
      </w:r>
      <w:r>
        <w:t xml:space="preserve">): The Need for a Dual Nutrient (n &amp; p) Management Strategy.</w:t>
      </w:r>
      <w:r>
        <w:t xml:space="preserve"> </w:t>
      </w:r>
      <w:r>
        <w:rPr>
          <w:i/>
          <w:iCs/>
        </w:rPr>
        <w:t xml:space="preserve">Water Research</w:t>
      </w:r>
      <w:r>
        <w:t xml:space="preserve"> </w:t>
      </w:r>
      <w:r>
        <w:rPr>
          <w:b/>
          <w:bCs/>
        </w:rPr>
        <w:t xml:space="preserve">2011</w:t>
      </w:r>
      <w:r>
        <w:t xml:space="preserve">,</w:t>
      </w:r>
      <w:r>
        <w:t xml:space="preserve"> </w:t>
      </w:r>
      <w:r>
        <w:rPr>
          <w:i/>
          <w:iCs/>
        </w:rPr>
        <w:t xml:space="preserve">45</w:t>
      </w:r>
      <w:r>
        <w:t xml:space="preserve"> </w:t>
      </w:r>
      <w:r>
        <w:t xml:space="preserve">(5), 1973–1983. https://doi.org/</w:t>
      </w:r>
      <w:hyperlink r:id="rId101">
        <w:r>
          <w:rPr>
            <w:rStyle w:val="Hyperlink"/>
          </w:rPr>
          <w:t xml:space="preserve">10.1016/j.watres.2010.09.018</w:t>
        </w:r>
      </w:hyperlink>
      <w:r>
        <w:t xml:space="preserve">.</w:t>
      </w:r>
    </w:p>
    <w:bookmarkEnd w:id="102"/>
    <w:bookmarkStart w:id="104" w:name="ref-kosten2011warmer"/>
    <w:p>
      <w:pPr>
        <w:pStyle w:val="Bibliography"/>
      </w:pPr>
      <w:r>
        <w:t xml:space="preserve">(13)</w:t>
      </w:r>
      <w:r>
        <w:t xml:space="preserve"> </w:t>
      </w:r>
      <w:r>
        <w:t xml:space="preserve">	</w:t>
      </w:r>
      <w:r>
        <w:t xml:space="preserve">Kosten, S.; Huszar, V. L. M.; Bécares, E.; Costa, L. S.; Donk, E. van; Hansson, L.; Jeppesen, E.; Kruk, C.; Lacerot, G.; Mazzeo, N.; De Meester, L.; Moss, B.; Lürling, M.; Nõges, T.; Romo, S.; Scheffer, M. Warmer Climates Boost Cyanobacterial Dominance in Shallow Lakes.</w:t>
      </w:r>
      <w:r>
        <w:t xml:space="preserve"> </w:t>
      </w:r>
      <w:r>
        <w:rPr>
          <w:i/>
          <w:iCs/>
        </w:rPr>
        <w:t xml:space="preserve">Global Change Biology</w:t>
      </w:r>
      <w:r>
        <w:t xml:space="preserve"> </w:t>
      </w:r>
      <w:r>
        <w:rPr>
          <w:b/>
          <w:bCs/>
        </w:rPr>
        <w:t xml:space="preserve">2011</w:t>
      </w:r>
      <w:r>
        <w:t xml:space="preserve">,</w:t>
      </w:r>
      <w:r>
        <w:t xml:space="preserve"> </w:t>
      </w:r>
      <w:r>
        <w:rPr>
          <w:i/>
          <w:iCs/>
        </w:rPr>
        <w:t xml:space="preserve">18</w:t>
      </w:r>
      <w:r>
        <w:t xml:space="preserve"> </w:t>
      </w:r>
      <w:r>
        <w:t xml:space="preserve">(1), 118–126. https://doi.org/</w:t>
      </w:r>
      <w:hyperlink r:id="rId103">
        <w:r>
          <w:rPr>
            <w:rStyle w:val="Hyperlink"/>
          </w:rPr>
          <w:t xml:space="preserve">10.1111/j.1365-2486.2011.02488.x</w:t>
        </w:r>
      </w:hyperlink>
      <w:r>
        <w:t xml:space="preserve">.</w:t>
      </w:r>
    </w:p>
    <w:bookmarkEnd w:id="104"/>
    <w:bookmarkStart w:id="106" w:name="ref-plaas2020toxic"/>
    <w:p>
      <w:pPr>
        <w:pStyle w:val="Bibliography"/>
      </w:pPr>
      <w:r>
        <w:t xml:space="preserve">(14)</w:t>
      </w:r>
      <w:r>
        <w:t xml:space="preserve"> </w:t>
      </w:r>
      <w:r>
        <w:t xml:space="preserve">	</w:t>
      </w:r>
      <w:r>
        <w:t xml:space="preserve">Plaas, H. E.; Paerl, H. W. Toxic Cyanobacteria: A Growing Threat to Water and Air Quality.</w:t>
      </w:r>
      <w:r>
        <w:t xml:space="preserve"> </w:t>
      </w:r>
      <w:r>
        <w:rPr>
          <w:i/>
          <w:iCs/>
        </w:rPr>
        <w:t xml:space="preserve">Environmental Science &amp;amp; Technology</w:t>
      </w:r>
      <w:r>
        <w:t xml:space="preserve"> </w:t>
      </w:r>
      <w:r>
        <w:rPr>
          <w:b/>
          <w:bCs/>
        </w:rPr>
        <w:t xml:space="preserve">2020</w:t>
      </w:r>
      <w:r>
        <w:t xml:space="preserve">,</w:t>
      </w:r>
      <w:r>
        <w:t xml:space="preserve"> </w:t>
      </w:r>
      <w:r>
        <w:rPr>
          <w:i/>
          <w:iCs/>
        </w:rPr>
        <w:t xml:space="preserve">55</w:t>
      </w:r>
      <w:r>
        <w:t xml:space="preserve"> </w:t>
      </w:r>
      <w:r>
        <w:t xml:space="preserve">(1), 44–64. https://doi.org/</w:t>
      </w:r>
      <w:hyperlink r:id="rId105">
        <w:r>
          <w:rPr>
            <w:rStyle w:val="Hyperlink"/>
          </w:rPr>
          <w:t xml:space="preserve">10.1021/acs.est.0c06653</w:t>
        </w:r>
      </w:hyperlink>
      <w:r>
        <w:t xml:space="preserve">.</w:t>
      </w:r>
    </w:p>
    <w:bookmarkEnd w:id="106"/>
    <w:bookmarkStart w:id="108" w:name="ref-carmichael2001human"/>
    <w:p>
      <w:pPr>
        <w:pStyle w:val="Bibliography"/>
      </w:pPr>
      <w:r>
        <w:t xml:space="preserve">(15)</w:t>
      </w:r>
      <w:r>
        <w:t xml:space="preserve"> </w:t>
      </w:r>
      <w:r>
        <w:t xml:space="preserve">	</w:t>
      </w:r>
      <w:r>
        <w:t xml:space="preserve">Carmichael, W. W.; Azevedo, S. M.; An, J. S.; Molica, R. J.; Jochimsen, E. M.; Lau, S.; Rinehart, K. L.; Shaw, G. R.; Eaglesham, G. K. Human Fatalities from Cyanobacteria: Chemical and Biological Evidence for Cyanotoxins.</w:t>
      </w:r>
      <w:r>
        <w:t xml:space="preserve"> </w:t>
      </w:r>
      <w:r>
        <w:rPr>
          <w:i/>
          <w:iCs/>
        </w:rPr>
        <w:t xml:space="preserve">Environmental Health Perspectives</w:t>
      </w:r>
      <w:r>
        <w:t xml:space="preserve"> </w:t>
      </w:r>
      <w:r>
        <w:rPr>
          <w:b/>
          <w:bCs/>
        </w:rPr>
        <w:t xml:space="preserve">2001</w:t>
      </w:r>
      <w:r>
        <w:t xml:space="preserve">,</w:t>
      </w:r>
      <w:r>
        <w:t xml:space="preserve"> </w:t>
      </w:r>
      <w:r>
        <w:rPr>
          <w:i/>
          <w:iCs/>
        </w:rPr>
        <w:t xml:space="preserve">109</w:t>
      </w:r>
      <w:r>
        <w:t xml:space="preserve"> </w:t>
      </w:r>
      <w:r>
        <w:t xml:space="preserve">(7), 663–668. https://doi.org/</w:t>
      </w:r>
      <w:hyperlink r:id="rId107">
        <w:r>
          <w:rPr>
            <w:rStyle w:val="Hyperlink"/>
          </w:rPr>
          <w:t xml:space="preserve">10.1289/ehp.01109663</w:t>
        </w:r>
      </w:hyperlink>
      <w:r>
        <w:t xml:space="preserve">.</w:t>
      </w:r>
    </w:p>
    <w:bookmarkEnd w:id="108"/>
    <w:bookmarkStart w:id="110" w:name="ref-merel2013state"/>
    <w:p>
      <w:pPr>
        <w:pStyle w:val="Bibliography"/>
      </w:pPr>
      <w:r>
        <w:t xml:space="preserve">(16)</w:t>
      </w:r>
      <w:r>
        <w:t xml:space="preserve"> </w:t>
      </w:r>
      <w:r>
        <w:t xml:space="preserve">	</w:t>
      </w:r>
      <w:r>
        <w:t xml:space="preserve">Merel, S.; Walker, D.; Chicana, R.; Snyder, S.; Baurès, E.; Thomas, O. State of Knowledge and Concerns on Cyanobacterial Blooms and Cyanotoxins.</w:t>
      </w:r>
      <w:r>
        <w:t xml:space="preserve"> </w:t>
      </w:r>
      <w:r>
        <w:rPr>
          <w:i/>
          <w:iCs/>
        </w:rPr>
        <w:t xml:space="preserve">Environment International</w:t>
      </w:r>
      <w:r>
        <w:t xml:space="preserve"> </w:t>
      </w:r>
      <w:r>
        <w:rPr>
          <w:b/>
          <w:bCs/>
        </w:rPr>
        <w:t xml:space="preserve">2013</w:t>
      </w:r>
      <w:r>
        <w:t xml:space="preserve">,</w:t>
      </w:r>
      <w:r>
        <w:t xml:space="preserve"> </w:t>
      </w:r>
      <w:r>
        <w:rPr>
          <w:i/>
          <w:iCs/>
        </w:rPr>
        <w:t xml:space="preserve">59</w:t>
      </w:r>
      <w:r>
        <w:t xml:space="preserve">, 303–327. https://doi.org/</w:t>
      </w:r>
      <w:hyperlink r:id="rId109">
        <w:r>
          <w:rPr>
            <w:rStyle w:val="Hyperlink"/>
          </w:rPr>
          <w:t xml:space="preserve">10.1016/j.envint.2013.06.013</w:t>
        </w:r>
      </w:hyperlink>
      <w:r>
        <w:t xml:space="preserve">.</w:t>
      </w:r>
    </w:p>
    <w:bookmarkEnd w:id="110"/>
    <w:bookmarkStart w:id="112" w:name="ref-burlingame2017humans"/>
    <w:p>
      <w:pPr>
        <w:pStyle w:val="Bibliography"/>
      </w:pPr>
      <w:r>
        <w:t xml:space="preserve">(17)</w:t>
      </w:r>
      <w:r>
        <w:t xml:space="preserve"> </w:t>
      </w:r>
      <w:r>
        <w:t xml:space="preserve">	</w:t>
      </w:r>
      <w:r>
        <w:t xml:space="preserve">Burlingame, G. A.; Doty, R. L.; Dietrich, A. M. Humans as Sensors to Evaluate Drinking Water Taste and Odor: A Review.</w:t>
      </w:r>
      <w:r>
        <w:t xml:space="preserve"> </w:t>
      </w:r>
      <w:r>
        <w:rPr>
          <w:i/>
          <w:iCs/>
        </w:rPr>
        <w:t xml:space="preserve">Journal AWWA</w:t>
      </w:r>
      <w:r>
        <w:t xml:space="preserve"> </w:t>
      </w:r>
      <w:r>
        <w:rPr>
          <w:b/>
          <w:bCs/>
        </w:rPr>
        <w:t xml:space="preserve">2017</w:t>
      </w:r>
      <w:r>
        <w:t xml:space="preserve">,</w:t>
      </w:r>
      <w:r>
        <w:t xml:space="preserve"> </w:t>
      </w:r>
      <w:r>
        <w:rPr>
          <w:i/>
          <w:iCs/>
        </w:rPr>
        <w:t xml:space="preserve">109</w:t>
      </w:r>
      <w:r>
        <w:t xml:space="preserve"> </w:t>
      </w:r>
      <w:r>
        <w:t xml:space="preserve">(11), 13–24. https://doi.org/</w:t>
      </w:r>
      <w:hyperlink r:id="rId111">
        <w:r>
          <w:rPr>
            <w:rStyle w:val="Hyperlink"/>
          </w:rPr>
          <w:t xml:space="preserve">10.5942/jawwa.2017.109.0118</w:t>
        </w:r>
      </w:hyperlink>
      <w:r>
        <w:t xml:space="preserve">.</w:t>
      </w:r>
    </w:p>
    <w:bookmarkEnd w:id="112"/>
    <w:bookmarkStart w:id="114" w:name="ref-su2015mib"/>
    <w:p>
      <w:pPr>
        <w:pStyle w:val="Bibliography"/>
      </w:pPr>
      <w:r>
        <w:t xml:space="preserve">(18)</w:t>
      </w:r>
      <w:r>
        <w:t xml:space="preserve"> </w:t>
      </w:r>
      <w:r>
        <w:t xml:space="preserve">	</w:t>
      </w:r>
      <w:r>
        <w:t xml:space="preserve">Su, M.; Yu, J.; Zhang, J.; Chen, H.; An, W.; Vogt, R. D.; Andersen, T.; Jia, D.; Wang, J.; Yang, M.</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444–453. https://doi.org/</w:t>
      </w:r>
      <w:hyperlink r:id="rId113">
        <w:r>
          <w:rPr>
            <w:rStyle w:val="Hyperlink"/>
          </w:rPr>
          <w:t xml:space="preserve">10.1016/j.watres.2014.09.038</w:t>
        </w:r>
      </w:hyperlink>
      <w:r>
        <w:t xml:space="preserve">.</w:t>
      </w:r>
    </w:p>
    <w:bookmarkEnd w:id="114"/>
    <w:bookmarkStart w:id="115" w:name="ref-lin2018taste"/>
    <w:p>
      <w:pPr>
        <w:pStyle w:val="Bibliography"/>
      </w:pPr>
      <w:r>
        <w:t xml:space="preserve">(19)</w:t>
      </w:r>
      <w:r>
        <w:t xml:space="preserve"> </w:t>
      </w:r>
      <w:r>
        <w:t xml:space="preserve">	</w:t>
      </w:r>
      <w:r>
        <w:t xml:space="preserve">Lin, T.-F.; Watson, S.; Suffet, I. H. M.</w:t>
      </w:r>
      <w:r>
        <w:t xml:space="preserve"> </w:t>
      </w:r>
      <w:r>
        <w:rPr>
          <w:i/>
          <w:iCs/>
        </w:rPr>
        <w:t xml:space="preserve">Taste and Odour in Source and Drinking Water: Causes, Controls, and Consequences</w:t>
      </w:r>
      <w:r>
        <w:t xml:space="preserve">; IWA Publishing, 2018.</w:t>
      </w:r>
    </w:p>
    <w:bookmarkEnd w:id="115"/>
    <w:bookmarkStart w:id="117" w:name="ref-yang2008taihu"/>
    <w:p>
      <w:pPr>
        <w:pStyle w:val="Bibliography"/>
      </w:pPr>
      <w:r>
        <w:t xml:space="preserve">(20)</w:t>
      </w:r>
      <w:r>
        <w:t xml:space="preserve"> </w:t>
      </w:r>
      <w:r>
        <w:t xml:space="preserve">	</w:t>
      </w:r>
      <w:r>
        <w:t xml:space="preserve">Yang, M.; Yu, J.; Li, Z.; Guo, Z.; Burch, M.; Lin, T.</w:t>
      </w:r>
      <w:r>
        <w:t xml:space="preserve"> </w:t>
      </w:r>
      <w:r>
        <w:t xml:space="preserve">Taihu Lake</w:t>
      </w:r>
      <w:r>
        <w:t xml:space="preserve"> </w:t>
      </w:r>
      <w:r>
        <w:t xml:space="preserve">Not to Blame for</w:t>
      </w:r>
      <w:r>
        <w:t xml:space="preserve"> </w:t>
      </w:r>
      <w:r>
        <w:t xml:space="preserve">Wuxi’s Woes</w:t>
      </w:r>
      <w:r>
        <w:t xml:space="preserve">.</w:t>
      </w:r>
      <w:r>
        <w:t xml:space="preserve"> </w:t>
      </w:r>
      <w:r>
        <w:rPr>
          <w:i/>
          <w:iCs/>
        </w:rPr>
        <w:t xml:space="preserve">Science</w:t>
      </w:r>
      <w:r>
        <w:t xml:space="preserve"> </w:t>
      </w:r>
      <w:r>
        <w:rPr>
          <w:b/>
          <w:bCs/>
        </w:rPr>
        <w:t xml:space="preserve">2008</w:t>
      </w:r>
      <w:r>
        <w:t xml:space="preserve">,</w:t>
      </w:r>
      <w:r>
        <w:t xml:space="preserve"> </w:t>
      </w:r>
      <w:r>
        <w:rPr>
          <w:i/>
          <w:iCs/>
        </w:rPr>
        <w:t xml:space="preserve">319</w:t>
      </w:r>
      <w:r>
        <w:t xml:space="preserve"> </w:t>
      </w:r>
      <w:r>
        <w:t xml:space="preserve">(5860), 158. https://doi.org/</w:t>
      </w:r>
      <w:hyperlink r:id="rId116">
        <w:r>
          <w:rPr>
            <w:rStyle w:val="Hyperlink"/>
          </w:rPr>
          <w:t xml:space="preserve">10.1126/science.319.5860.158a</w:t>
        </w:r>
      </w:hyperlink>
      <w:r>
        <w:t xml:space="preserve">.</w:t>
      </w:r>
    </w:p>
    <w:bookmarkEnd w:id="117"/>
    <w:bookmarkStart w:id="119" w:name="ref-sun2014occurrence"/>
    <w:p>
      <w:pPr>
        <w:pStyle w:val="Bibliography"/>
      </w:pPr>
      <w:r>
        <w:t xml:space="preserve">(21)</w:t>
      </w:r>
      <w:r>
        <w:t xml:space="preserve"> </w:t>
      </w:r>
      <w:r>
        <w:t xml:space="preserve">	</w:t>
      </w:r>
      <w:r>
        <w:t xml:space="preserve">Sun, D.; Yu, J.; Yang, M.; An, W.; Zhao, Y.; Lu, N.; Yuan, S.; Zhang, D. Occurrence of Odor Problems in Drinking Water of Major Cities Across</w:t>
      </w:r>
      <w:r>
        <w:t xml:space="preserve"> </w:t>
      </w:r>
      <w:r>
        <w:t xml:space="preserve">China</w:t>
      </w:r>
      <w:r>
        <w:t xml:space="preserve">.</w:t>
      </w:r>
      <w:r>
        <w:t xml:space="preserve"> </w:t>
      </w:r>
      <w:r>
        <w:rPr>
          <w:i/>
          <w:iCs/>
        </w:rPr>
        <w:t xml:space="preserve">Frontiers of Environmental Science &amp; Engineering</w:t>
      </w:r>
      <w:r>
        <w:t xml:space="preserve"> </w:t>
      </w:r>
      <w:r>
        <w:rPr>
          <w:b/>
          <w:bCs/>
        </w:rPr>
        <w:t xml:space="preserve">2014</w:t>
      </w:r>
      <w:r>
        <w:t xml:space="preserve">,</w:t>
      </w:r>
      <w:r>
        <w:t xml:space="preserve"> </w:t>
      </w:r>
      <w:r>
        <w:rPr>
          <w:i/>
          <w:iCs/>
        </w:rPr>
        <w:t xml:space="preserve">8</w:t>
      </w:r>
      <w:r>
        <w:t xml:space="preserve"> </w:t>
      </w:r>
      <w:r>
        <w:t xml:space="preserve">(3), 411–416. https://doi.org/</w:t>
      </w:r>
      <w:hyperlink r:id="rId118">
        <w:r>
          <w:rPr>
            <w:rStyle w:val="Hyperlink"/>
          </w:rPr>
          <w:t xml:space="preserve">10.1007/s11783-013-0577-1</w:t>
        </w:r>
      </w:hyperlink>
      <w:r>
        <w:t xml:space="preserve">.</w:t>
      </w:r>
    </w:p>
    <w:bookmarkEnd w:id="119"/>
    <w:bookmarkStart w:id="121" w:name="ref-mehnert2010competitiveness"/>
    <w:p>
      <w:pPr>
        <w:pStyle w:val="Bibliography"/>
      </w:pPr>
      <w:r>
        <w:t xml:space="preserve">(22)</w:t>
      </w:r>
      <w:r>
        <w:t xml:space="preserve"> </w:t>
      </w:r>
      <w:r>
        <w:t xml:space="preserve">	</w:t>
      </w:r>
      <w:r>
        <w:t xml:space="preserve">Mehnert, G.; Leunert, F.; Cires, S.; Johnk, K. D.; Rucker, J.; Nixdorf, B.; Wiedner, C. Competitiveness of Invasive and Native Cyanobacteria from Temperate Freshwaters Under Various Light and Temperature Conditions.</w:t>
      </w:r>
      <w:r>
        <w:t xml:space="preserve"> </w:t>
      </w:r>
      <w:r>
        <w:rPr>
          <w:i/>
          <w:iCs/>
        </w:rPr>
        <w:t xml:space="preserve">Journal of Plankton Research</w:t>
      </w:r>
      <w:r>
        <w:t xml:space="preserve"> </w:t>
      </w:r>
      <w:r>
        <w:rPr>
          <w:b/>
          <w:bCs/>
        </w:rPr>
        <w:t xml:space="preserve">2010</w:t>
      </w:r>
      <w:r>
        <w:t xml:space="preserve">,</w:t>
      </w:r>
      <w:r>
        <w:t xml:space="preserve"> </w:t>
      </w:r>
      <w:r>
        <w:rPr>
          <w:i/>
          <w:iCs/>
        </w:rPr>
        <w:t xml:space="preserve">32</w:t>
      </w:r>
      <w:r>
        <w:t xml:space="preserve"> </w:t>
      </w:r>
      <w:r>
        <w:t xml:space="preserve">(7), 1009–1021. https://doi.org/</w:t>
      </w:r>
      <w:hyperlink r:id="rId120">
        <w:r>
          <w:rPr>
            <w:rStyle w:val="Hyperlink"/>
          </w:rPr>
          <w:t xml:space="preserve">10.1093/plankt/fbq033</w:t>
        </w:r>
      </w:hyperlink>
      <w:r>
        <w:t xml:space="preserve">.</w:t>
      </w:r>
    </w:p>
    <w:bookmarkEnd w:id="121"/>
    <w:bookmarkStart w:id="123" w:name="ref-asato2003toward"/>
    <w:p>
      <w:pPr>
        <w:pStyle w:val="Bibliography"/>
      </w:pPr>
      <w:r>
        <w:t xml:space="preserve">(23)</w:t>
      </w:r>
      <w:r>
        <w:t xml:space="preserve"> </w:t>
      </w:r>
      <w:r>
        <w:t xml:space="preserve">	</w:t>
      </w:r>
      <w:r>
        <w:t xml:space="preserve">Asato, Y. Toward an Understanding of Cell Growth and the Cell Division Cycle of Unicellular Photoautotrophic Cyanobacteria.</w:t>
      </w:r>
      <w:r>
        <w:t xml:space="preserve"> </w:t>
      </w:r>
      <w:r>
        <w:rPr>
          <w:i/>
          <w:iCs/>
        </w:rPr>
        <w:t xml:space="preserve">Cellular and Molecular Life Sciences (CMLS)</w:t>
      </w:r>
      <w:r>
        <w:t xml:space="preserve"> </w:t>
      </w:r>
      <w:r>
        <w:rPr>
          <w:b/>
          <w:bCs/>
        </w:rPr>
        <w:t xml:space="preserve">2003</w:t>
      </w:r>
      <w:r>
        <w:t xml:space="preserve">,</w:t>
      </w:r>
      <w:r>
        <w:t xml:space="preserve"> </w:t>
      </w:r>
      <w:r>
        <w:rPr>
          <w:i/>
          <w:iCs/>
        </w:rPr>
        <w:t xml:space="preserve">60</w:t>
      </w:r>
      <w:r>
        <w:t xml:space="preserve"> </w:t>
      </w:r>
      <w:r>
        <w:t xml:space="preserve">(4), 663–687. https://doi.org/</w:t>
      </w:r>
      <w:hyperlink r:id="rId122">
        <w:r>
          <w:rPr>
            <w:rStyle w:val="Hyperlink"/>
          </w:rPr>
          <w:t xml:space="preserve">10.1007/s00018-003-2079-y</w:t>
        </w:r>
      </w:hyperlink>
      <w:r>
        <w:t xml:space="preserve">.</w:t>
      </w:r>
    </w:p>
    <w:bookmarkEnd w:id="123"/>
    <w:bookmarkStart w:id="125" w:name="ref-ai2025cyanobacterial"/>
    <w:p>
      <w:pPr>
        <w:pStyle w:val="Bibliography"/>
      </w:pPr>
      <w:r>
        <w:t xml:space="preserve">(24)</w:t>
      </w:r>
      <w:r>
        <w:t xml:space="preserve"> </w:t>
      </w:r>
      <w:r>
        <w:t xml:space="preserve">	</w:t>
      </w:r>
      <w:r>
        <w:t xml:space="preserve">Ai, Y.; Wu, Y.; Su, M.; Gui, Y.; Du, Y.; Fang, J.; Cao, T.; Yang, M. Cyanobacterial Crowding-Out Effects on Metabolite Partitioning: Modeling 2-Methylisoborneol (MIB) Release Dynamics and Implications.</w:t>
      </w:r>
      <w:r>
        <w:t xml:space="preserve"> </w:t>
      </w:r>
      <w:r>
        <w:rPr>
          <w:i/>
          <w:iCs/>
        </w:rPr>
        <w:t xml:space="preserve">Journal of Hazardous Materials</w:t>
      </w:r>
      <w:r>
        <w:t xml:space="preserve"> </w:t>
      </w:r>
      <w:r>
        <w:rPr>
          <w:b/>
          <w:bCs/>
        </w:rPr>
        <w:t xml:space="preserve">2025</w:t>
      </w:r>
      <w:r>
        <w:t xml:space="preserve">, 140118. https://doi.org/</w:t>
      </w:r>
      <w:hyperlink r:id="rId124">
        <w:r>
          <w:rPr>
            <w:rStyle w:val="Hyperlink"/>
          </w:rPr>
          <w:t xml:space="preserve">https://doi.org/10.1016/j.jhazmat.2025.140118</w:t>
        </w:r>
      </w:hyperlink>
      <w:r>
        <w:t xml:space="preserve">.</w:t>
      </w:r>
    </w:p>
    <w:bookmarkEnd w:id="125"/>
    <w:bookmarkStart w:id="127" w:name="ref-singh2005bioactive"/>
    <w:p>
      <w:pPr>
        <w:pStyle w:val="Bibliography"/>
      </w:pPr>
      <w:r>
        <w:t xml:space="preserve">(25)</w:t>
      </w:r>
      <w:r>
        <w:t xml:space="preserve"> </w:t>
      </w:r>
      <w:r>
        <w:t xml:space="preserve">	</w:t>
      </w:r>
      <w:r>
        <w:t xml:space="preserve">Singh, S.; Kate, B. N.; Banerjee, U. C. Bioactive Compounds from Cyanobacteria and Microalgae: An Overview.</w:t>
      </w:r>
      <w:r>
        <w:t xml:space="preserve"> </w:t>
      </w:r>
      <w:r>
        <w:rPr>
          <w:i/>
          <w:iCs/>
        </w:rPr>
        <w:t xml:space="preserve">Critical Reviews in Biotechnology</w:t>
      </w:r>
      <w:r>
        <w:t xml:space="preserve"> </w:t>
      </w:r>
      <w:r>
        <w:rPr>
          <w:b/>
          <w:bCs/>
        </w:rPr>
        <w:t xml:space="preserve">2005</w:t>
      </w:r>
      <w:r>
        <w:t xml:space="preserve">,</w:t>
      </w:r>
      <w:r>
        <w:t xml:space="preserve"> </w:t>
      </w:r>
      <w:r>
        <w:rPr>
          <w:i/>
          <w:iCs/>
        </w:rPr>
        <w:t xml:space="preserve">25</w:t>
      </w:r>
      <w:r>
        <w:t xml:space="preserve"> </w:t>
      </w:r>
      <w:r>
        <w:t xml:space="preserve">(3), 73–95. https://doi.org/</w:t>
      </w:r>
      <w:hyperlink r:id="rId126">
        <w:r>
          <w:rPr>
            <w:rStyle w:val="Hyperlink"/>
          </w:rPr>
          <w:t xml:space="preserve">10.1080/07388550500248498</w:t>
        </w:r>
      </w:hyperlink>
      <w:r>
        <w:t xml:space="preserve">.</w:t>
      </w:r>
    </w:p>
    <w:bookmarkEnd w:id="127"/>
    <w:bookmarkStart w:id="129" w:name="ref-srinivasan2011treatment"/>
    <w:p>
      <w:pPr>
        <w:pStyle w:val="Bibliography"/>
      </w:pPr>
      <w:r>
        <w:t xml:space="preserve">(26)</w:t>
      </w:r>
      <w:r>
        <w:t xml:space="preserve"> </w:t>
      </w:r>
      <w:r>
        <w:t xml:space="preserve">	</w:t>
      </w:r>
      <w:r>
        <w:t xml:space="preserve">Srinivasan, R.; Sorial, G. A. Treatment of Taste and Odor Causing Compounds 2-Methyl Isoborneol and Geosmin in Drinking Water: A Critical Review.</w:t>
      </w:r>
      <w:r>
        <w:t xml:space="preserve"> </w:t>
      </w:r>
      <w:r>
        <w:rPr>
          <w:i/>
          <w:iCs/>
        </w:rPr>
        <w:t xml:space="preserve">Journal of Environmental Sciences</w:t>
      </w:r>
      <w:r>
        <w:t xml:space="preserve"> </w:t>
      </w:r>
      <w:r>
        <w:rPr>
          <w:b/>
          <w:bCs/>
        </w:rPr>
        <w:t xml:space="preserve">2011</w:t>
      </w:r>
      <w:r>
        <w:t xml:space="preserve">,</w:t>
      </w:r>
      <w:r>
        <w:t xml:space="preserve"> </w:t>
      </w:r>
      <w:r>
        <w:rPr>
          <w:i/>
          <w:iCs/>
        </w:rPr>
        <w:t xml:space="preserve">23</w:t>
      </w:r>
      <w:r>
        <w:t xml:space="preserve"> </w:t>
      </w:r>
      <w:r>
        <w:t xml:space="preserve">(1), 1–13. https://doi.org/</w:t>
      </w:r>
      <w:hyperlink r:id="rId128">
        <w:r>
          <w:rPr>
            <w:rStyle w:val="Hyperlink"/>
          </w:rPr>
          <w:t xml:space="preserve">10.1016/s1001-0742(10)60367-1</w:t>
        </w:r>
      </w:hyperlink>
      <w:r>
        <w:t xml:space="preserve">.</w:t>
      </w:r>
    </w:p>
    <w:bookmarkEnd w:id="129"/>
    <w:bookmarkStart w:id="131" w:name="ref-mustapha2021a"/>
    <w:p>
      <w:pPr>
        <w:pStyle w:val="Bibliography"/>
      </w:pPr>
      <w:r>
        <w:t xml:space="preserve">(27)</w:t>
      </w:r>
      <w:r>
        <w:t xml:space="preserve"> </w:t>
      </w:r>
      <w:r>
        <w:t xml:space="preserve">	</w:t>
      </w:r>
      <w:r>
        <w:t xml:space="preserve">Mustapha, S.; Tijani, J. O.; Ndamitso, M. M.; Abdulkareem, A. S.; Shuaib, D. T.; Mohammed, A. K. A Critical Review on Geosmin and 2-Methylisoborneol in Water: Sources, Effects, Detection, and Removal Techniques.</w:t>
      </w:r>
      <w:r>
        <w:t xml:space="preserve"> </w:t>
      </w:r>
      <w:r>
        <w:rPr>
          <w:i/>
          <w:iCs/>
        </w:rPr>
        <w:t xml:space="preserve">Environmental Monitoring and Assessment</w:t>
      </w:r>
      <w:r>
        <w:t xml:space="preserve"> </w:t>
      </w:r>
      <w:r>
        <w:rPr>
          <w:b/>
          <w:bCs/>
        </w:rPr>
        <w:t xml:space="preserve">2021</w:t>
      </w:r>
      <w:r>
        <w:t xml:space="preserve">,</w:t>
      </w:r>
      <w:r>
        <w:t xml:space="preserve"> </w:t>
      </w:r>
      <w:r>
        <w:rPr>
          <w:i/>
          <w:iCs/>
        </w:rPr>
        <w:t xml:space="preserve">193</w:t>
      </w:r>
      <w:r>
        <w:t xml:space="preserve"> </w:t>
      </w:r>
      <w:r>
        <w:t xml:space="preserve">(4), 204. https://doi.org/</w:t>
      </w:r>
      <w:hyperlink r:id="rId130">
        <w:r>
          <w:rPr>
            <w:rStyle w:val="Hyperlink"/>
          </w:rPr>
          <w:t xml:space="preserve">10.1007/s10661-021-08980-9</w:t>
        </w:r>
      </w:hyperlink>
      <w:r>
        <w:t xml:space="preserve">.</w:t>
      </w:r>
    </w:p>
    <w:bookmarkEnd w:id="131"/>
    <w:bookmarkStart w:id="133" w:name="ref-ceronvivas2022geosmin"/>
    <w:p>
      <w:pPr>
        <w:pStyle w:val="Bibliography"/>
      </w:pPr>
      <w:r>
        <w:t xml:space="preserve">(28)</w:t>
      </w:r>
      <w:r>
        <w:t xml:space="preserve"> </w:t>
      </w:r>
      <w:r>
        <w:t xml:space="preserve">	</w:t>
      </w:r>
      <w:r>
        <w:t xml:space="preserve">Cerón-Vivas, A.; Villamizar León, M. P.; Cajigas, Á. A. Geosmin and 2-Methylisoborneol Removal in Drinking Water Treatment.</w:t>
      </w:r>
      <w:r>
        <w:t xml:space="preserve"> </w:t>
      </w:r>
      <w:r>
        <w:rPr>
          <w:i/>
          <w:iCs/>
        </w:rPr>
        <w:t xml:space="preserve">Water Practice and Technology</w:t>
      </w:r>
      <w:r>
        <w:t xml:space="preserve"> </w:t>
      </w:r>
      <w:r>
        <w:rPr>
          <w:b/>
          <w:bCs/>
        </w:rPr>
        <w:t xml:space="preserve">2022</w:t>
      </w:r>
      <w:r>
        <w:t xml:space="preserve">,</w:t>
      </w:r>
      <w:r>
        <w:t xml:space="preserve"> </w:t>
      </w:r>
      <w:r>
        <w:rPr>
          <w:i/>
          <w:iCs/>
        </w:rPr>
        <w:t xml:space="preserve">18</w:t>
      </w:r>
      <w:r>
        <w:t xml:space="preserve"> </w:t>
      </w:r>
      <w:r>
        <w:t xml:space="preserve">(1), 159–167. https://doi.org/</w:t>
      </w:r>
      <w:hyperlink r:id="rId132">
        <w:r>
          <w:rPr>
            <w:rStyle w:val="Hyperlink"/>
          </w:rPr>
          <w:t xml:space="preserve">10.2166/wpt.2022.167</w:t>
        </w:r>
      </w:hyperlink>
      <w:r>
        <w:t xml:space="preserve">.</w:t>
      </w:r>
    </w:p>
    <w:bookmarkEnd w:id="133"/>
    <w:bookmarkStart w:id="135" w:name="ref-thornton1984regional"/>
    <w:p>
      <w:pPr>
        <w:pStyle w:val="Bibliography"/>
      </w:pPr>
      <w:r>
        <w:t xml:space="preserve">(29)</w:t>
      </w:r>
      <w:r>
        <w:t xml:space="preserve"> </w:t>
      </w:r>
      <w:r>
        <w:t xml:space="preserve">	</w:t>
      </w:r>
      <w:r>
        <w:t xml:space="preserve">Thornton, K. W. REGIONAL COMPARISONS OF LAKES AND RESERVOIRS: GEOLOGY, CLIMATOLOGY, AND MORPHOLOGY.</w:t>
      </w:r>
      <w:r>
        <w:t xml:space="preserve"> </w:t>
      </w:r>
      <w:r>
        <w:rPr>
          <w:i/>
          <w:iCs/>
        </w:rPr>
        <w:t xml:space="preserve">Lake and Reservoir Management</w:t>
      </w:r>
      <w:r>
        <w:t xml:space="preserve"> </w:t>
      </w:r>
      <w:r>
        <w:rPr>
          <w:b/>
          <w:bCs/>
        </w:rPr>
        <w:t xml:space="preserve">1984</w:t>
      </w:r>
      <w:r>
        <w:t xml:space="preserve">,</w:t>
      </w:r>
      <w:r>
        <w:t xml:space="preserve"> </w:t>
      </w:r>
      <w:r>
        <w:rPr>
          <w:i/>
          <w:iCs/>
        </w:rPr>
        <w:t xml:space="preserve">1</w:t>
      </w:r>
      <w:r>
        <w:t xml:space="preserve"> </w:t>
      </w:r>
      <w:r>
        <w:t xml:space="preserve">(1), 261–265. https://doi.org/</w:t>
      </w:r>
      <w:hyperlink r:id="rId134">
        <w:r>
          <w:rPr>
            <w:rStyle w:val="Hyperlink"/>
          </w:rPr>
          <w:t xml:space="preserve">10.1080/07438148409354521</w:t>
        </w:r>
      </w:hyperlink>
      <w:r>
        <w:t xml:space="preserve">.</w:t>
      </w:r>
    </w:p>
    <w:bookmarkEnd w:id="135"/>
    <w:bookmarkStart w:id="137" w:name="ref-dordoni2023a"/>
    <w:p>
      <w:pPr>
        <w:pStyle w:val="Bibliography"/>
      </w:pPr>
      <w:r>
        <w:t xml:space="preserve">(30)</w:t>
      </w:r>
      <w:r>
        <w:t xml:space="preserve"> </w:t>
      </w:r>
      <w:r>
        <w:t xml:space="preserve">	</w:t>
      </w:r>
      <w:r>
        <w:t xml:space="preserve">Dordoni, M.; Zappalà, P.; Barth, J. A. C. A Preliminary Global Hydrochemical Comparison of Lakes and Reservoirs.</w:t>
      </w:r>
      <w:r>
        <w:t xml:space="preserve"> </w:t>
      </w:r>
      <w:r>
        <w:rPr>
          <w:i/>
          <w:iCs/>
        </w:rPr>
        <w:t xml:space="preserve">Frontiers in Water</w:t>
      </w:r>
      <w:r>
        <w:t xml:space="preserve"> </w:t>
      </w:r>
      <w:r>
        <w:rPr>
          <w:b/>
          <w:bCs/>
        </w:rPr>
        <w:t xml:space="preserve">2023</w:t>
      </w:r>
      <w:r>
        <w:t xml:space="preserve">,</w:t>
      </w:r>
      <w:r>
        <w:t xml:space="preserve"> </w:t>
      </w:r>
      <w:r>
        <w:rPr>
          <w:i/>
          <w:iCs/>
        </w:rPr>
        <w:t xml:space="preserve">5</w:t>
      </w:r>
      <w:r>
        <w:t xml:space="preserve">. https://doi.org/</w:t>
      </w:r>
      <w:hyperlink r:id="rId136">
        <w:r>
          <w:rPr>
            <w:rStyle w:val="Hyperlink"/>
          </w:rPr>
          <w:t xml:space="preserve">10.3389/frwa.2023.1084050</w:t>
        </w:r>
      </w:hyperlink>
      <w:r>
        <w:t xml:space="preserve">.</w:t>
      </w:r>
    </w:p>
    <w:bookmarkEnd w:id="137"/>
    <w:bookmarkStart w:id="139" w:name="ref-cefali2016life"/>
    <w:p>
      <w:pPr>
        <w:pStyle w:val="Bibliography"/>
      </w:pPr>
      <w:r>
        <w:t xml:space="preserve">(31)</w:t>
      </w:r>
      <w:r>
        <w:t xml:space="preserve"> </w:t>
      </w:r>
      <w:r>
        <w:t xml:space="preserve">	</w:t>
      </w:r>
      <w:r>
        <w:t xml:space="preserve">Cefalì, M. E.; Cebrian, E.; Chappuis, E.; Pinedo, S.; Terradas, M.; Mariani, S.; Ballesteros, E. Life on the Boundary: Environmental Factors as Drivers of Habitat Distribution in the Littoral Zone.</w:t>
      </w:r>
      <w:r>
        <w:t xml:space="preserve"> </w:t>
      </w:r>
      <w:r>
        <w:rPr>
          <w:i/>
          <w:iCs/>
        </w:rPr>
        <w:t xml:space="preserve">Estuarine, Coastal and Shelf Science</w:t>
      </w:r>
      <w:r>
        <w:t xml:space="preserve"> </w:t>
      </w:r>
      <w:r>
        <w:rPr>
          <w:b/>
          <w:bCs/>
        </w:rPr>
        <w:t xml:space="preserve">2016</w:t>
      </w:r>
      <w:r>
        <w:t xml:space="preserve">,</w:t>
      </w:r>
      <w:r>
        <w:t xml:space="preserve"> </w:t>
      </w:r>
      <w:r>
        <w:rPr>
          <w:i/>
          <w:iCs/>
        </w:rPr>
        <w:t xml:space="preserve">172</w:t>
      </w:r>
      <w:r>
        <w:t xml:space="preserve">, 81–92. https://doi.org/</w:t>
      </w:r>
      <w:hyperlink r:id="rId138">
        <w:r>
          <w:rPr>
            <w:rStyle w:val="Hyperlink"/>
          </w:rPr>
          <w:t xml:space="preserve">10.1016/j.ecss.2016.01.043</w:t>
        </w:r>
      </w:hyperlink>
      <w:r>
        <w:t xml:space="preserve">.</w:t>
      </w:r>
    </w:p>
    <w:bookmarkEnd w:id="139"/>
    <w:bookmarkStart w:id="141" w:name="ref-zohary2014the"/>
    <w:p>
      <w:pPr>
        <w:pStyle w:val="Bibliography"/>
      </w:pPr>
      <w:r>
        <w:t xml:space="preserve">(32)</w:t>
      </w:r>
      <w:r>
        <w:t xml:space="preserve"> </w:t>
      </w:r>
      <w:r>
        <w:t xml:space="preserve">	</w:t>
      </w:r>
      <w:r>
        <w:t xml:space="preserve">Zohary, T.; Gasith, A. The Littoral Zone. In</w:t>
      </w:r>
      <w:r>
        <w:t xml:space="preserve"> </w:t>
      </w:r>
      <w:r>
        <w:rPr>
          <w:i/>
          <w:iCs/>
        </w:rPr>
        <w:t xml:space="preserve">Lake kinneret</w:t>
      </w:r>
      <w:r>
        <w:t xml:space="preserve">; Springer Netherlands, 2014; pp 517–532. https://doi.org/</w:t>
      </w:r>
      <w:hyperlink r:id="rId140">
        <w:r>
          <w:rPr>
            <w:rStyle w:val="Hyperlink"/>
          </w:rPr>
          <w:t xml:space="preserve">10.1007/978-94-017-8944-8_29</w:t>
        </w:r>
      </w:hyperlink>
      <w:r>
        <w:t xml:space="preserve">.</w:t>
      </w:r>
    </w:p>
    <w:bookmarkEnd w:id="141"/>
    <w:bookmarkStart w:id="143" w:name="ref-juttner2007biochemical"/>
    <w:p>
      <w:pPr>
        <w:pStyle w:val="Bibliography"/>
      </w:pPr>
      <w:r>
        <w:t xml:space="preserve">(33)</w:t>
      </w:r>
      <w:r>
        <w:t xml:space="preserve"> </w:t>
      </w:r>
      <w:r>
        <w:t xml:space="preserve">	</w:t>
      </w:r>
      <w:r>
        <w:t xml:space="preserve">Jüttner, F.; Watson, S. B. Biochemical and Ecological Control of Geosmin and 2-Methylisoborneol in Source Waters.</w:t>
      </w:r>
      <w:r>
        <w:t xml:space="preserve"> </w:t>
      </w:r>
      <w:r>
        <w:rPr>
          <w:i/>
          <w:iCs/>
        </w:rPr>
        <w:t xml:space="preserve">Applied and Environmental Microbiology</w:t>
      </w:r>
      <w:r>
        <w:t xml:space="preserve"> </w:t>
      </w:r>
      <w:r>
        <w:rPr>
          <w:b/>
          <w:bCs/>
        </w:rPr>
        <w:t xml:space="preserve">2007</w:t>
      </w:r>
      <w:r>
        <w:t xml:space="preserve">,</w:t>
      </w:r>
      <w:r>
        <w:t xml:space="preserve"> </w:t>
      </w:r>
      <w:r>
        <w:rPr>
          <w:i/>
          <w:iCs/>
        </w:rPr>
        <w:t xml:space="preserve">73</w:t>
      </w:r>
      <w:r>
        <w:t xml:space="preserve"> </w:t>
      </w:r>
      <w:r>
        <w:t xml:space="preserve">(14), 4395–4406. https://doi.org/</w:t>
      </w:r>
      <w:hyperlink r:id="rId142">
        <w:r>
          <w:rPr>
            <w:rStyle w:val="Hyperlink"/>
          </w:rPr>
          <w:t xml:space="preserve">10.1128/aem.02250-06</w:t>
        </w:r>
      </w:hyperlink>
      <w:r>
        <w:t xml:space="preserve">.</w:t>
      </w:r>
    </w:p>
    <w:bookmarkEnd w:id="143"/>
    <w:bookmarkStart w:id="145" w:name="ref-watson2003cyanobacterial"/>
    <w:p>
      <w:pPr>
        <w:pStyle w:val="Bibliography"/>
      </w:pPr>
      <w:r>
        <w:t xml:space="preserve">(34)</w:t>
      </w:r>
      <w:r>
        <w:t xml:space="preserve"> </w:t>
      </w:r>
      <w:r>
        <w:t xml:space="preserve">	</w:t>
      </w:r>
      <w:r>
        <w:t xml:space="preserve">Watson, S. B. Cyanobacterial and Eukaryotic Algal Odour Compounds: Signals or by-Products? A Review of Their Biological Activity.</w:t>
      </w:r>
      <w:r>
        <w:t xml:space="preserve"> </w:t>
      </w:r>
      <w:r>
        <w:rPr>
          <w:i/>
          <w:iCs/>
        </w:rPr>
        <w:t xml:space="preserve">Phycologia</w:t>
      </w:r>
      <w:r>
        <w:t xml:space="preserve"> </w:t>
      </w:r>
      <w:r>
        <w:rPr>
          <w:b/>
          <w:bCs/>
        </w:rPr>
        <w:t xml:space="preserve">2003</w:t>
      </w:r>
      <w:r>
        <w:t xml:space="preserve">,</w:t>
      </w:r>
      <w:r>
        <w:t xml:space="preserve"> </w:t>
      </w:r>
      <w:r>
        <w:rPr>
          <w:i/>
          <w:iCs/>
        </w:rPr>
        <w:t xml:space="preserve">42</w:t>
      </w:r>
      <w:r>
        <w:t xml:space="preserve"> </w:t>
      </w:r>
      <w:r>
        <w:t xml:space="preserve">(4), 332–350. https://doi.org/</w:t>
      </w:r>
      <w:hyperlink r:id="rId144">
        <w:r>
          <w:rPr>
            <w:rStyle w:val="Hyperlink"/>
          </w:rPr>
          <w:t xml:space="preserve">10.2216/i0031-8884-42-4-332.1</w:t>
        </w:r>
      </w:hyperlink>
      <w:r>
        <w:t xml:space="preserve">.</w:t>
      </w:r>
    </w:p>
    <w:bookmarkEnd w:id="145"/>
    <w:bookmarkStart w:id="147" w:name="ref-zamyadi2015fate"/>
    <w:p>
      <w:pPr>
        <w:pStyle w:val="Bibliography"/>
      </w:pPr>
      <w:r>
        <w:t xml:space="preserve">(35)</w:t>
      </w:r>
      <w:r>
        <w:t xml:space="preserve"> </w:t>
      </w:r>
      <w:r>
        <w:t xml:space="preserve">	</w:t>
      </w:r>
      <w:r>
        <w:t xml:space="preserve">Zamyadi, A.; Henderson, R.; Stuetz, R.; Hofmann, R.; Ho, L.; Newcombe, G. Fate of Geosmin and 2-Methylisoborneol in Full-Scale Water Treatment Plants.</w:t>
      </w:r>
      <w:r>
        <w:t xml:space="preserve"> </w:t>
      </w:r>
      <w:r>
        <w:rPr>
          <w:i/>
          <w:iCs/>
        </w:rPr>
        <w:t xml:space="preserve">Water Research</w:t>
      </w:r>
      <w:r>
        <w:t xml:space="preserve"> </w:t>
      </w:r>
      <w:r>
        <w:rPr>
          <w:b/>
          <w:bCs/>
        </w:rPr>
        <w:t xml:space="preserve">2015</w:t>
      </w:r>
      <w:r>
        <w:t xml:space="preserve">,</w:t>
      </w:r>
      <w:r>
        <w:t xml:space="preserve"> </w:t>
      </w:r>
      <w:r>
        <w:rPr>
          <w:i/>
          <w:iCs/>
        </w:rPr>
        <w:t xml:space="preserve">83</w:t>
      </w:r>
      <w:r>
        <w:t xml:space="preserve">, 171–183. https://doi.org/</w:t>
      </w:r>
      <w:hyperlink r:id="rId146">
        <w:r>
          <w:rPr>
            <w:rStyle w:val="Hyperlink"/>
          </w:rPr>
          <w:t xml:space="preserve">10.1016/j.watres.2015.06.038</w:t>
        </w:r>
      </w:hyperlink>
      <w:r>
        <w:t xml:space="preserve">.</w:t>
      </w:r>
    </w:p>
    <w:bookmarkEnd w:id="147"/>
    <w:bookmarkStart w:id="149" w:name="ref-lu2023mibderived"/>
    <w:p>
      <w:pPr>
        <w:pStyle w:val="Bibliography"/>
      </w:pPr>
      <w:r>
        <w:t xml:space="preserve">(36)</w:t>
      </w:r>
      <w:r>
        <w:t xml:space="preserve"> </w:t>
      </w:r>
      <w:r>
        <w:t xml:space="preserve">	</w:t>
      </w:r>
      <w:r>
        <w:t xml:space="preserve">Lu, J.; Su, M.; Su, Y.; Fang, J.; Burch, M.; Cao, T.; Wu, B.; Yu, J.; Yang, M.</w:t>
      </w:r>
      <w:r>
        <w:t xml:space="preserve"> </w:t>
      </w:r>
      <w:r>
        <w:t xml:space="preserve">MIB</w:t>
      </w:r>
      <w:r>
        <w:t xml:space="preserve">-Derived Odor Management Based Upon Hydraulic Regulation in Small Drinking Water Reservoirs: Principle and Application.</w:t>
      </w:r>
      <w:r>
        <w:t xml:space="preserve"> </w:t>
      </w:r>
      <w:r>
        <w:rPr>
          <w:i/>
          <w:iCs/>
        </w:rPr>
        <w:t xml:space="preserve">Water Research</w:t>
      </w:r>
      <w:r>
        <w:t xml:space="preserve"> </w:t>
      </w:r>
      <w:r>
        <w:rPr>
          <w:b/>
          <w:bCs/>
        </w:rPr>
        <w:t xml:space="preserve">2023</w:t>
      </w:r>
      <w:r>
        <w:t xml:space="preserve">,</w:t>
      </w:r>
      <w:r>
        <w:t xml:space="preserve"> </w:t>
      </w:r>
      <w:r>
        <w:rPr>
          <w:i/>
          <w:iCs/>
        </w:rPr>
        <w:t xml:space="preserve">244</w:t>
      </w:r>
      <w:r>
        <w:t xml:space="preserve">, 120485. https://doi.org/</w:t>
      </w:r>
      <w:hyperlink r:id="rId148">
        <w:r>
          <w:rPr>
            <w:rStyle w:val="Hyperlink"/>
          </w:rPr>
          <w:t xml:space="preserve">10.1016/j.watres.2023.120485</w:t>
        </w:r>
      </w:hyperlink>
      <w:r>
        <w:t xml:space="preserve">.</w:t>
      </w:r>
    </w:p>
    <w:bookmarkEnd w:id="149"/>
    <w:bookmarkStart w:id="151" w:name="ref-qiu2023producers"/>
    <w:p>
      <w:pPr>
        <w:pStyle w:val="Bibliography"/>
      </w:pPr>
      <w:r>
        <w:t xml:space="preserve">(37)</w:t>
      </w:r>
      <w:r>
        <w:t xml:space="preserve"> </w:t>
      </w:r>
      <w:r>
        <w:t xml:space="preserve">	</w:t>
      </w:r>
      <w:r>
        <w:t xml:space="preserve">Qiu, P.; Zhang, Y.; Mi, W.; Song, G.; Bi, Y. Producers and Drivers of Odor Compounds in a Large Drinking-Water Source.</w:t>
      </w:r>
      <w:r>
        <w:t xml:space="preserve"> </w:t>
      </w:r>
      <w:r>
        <w:rPr>
          <w:i/>
          <w:iCs/>
        </w:rPr>
        <w:t xml:space="preserve">Frontiers in Ecology and Evolution</w:t>
      </w:r>
      <w:r>
        <w:t xml:space="preserve"> </w:t>
      </w:r>
      <w:r>
        <w:rPr>
          <w:b/>
          <w:bCs/>
        </w:rPr>
        <w:t xml:space="preserve">2023</w:t>
      </w:r>
      <w:r>
        <w:t xml:space="preserve">,</w:t>
      </w:r>
      <w:r>
        <w:t xml:space="preserve"> </w:t>
      </w:r>
      <w:r>
        <w:rPr>
          <w:i/>
          <w:iCs/>
        </w:rPr>
        <w:t xml:space="preserve">11</w:t>
      </w:r>
      <w:r>
        <w:t xml:space="preserve">. https://doi.org/</w:t>
      </w:r>
      <w:hyperlink r:id="rId150">
        <w:r>
          <w:rPr>
            <w:rStyle w:val="Hyperlink"/>
          </w:rPr>
          <w:t xml:space="preserve">10.3389/fevo.2023.1216567</w:t>
        </w:r>
      </w:hyperlink>
      <w:r>
        <w:t xml:space="preserve">.</w:t>
      </w:r>
    </w:p>
    <w:bookmarkEnd w:id="151"/>
    <w:bookmarkStart w:id="153" w:name="ref-wu2022seasonal"/>
    <w:p>
      <w:pPr>
        <w:pStyle w:val="Bibliography"/>
      </w:pPr>
      <w:r>
        <w:t xml:space="preserve">(38)</w:t>
      </w:r>
      <w:r>
        <w:t xml:space="preserve"> </w:t>
      </w:r>
      <w:r>
        <w:t xml:space="preserve">	</w:t>
      </w:r>
      <w:r>
        <w:t xml:space="preserve">Wu, T.; Zhu, G.; Wang, Z.; Zhu, M.; Xu, H. Seasonal Dynamics of Odor Compounds Concentration Driven by Phytoplankton Succession in a Subtropical Drinking Water Reservoir, Southeast</w:t>
      </w:r>
      <w:r>
        <w:t xml:space="preserve"> </w:t>
      </w:r>
      <w:r>
        <w:t xml:space="preserve">China</w:t>
      </w:r>
      <w:r>
        <w:t xml:space="preserve">.</w:t>
      </w:r>
      <w:r>
        <w:t xml:space="preserve"> </w:t>
      </w:r>
      <w:r>
        <w:rPr>
          <w:i/>
          <w:iCs/>
        </w:rPr>
        <w:t xml:space="preserve">Journal of Hazardous Materials</w:t>
      </w:r>
      <w:r>
        <w:t xml:space="preserve"> </w:t>
      </w:r>
      <w:r>
        <w:rPr>
          <w:b/>
          <w:bCs/>
        </w:rPr>
        <w:t xml:space="preserve">2022</w:t>
      </w:r>
      <w:r>
        <w:t xml:space="preserve">,</w:t>
      </w:r>
      <w:r>
        <w:t xml:space="preserve"> </w:t>
      </w:r>
      <w:r>
        <w:rPr>
          <w:i/>
          <w:iCs/>
        </w:rPr>
        <w:t xml:space="preserve">425</w:t>
      </w:r>
      <w:r>
        <w:t xml:space="preserve">, 128056. https://doi.org/</w:t>
      </w:r>
      <w:hyperlink r:id="rId152">
        <w:r>
          <w:rPr>
            <w:rStyle w:val="Hyperlink"/>
          </w:rPr>
          <w:t xml:space="preserve">10.1016/j.jhazmat.2021.128056</w:t>
        </w:r>
      </w:hyperlink>
      <w:r>
        <w:t xml:space="preserve">.</w:t>
      </w:r>
    </w:p>
    <w:bookmarkEnd w:id="153"/>
    <w:bookmarkStart w:id="154" w:name="ref-american2010algae"/>
    <w:p>
      <w:pPr>
        <w:pStyle w:val="Bibliography"/>
      </w:pPr>
      <w:r>
        <w:t xml:space="preserve">(39)</w:t>
      </w:r>
      <w:r>
        <w:t xml:space="preserve"> </w:t>
      </w:r>
      <w:r>
        <w:t xml:space="preserve">	</w:t>
      </w:r>
      <w:r>
        <w:t xml:space="preserve">AWWA, A. W. W. A.</w:t>
      </w:r>
      <w:r>
        <w:t xml:space="preserve"> </w:t>
      </w:r>
      <w:r>
        <w:rPr>
          <w:i/>
          <w:iCs/>
        </w:rPr>
        <w:t xml:space="preserve">Algae: Source to Treatment</w:t>
      </w:r>
      <w:r>
        <w:t xml:space="preserve">; American Water Works Association, 2010.</w:t>
      </w:r>
    </w:p>
    <w:bookmarkEnd w:id="154"/>
    <w:bookmarkStart w:id="155" w:name="ref-zhou2024spatial"/>
    <w:p>
      <w:pPr>
        <w:pStyle w:val="Bibliography"/>
      </w:pPr>
      <w:r>
        <w:t xml:space="preserve">(40)</w:t>
      </w:r>
      <w:r>
        <w:t xml:space="preserve"> </w:t>
      </w:r>
      <w:r>
        <w:t xml:space="preserve">	</w:t>
      </w:r>
      <w:r>
        <w:t xml:space="preserve">Zhou, S.; Qiu, D.; Xiao, L. Spatial Distribution and Influencing Factors of Organic Odorants 2-Methylisoborneol and Geosmin in Reservoirs of Guangdong Province.</w:t>
      </w:r>
      <w:r>
        <w:t xml:space="preserve"> </w:t>
      </w:r>
      <w:r>
        <w:rPr>
          <w:i/>
          <w:iCs/>
        </w:rPr>
        <w:t xml:space="preserve">Guangdong Chemical Industry (In Chinese)</w:t>
      </w:r>
      <w:r>
        <w:t xml:space="preserve"> </w:t>
      </w:r>
      <w:r>
        <w:rPr>
          <w:b/>
          <w:bCs/>
        </w:rPr>
        <w:t xml:space="preserve">2024</w:t>
      </w:r>
      <w:r>
        <w:t xml:space="preserve">,</w:t>
      </w:r>
      <w:r>
        <w:t xml:space="preserve"> </w:t>
      </w:r>
      <w:r>
        <w:rPr>
          <w:i/>
          <w:iCs/>
        </w:rPr>
        <w:t xml:space="preserve">51</w:t>
      </w:r>
      <w:r>
        <w:t xml:space="preserve"> </w:t>
      </w:r>
      <w:r>
        <w:t xml:space="preserve">(22), 117–119, 122.</w:t>
      </w:r>
    </w:p>
    <w:bookmarkEnd w:id="155"/>
    <w:bookmarkStart w:id="157" w:name="ref-zhai2017disinfection"/>
    <w:p>
      <w:pPr>
        <w:pStyle w:val="Bibliography"/>
      </w:pPr>
      <w:r>
        <w:t xml:space="preserve">(41)</w:t>
      </w:r>
      <w:r>
        <w:t xml:space="preserve"> </w:t>
      </w:r>
      <w:r>
        <w:t xml:space="preserve">	</w:t>
      </w:r>
      <w:r>
        <w:t xml:space="preserve">Zhai, H.; He, X.; Zhang, Y.; Du, T.; Adeleye, A. S.; Li, Y. Disinfection Byproduct Formation in Drinking Water Sources: A Case Study of Yuqiao Reservoir.</w:t>
      </w:r>
      <w:r>
        <w:t xml:space="preserve"> </w:t>
      </w:r>
      <w:r>
        <w:rPr>
          <w:i/>
          <w:iCs/>
        </w:rPr>
        <w:t xml:space="preserve">Chemosphere</w:t>
      </w:r>
      <w:r>
        <w:t xml:space="preserve"> </w:t>
      </w:r>
      <w:r>
        <w:rPr>
          <w:b/>
          <w:bCs/>
        </w:rPr>
        <w:t xml:space="preserve">2017</w:t>
      </w:r>
      <w:r>
        <w:t xml:space="preserve">,</w:t>
      </w:r>
      <w:r>
        <w:t xml:space="preserve"> </w:t>
      </w:r>
      <w:r>
        <w:rPr>
          <w:i/>
          <w:iCs/>
        </w:rPr>
        <w:t xml:space="preserve">181</w:t>
      </w:r>
      <w:r>
        <w:t xml:space="preserve">, 224–231. https://doi.org/</w:t>
      </w:r>
      <w:hyperlink r:id="rId156">
        <w:r>
          <w:rPr>
            <w:rStyle w:val="Hyperlink"/>
          </w:rPr>
          <w:t xml:space="preserve">10.1016/j.chemosphere.2017.04.028</w:t>
        </w:r>
      </w:hyperlink>
      <w:r>
        <w:t xml:space="preserve">.</w:t>
      </w:r>
    </w:p>
    <w:bookmarkEnd w:id="157"/>
    <w:bookmarkStart w:id="159" w:name="ref-xu2014spatiotemporal"/>
    <w:p>
      <w:pPr>
        <w:pStyle w:val="Bibliography"/>
      </w:pPr>
      <w:r>
        <w:t xml:space="preserve">(42)</w:t>
      </w:r>
      <w:r>
        <w:t xml:space="preserve"> </w:t>
      </w:r>
      <w:r>
        <w:t xml:space="preserve">	</w:t>
      </w:r>
      <w:r>
        <w:t xml:space="preserve">Xu, Y.; Xie, R.; Wang, Y.; Sha, J. Spatio-Temporal Variations of Water Quality in Yuqiao Reservoir Basin, North China.</w:t>
      </w:r>
      <w:r>
        <w:t xml:space="preserve"> </w:t>
      </w:r>
      <w:r>
        <w:rPr>
          <w:i/>
          <w:iCs/>
        </w:rPr>
        <w:t xml:space="preserve">Frontiers of Environmental Science &amp;amp; Engineering</w:t>
      </w:r>
      <w:r>
        <w:t xml:space="preserve"> </w:t>
      </w:r>
      <w:r>
        <w:rPr>
          <w:b/>
          <w:bCs/>
        </w:rPr>
        <w:t xml:space="preserve">2014</w:t>
      </w:r>
      <w:r>
        <w:t xml:space="preserve">,</w:t>
      </w:r>
      <w:r>
        <w:t xml:space="preserve"> </w:t>
      </w:r>
      <w:r>
        <w:rPr>
          <w:i/>
          <w:iCs/>
        </w:rPr>
        <w:t xml:space="preserve">9</w:t>
      </w:r>
      <w:r>
        <w:t xml:space="preserve"> </w:t>
      </w:r>
      <w:r>
        <w:t xml:space="preserve">(4), 649–664. https://doi.org/</w:t>
      </w:r>
      <w:hyperlink r:id="rId158">
        <w:r>
          <w:rPr>
            <w:rStyle w:val="Hyperlink"/>
          </w:rPr>
          <w:t xml:space="preserve">10.1007/s11783-014-0702-9</w:t>
        </w:r>
      </w:hyperlink>
      <w:r>
        <w:t xml:space="preserve">.</w:t>
      </w:r>
    </w:p>
    <w:bookmarkEnd w:id="159"/>
    <w:bookmarkStart w:id="161" w:name="ref-qiu2021using"/>
    <w:p>
      <w:pPr>
        <w:pStyle w:val="Bibliography"/>
      </w:pPr>
      <w:r>
        <w:t xml:space="preserve">(43)</w:t>
      </w:r>
      <w:r>
        <w:t xml:space="preserve"> </w:t>
      </w:r>
      <w:r>
        <w:t xml:space="preserve">	</w:t>
      </w:r>
      <w:r>
        <w:t xml:space="preserve">Qiu, P.; Chen, Y.; Li, C.; Huo, D.; Bi, Y.; Wang, J.; Li, Y.; Li, R.; Yu, G. Using Molecular Detection for the Diversity and Occurrence of Cyanobacteria and 2-Methylisoborneol-Producing Cyanobacteria in an Eutrophicated Reservoir in</w:t>
      </w:r>
      <w:r>
        <w:t xml:space="preserve"> </w:t>
      </w:r>
      <w:r>
        <w:t xml:space="preserve">Northern China</w:t>
      </w:r>
      <w:r>
        <w:t xml:space="preserve">.</w:t>
      </w:r>
      <w:r>
        <w:t xml:space="preserve"> </w:t>
      </w:r>
      <w:r>
        <w:rPr>
          <w:i/>
          <w:iCs/>
        </w:rPr>
        <w:t xml:space="preserve">Environmental Pollution</w:t>
      </w:r>
      <w:r>
        <w:t xml:space="preserve"> </w:t>
      </w:r>
      <w:r>
        <w:rPr>
          <w:b/>
          <w:bCs/>
        </w:rPr>
        <w:t xml:space="preserve">2021</w:t>
      </w:r>
      <w:r>
        <w:t xml:space="preserve">,</w:t>
      </w:r>
      <w:r>
        <w:t xml:space="preserve"> </w:t>
      </w:r>
      <w:r>
        <w:rPr>
          <w:i/>
          <w:iCs/>
        </w:rPr>
        <w:t xml:space="preserve">288</w:t>
      </w:r>
      <w:r>
        <w:t xml:space="preserve">, 117772. https://doi.org/</w:t>
      </w:r>
      <w:hyperlink r:id="rId160">
        <w:r>
          <w:rPr>
            <w:rStyle w:val="Hyperlink"/>
          </w:rPr>
          <w:t xml:space="preserve">10.1016/j.envpol.2021.117772</w:t>
        </w:r>
      </w:hyperlink>
      <w:r>
        <w:t xml:space="preserve">.</w:t>
      </w:r>
    </w:p>
    <w:bookmarkEnd w:id="161"/>
    <w:bookmarkStart w:id="163" w:name="ref-cai2017geosmin"/>
    <w:p>
      <w:pPr>
        <w:pStyle w:val="Bibliography"/>
      </w:pPr>
      <w:r>
        <w:t xml:space="preserve">(44)</w:t>
      </w:r>
      <w:r>
        <w:t xml:space="preserve"> </w:t>
      </w:r>
      <w:r>
        <w:t xml:space="preserve">	</w:t>
      </w:r>
      <w:r>
        <w:t xml:space="preserve">Cai, F.; Yu, G.; Zhang, K.; Chen, Y.; Li, Q.; Yang, Y.; Xie, J.; Wang, Y.; Li, R. Geosmin Production and Polyphasic Characterization of</w:t>
      </w:r>
      <w:r>
        <w:t xml:space="preserve"> </w:t>
      </w:r>
      <w:r>
        <w:rPr>
          <w:i/>
          <w:iCs/>
        </w:rPr>
        <w:t xml:space="preserve">Oscillatoria Limosa</w:t>
      </w:r>
      <w:r>
        <w:t xml:space="preserve"> </w:t>
      </w:r>
      <w:r>
        <w:t xml:space="preserve">Agardh Ex Gomont Isolated from the Open Canal of a Large Drinking Water System in Tianjin City, China.</w:t>
      </w:r>
      <w:r>
        <w:t xml:space="preserve"> </w:t>
      </w:r>
      <w:r>
        <w:rPr>
          <w:i/>
          <w:iCs/>
        </w:rPr>
        <w:t xml:space="preserve">Harmful Algae</w:t>
      </w:r>
      <w:r>
        <w:t xml:space="preserve"> </w:t>
      </w:r>
      <w:r>
        <w:rPr>
          <w:b/>
          <w:bCs/>
        </w:rPr>
        <w:t xml:space="preserve">2017</w:t>
      </w:r>
      <w:r>
        <w:t xml:space="preserve">,</w:t>
      </w:r>
      <w:r>
        <w:t xml:space="preserve"> </w:t>
      </w:r>
      <w:r>
        <w:rPr>
          <w:i/>
          <w:iCs/>
        </w:rPr>
        <w:t xml:space="preserve">69</w:t>
      </w:r>
      <w:r>
        <w:t xml:space="preserve">, 28–37. https://doi.org/</w:t>
      </w:r>
      <w:hyperlink r:id="rId162">
        <w:r>
          <w:rPr>
            <w:rStyle w:val="Hyperlink"/>
          </w:rPr>
          <w:t xml:space="preserve">10.1016/j.hal.2017.09.006</w:t>
        </w:r>
      </w:hyperlink>
      <w:r>
        <w:t xml:space="preserve">.</w:t>
      </w:r>
    </w:p>
    <w:bookmarkEnd w:id="163"/>
    <w:bookmarkStart w:id="165" w:name="ref-su2013establishment"/>
    <w:p>
      <w:pPr>
        <w:pStyle w:val="Bibliography"/>
      </w:pPr>
      <w:r>
        <w:t xml:space="preserve">(45)</w:t>
      </w:r>
      <w:r>
        <w:t xml:space="preserve"> </w:t>
      </w:r>
      <w:r>
        <w:t xml:space="preserve">	</w:t>
      </w:r>
      <w:r>
        <w:t xml:space="preserve">Su, M.; Gaget, V.; Giglio, S.; Burch, M.; An, W.; Yang, M. Establishment of Quantitative PCR Methods for the Quantification of Geosmin-Producing Potential and</w:t>
      </w:r>
      <w:r>
        <w:t xml:space="preserve"> </w:t>
      </w:r>
      <w:r>
        <w:rPr>
          <w:i/>
          <w:iCs/>
        </w:rPr>
        <w:t xml:space="preserve">Anabaena</w:t>
      </w:r>
      <w:r>
        <w:t xml:space="preserve"> </w:t>
      </w:r>
      <w:r>
        <w:t xml:space="preserve">Sp. In Freshwater Systems.</w:t>
      </w:r>
      <w:r>
        <w:t xml:space="preserve"> </w:t>
      </w:r>
      <w:r>
        <w:rPr>
          <w:i/>
          <w:iCs/>
        </w:rPr>
        <w:t xml:space="preserve">Water Research</w:t>
      </w:r>
      <w:r>
        <w:t xml:space="preserve"> </w:t>
      </w:r>
      <w:r>
        <w:rPr>
          <w:b/>
          <w:bCs/>
        </w:rPr>
        <w:t xml:space="preserve">2013</w:t>
      </w:r>
      <w:r>
        <w:t xml:space="preserve">,</w:t>
      </w:r>
      <w:r>
        <w:t xml:space="preserve"> </w:t>
      </w:r>
      <w:r>
        <w:rPr>
          <w:i/>
          <w:iCs/>
        </w:rPr>
        <w:t xml:space="preserve">47</w:t>
      </w:r>
      <w:r>
        <w:t xml:space="preserve"> </w:t>
      </w:r>
      <w:r>
        <w:t xml:space="preserve">(10), 3444–3454. https://doi.org/</w:t>
      </w:r>
      <w:hyperlink r:id="rId164">
        <w:r>
          <w:rPr>
            <w:rStyle w:val="Hyperlink"/>
          </w:rPr>
          <w:t xml:space="preserve">10.1016/j.watres.2013.03.043</w:t>
        </w:r>
      </w:hyperlink>
      <w:r>
        <w:t xml:space="preserve">.</w:t>
      </w:r>
    </w:p>
    <w:bookmarkEnd w:id="165"/>
    <w:bookmarkStart w:id="167" w:name="ref-giglio2008isolation"/>
    <w:p>
      <w:pPr>
        <w:pStyle w:val="Bibliography"/>
      </w:pPr>
      <w:r>
        <w:t xml:space="preserve">(46)</w:t>
      </w:r>
      <w:r>
        <w:t xml:space="preserve"> </w:t>
      </w:r>
      <w:r>
        <w:t xml:space="preserve">	</w:t>
      </w:r>
      <w:r>
        <w:t xml:space="preserve">Giglio, S.; Jiang, J.; Saint, C. P. S.; Cane, D. E.; Monis, P. T. Isolation and Characterization of the Gene Associated with Geosmin Production in Cyanobacteria.</w:t>
      </w:r>
      <w:r>
        <w:t xml:space="preserve"> </w:t>
      </w:r>
      <w:r>
        <w:rPr>
          <w:i/>
          <w:iCs/>
        </w:rPr>
        <w:t xml:space="preserve">Environmental Science &amp; Technology</w:t>
      </w:r>
      <w:r>
        <w:t xml:space="preserve"> </w:t>
      </w:r>
      <w:r>
        <w:rPr>
          <w:b/>
          <w:bCs/>
        </w:rPr>
        <w:t xml:space="preserve">2008</w:t>
      </w:r>
      <w:r>
        <w:t xml:space="preserve">,</w:t>
      </w:r>
      <w:r>
        <w:t xml:space="preserve"> </w:t>
      </w:r>
      <w:r>
        <w:rPr>
          <w:i/>
          <w:iCs/>
        </w:rPr>
        <w:t xml:space="preserve">42</w:t>
      </w:r>
      <w:r>
        <w:t xml:space="preserve"> </w:t>
      </w:r>
      <w:r>
        <w:t xml:space="preserve">(21), 8027–8032. https://doi.org/</w:t>
      </w:r>
      <w:hyperlink r:id="rId166">
        <w:r>
          <w:rPr>
            <w:rStyle w:val="Hyperlink"/>
          </w:rPr>
          <w:t xml:space="preserve">10.1021/es801465w</w:t>
        </w:r>
      </w:hyperlink>
      <w:r>
        <w:t xml:space="preserve">.</w:t>
      </w:r>
    </w:p>
    <w:bookmarkEnd w:id="167"/>
    <w:bookmarkStart w:id="169" w:name="ref-devi2021quantitative"/>
    <w:p>
      <w:pPr>
        <w:pStyle w:val="Bibliography"/>
      </w:pPr>
      <w:r>
        <w:t xml:space="preserve">(47)</w:t>
      </w:r>
      <w:r>
        <w:t xml:space="preserve"> </w:t>
      </w:r>
      <w:r>
        <w:t xml:space="preserve">	</w:t>
      </w:r>
      <w:r>
        <w:t xml:space="preserve">Devi, A.; Chiu, Y.-T.; Hsueh, H.-T.; Lin, T.-F. Quantitative PCR Based Detection System for Cyanobacterial Geosmin/2-Methylisoborneol (2-</w:t>
      </w:r>
      <w:r>
        <w:t xml:space="preserve">MIB</w:t>
      </w:r>
      <w:r>
        <w:t xml:space="preserve">) Events in Drinking Water Sources: Current Status and Challenges.</w:t>
      </w:r>
      <w:r>
        <w:t xml:space="preserve"> </w:t>
      </w:r>
      <w:r>
        <w:rPr>
          <w:i/>
          <w:iCs/>
        </w:rPr>
        <w:t xml:space="preserve">Water Research</w:t>
      </w:r>
      <w:r>
        <w:t xml:space="preserve"> </w:t>
      </w:r>
      <w:r>
        <w:rPr>
          <w:b/>
          <w:bCs/>
        </w:rPr>
        <w:t xml:space="preserve">2021</w:t>
      </w:r>
      <w:r>
        <w:t xml:space="preserve">,</w:t>
      </w:r>
      <w:r>
        <w:t xml:space="preserve"> </w:t>
      </w:r>
      <w:r>
        <w:rPr>
          <w:i/>
          <w:iCs/>
        </w:rPr>
        <w:t xml:space="preserve">188</w:t>
      </w:r>
      <w:r>
        <w:t xml:space="preserve">, 116478. https://doi.org/</w:t>
      </w:r>
      <w:hyperlink r:id="rId168">
        <w:r>
          <w:rPr>
            <w:rStyle w:val="Hyperlink"/>
          </w:rPr>
          <w:t xml:space="preserve">10.1016/j.watres.2020.116478</w:t>
        </w:r>
      </w:hyperlink>
      <w:r>
        <w:t xml:space="preserve">.</w:t>
      </w:r>
    </w:p>
    <w:bookmarkEnd w:id="169"/>
    <w:bookmarkStart w:id="171" w:name="ref-cook2001the"/>
    <w:p>
      <w:pPr>
        <w:pStyle w:val="Bibliography"/>
      </w:pPr>
      <w:r>
        <w:t xml:space="preserve">(48)</w:t>
      </w:r>
      <w:r>
        <w:t xml:space="preserve"> </w:t>
      </w:r>
      <w:r>
        <w:t xml:space="preserve">	</w:t>
      </w:r>
      <w:r>
        <w:t xml:space="preserve">Cook, D.; Newcombe, G.; Sztajnbok, P. The Application of Powdered Activated Carbon for</w:t>
      </w:r>
      <w:r>
        <w:t xml:space="preserve"> </w:t>
      </w:r>
      <w:r>
        <w:t xml:space="preserve">MIB</w:t>
      </w:r>
      <w:r>
        <w:t xml:space="preserve"> </w:t>
      </w:r>
      <w:r>
        <w:t xml:space="preserve">and Geosmin Removal: Predicting</w:t>
      </w:r>
      <w:r>
        <w:t xml:space="preserve"> </w:t>
      </w:r>
      <w:r>
        <w:t xml:space="preserve">PAC</w:t>
      </w:r>
      <w:r>
        <w:t xml:space="preserve"> </w:t>
      </w:r>
      <w:r>
        <w:t xml:space="preserve">Doses in Four Raw Waters.</w:t>
      </w:r>
      <w:r>
        <w:t xml:space="preserve"> </w:t>
      </w:r>
      <w:r>
        <w:rPr>
          <w:i/>
          <w:iCs/>
        </w:rPr>
        <w:t xml:space="preserve">Water Research</w:t>
      </w:r>
      <w:r>
        <w:t xml:space="preserve"> </w:t>
      </w:r>
      <w:r>
        <w:rPr>
          <w:b/>
          <w:bCs/>
        </w:rPr>
        <w:t xml:space="preserve">2001</w:t>
      </w:r>
      <w:r>
        <w:t xml:space="preserve">,</w:t>
      </w:r>
      <w:r>
        <w:t xml:space="preserve"> </w:t>
      </w:r>
      <w:r>
        <w:rPr>
          <w:i/>
          <w:iCs/>
        </w:rPr>
        <w:t xml:space="preserve">35</w:t>
      </w:r>
      <w:r>
        <w:t xml:space="preserve"> </w:t>
      </w:r>
      <w:r>
        <w:t xml:space="preserve">(5), 1325–1333. https://doi.org/</w:t>
      </w:r>
      <w:hyperlink r:id="rId170">
        <w:r>
          <w:rPr>
            <w:rStyle w:val="Hyperlink"/>
          </w:rPr>
          <w:t xml:space="preserve">10.1016/S0043-1354(00)00363-8</w:t>
        </w:r>
      </w:hyperlink>
      <w:r>
        <w:t xml:space="preserve">.</w:t>
      </w:r>
    </w:p>
    <w:bookmarkEnd w:id="171"/>
    <w:bookmarkStart w:id="173" w:name="ref-arora2022sustainable"/>
    <w:p>
      <w:pPr>
        <w:pStyle w:val="Bibliography"/>
      </w:pPr>
      <w:r>
        <w:t xml:space="preserve">(49)</w:t>
      </w:r>
      <w:r>
        <w:t xml:space="preserve"> </w:t>
      </w:r>
      <w:r>
        <w:t xml:space="preserve">	</w:t>
      </w:r>
      <w:r>
        <w:t xml:space="preserve">Arora, N. K.; Mishra, I. Sustainable Development Goal 6: Global Water Security.</w:t>
      </w:r>
      <w:r>
        <w:t xml:space="preserve"> </w:t>
      </w:r>
      <w:r>
        <w:rPr>
          <w:i/>
          <w:iCs/>
        </w:rPr>
        <w:t xml:space="preserve">Environmental Sustainability</w:t>
      </w:r>
      <w:r>
        <w:t xml:space="preserve"> </w:t>
      </w:r>
      <w:r>
        <w:rPr>
          <w:b/>
          <w:bCs/>
        </w:rPr>
        <w:t xml:space="preserve">2022</w:t>
      </w:r>
      <w:r>
        <w:t xml:space="preserve">,</w:t>
      </w:r>
      <w:r>
        <w:t xml:space="preserve"> </w:t>
      </w:r>
      <w:r>
        <w:rPr>
          <w:i/>
          <w:iCs/>
        </w:rPr>
        <w:t xml:space="preserve">5</w:t>
      </w:r>
      <w:r>
        <w:t xml:space="preserve"> </w:t>
      </w:r>
      <w:r>
        <w:t xml:space="preserve">(3), 271–275. https://doi.org/</w:t>
      </w:r>
      <w:hyperlink r:id="rId172">
        <w:r>
          <w:rPr>
            <w:rStyle w:val="Hyperlink"/>
          </w:rPr>
          <w:t xml:space="preserve">10.1007/s42398-022-00246-5</w:t>
        </w:r>
      </w:hyperlink>
      <w:r>
        <w:t xml:space="preserve">.</w:t>
      </w:r>
    </w:p>
    <w:bookmarkEnd w:id="173"/>
    <w:bookmarkStart w:id="175" w:name="ref-yuan2022adsorption"/>
    <w:p>
      <w:pPr>
        <w:pStyle w:val="Bibliography"/>
      </w:pPr>
      <w:r>
        <w:t xml:space="preserve">(50)</w:t>
      </w:r>
      <w:r>
        <w:t xml:space="preserve"> </w:t>
      </w:r>
      <w:r>
        <w:t xml:space="preserve">	</w:t>
      </w:r>
      <w:r>
        <w:t xml:space="preserve">Yuan, J.; Hofmann, R. Adsorption and Biodegradation of 2-Methylisoborneol and Geosmin in Drinking Water Granular Activated Carbon Filters: A Review and Meta-Analysis.</w:t>
      </w:r>
      <w:r>
        <w:t xml:space="preserve"> </w:t>
      </w:r>
      <w:r>
        <w:rPr>
          <w:i/>
          <w:iCs/>
        </w:rPr>
        <w:t xml:space="preserve">Journal of Hazardous Materials</w:t>
      </w:r>
      <w:r>
        <w:t xml:space="preserve"> </w:t>
      </w:r>
      <w:r>
        <w:rPr>
          <w:b/>
          <w:bCs/>
        </w:rPr>
        <w:t xml:space="preserve">2022</w:t>
      </w:r>
      <w:r>
        <w:t xml:space="preserve">,</w:t>
      </w:r>
      <w:r>
        <w:t xml:space="preserve"> </w:t>
      </w:r>
      <w:r>
        <w:rPr>
          <w:i/>
          <w:iCs/>
        </w:rPr>
        <w:t xml:space="preserve">440</w:t>
      </w:r>
      <w:r>
        <w:t xml:space="preserve">, 129838. https://doi.org/</w:t>
      </w:r>
      <w:hyperlink r:id="rId174">
        <w:r>
          <w:rPr>
            <w:rStyle w:val="Hyperlink"/>
          </w:rPr>
          <w:t xml:space="preserve">10.1016/j.jhazmat.2022.129838</w:t>
        </w:r>
      </w:hyperlink>
      <w:r>
        <w:t xml:space="preserve">.</w:t>
      </w:r>
    </w:p>
    <w:bookmarkEnd w:id="175"/>
    <w:bookmarkStart w:id="177" w:name="ref-guo2024considerable"/>
    <w:p>
      <w:pPr>
        <w:pStyle w:val="Bibliography"/>
      </w:pPr>
      <w:r>
        <w:t xml:space="preserve">(51)</w:t>
      </w:r>
      <w:r>
        <w:t xml:space="preserve"> </w:t>
      </w:r>
      <w:r>
        <w:t xml:space="preserve">	</w:t>
      </w:r>
      <w:r>
        <w:t xml:space="preserve">Guo, H.; Li, R.; Xue, S.; Zhangsun, X.; Huang, D.; Li, Y.; Li, N.; Su, Y.; Zhang, H.; Huang, T. Considerable Declines in Odor in a Drinking Water Reservoir: Variations of Odorous Community, Precursor Enzymes Abundance, Distribution, and Environmental Dominant Factors.</w:t>
      </w:r>
      <w:r>
        <w:t xml:space="preserve"> </w:t>
      </w:r>
      <w:r>
        <w:rPr>
          <w:i/>
          <w:iCs/>
        </w:rPr>
        <w:t xml:space="preserve">Water Research</w:t>
      </w:r>
      <w:r>
        <w:t xml:space="preserve"> </w:t>
      </w:r>
      <w:r>
        <w:rPr>
          <w:b/>
          <w:bCs/>
        </w:rPr>
        <w:t xml:space="preserve">2024</w:t>
      </w:r>
      <w:r>
        <w:t xml:space="preserve">, 122767. https://doi.org/</w:t>
      </w:r>
      <w:hyperlink r:id="rId176">
        <w:r>
          <w:rPr>
            <w:rStyle w:val="Hyperlink"/>
          </w:rPr>
          <w:t xml:space="preserve">10.1016/j.watres.2024.122767</w:t>
        </w:r>
      </w:hyperlink>
      <w:r>
        <w:t xml:space="preserve">.</w:t>
      </w:r>
    </w:p>
    <w:bookmarkEnd w:id="177"/>
    <w:bookmarkStart w:id="179" w:name="ref-gerber1965geosmin"/>
    <w:p>
      <w:pPr>
        <w:pStyle w:val="Bibliography"/>
      </w:pPr>
      <w:r>
        <w:t xml:space="preserve">(52)</w:t>
      </w:r>
      <w:r>
        <w:t xml:space="preserve"> </w:t>
      </w:r>
      <w:r>
        <w:t xml:space="preserve">	</w:t>
      </w:r>
      <w:r>
        <w:t xml:space="preserve">Gerber, N. N.; Lechevalier, H. A.</w:t>
      </w:r>
      <w:r>
        <w:t xml:space="preserve"> </w:t>
      </w:r>
      <w:hyperlink r:id="rId178">
        <w:r>
          <w:rPr>
            <w:rStyle w:val="Hyperlink"/>
          </w:rPr>
          <w:t xml:space="preserve">Geosmin, an Earthy-Smelling Substance Isolated from Actinomycetes</w:t>
        </w:r>
      </w:hyperlink>
      <w:r>
        <w:t xml:space="preserve">.</w:t>
      </w:r>
      <w:r>
        <w:t xml:space="preserve"> </w:t>
      </w:r>
      <w:r>
        <w:rPr>
          <w:i/>
          <w:iCs/>
        </w:rPr>
        <w:t xml:space="preserve">Applied Microbiology</w:t>
      </w:r>
      <w:r>
        <w:t xml:space="preserve"> </w:t>
      </w:r>
      <w:r>
        <w:rPr>
          <w:b/>
          <w:bCs/>
        </w:rPr>
        <w:t xml:space="preserve">1965</w:t>
      </w:r>
      <w:r>
        <w:t xml:space="preserve">,</w:t>
      </w:r>
      <w:r>
        <w:t xml:space="preserve"> </w:t>
      </w:r>
      <w:r>
        <w:rPr>
          <w:i/>
          <w:iCs/>
        </w:rPr>
        <w:t xml:space="preserve">13</w:t>
      </w:r>
      <w:r>
        <w:t xml:space="preserve"> </w:t>
      </w:r>
      <w:r>
        <w:t xml:space="preserve">(6), 935–938.</w:t>
      </w:r>
    </w:p>
    <w:bookmarkEnd w:id="179"/>
    <w:bookmarkStart w:id="181" w:name="ref-gerber1979volatile"/>
    <w:p>
      <w:pPr>
        <w:pStyle w:val="Bibliography"/>
      </w:pPr>
      <w:r>
        <w:t xml:space="preserve">(53)</w:t>
      </w:r>
      <w:r>
        <w:t xml:space="preserve"> </w:t>
      </w:r>
      <w:r>
        <w:t xml:space="preserve">	</w:t>
      </w:r>
      <w:r>
        <w:t xml:space="preserve">Gerber, N. N. Volatile</w:t>
      </w:r>
      <w:r>
        <w:t xml:space="preserve"> </w:t>
      </w:r>
      <w:r>
        <w:t xml:space="preserve">Substances</w:t>
      </w:r>
      <w:r>
        <w:t xml:space="preserve"> </w:t>
      </w:r>
      <w:r>
        <w:t xml:space="preserve">from</w:t>
      </w:r>
      <w:r>
        <w:t xml:space="preserve"> </w:t>
      </w:r>
      <w:r>
        <w:t xml:space="preserve">Actinomycetes</w:t>
      </w:r>
      <w:r>
        <w:t xml:space="preserve">:</w:t>
      </w:r>
      <w:r>
        <w:t xml:space="preserve"> </w:t>
      </w:r>
      <w:r>
        <w:t xml:space="preserve">Their Role</w:t>
      </w:r>
      <w:r>
        <w:t xml:space="preserve"> </w:t>
      </w:r>
      <w:r>
        <w:t xml:space="preserve">in the</w:t>
      </w:r>
      <w:r>
        <w:t xml:space="preserve"> </w:t>
      </w:r>
      <w:r>
        <w:t xml:space="preserve">Odor Pollution</w:t>
      </w:r>
      <w:r>
        <w:t xml:space="preserve"> </w:t>
      </w:r>
      <w:r>
        <w:t xml:space="preserve">of</w:t>
      </w:r>
      <w:r>
        <w:t xml:space="preserve"> </w:t>
      </w:r>
      <w:r>
        <w:t xml:space="preserve">Water</w:t>
      </w:r>
      <w:r>
        <w:t xml:space="preserve">.</w:t>
      </w:r>
      <w:r>
        <w:t xml:space="preserve"> </w:t>
      </w:r>
      <w:r>
        <w:rPr>
          <w:i/>
          <w:iCs/>
        </w:rPr>
        <w:t xml:space="preserve">CRC Critical Reviews in Microbiology</w:t>
      </w:r>
      <w:r>
        <w:t xml:space="preserve"> </w:t>
      </w:r>
      <w:r>
        <w:rPr>
          <w:b/>
          <w:bCs/>
        </w:rPr>
        <w:t xml:space="preserve">1979</w:t>
      </w:r>
      <w:r>
        <w:t xml:space="preserve">,</w:t>
      </w:r>
      <w:r>
        <w:t xml:space="preserve"> </w:t>
      </w:r>
      <w:r>
        <w:rPr>
          <w:i/>
          <w:iCs/>
        </w:rPr>
        <w:t xml:space="preserve">7</w:t>
      </w:r>
      <w:r>
        <w:t xml:space="preserve"> </w:t>
      </w:r>
      <w:r>
        <w:t xml:space="preserve">(3), 191–214. https://doi.org/</w:t>
      </w:r>
      <w:hyperlink r:id="rId180">
        <w:r>
          <w:rPr>
            <w:rStyle w:val="Hyperlink"/>
          </w:rPr>
          <w:t xml:space="preserve">10.3109/10408417909082014</w:t>
        </w:r>
      </w:hyperlink>
      <w:r>
        <w:t xml:space="preserve">.</w:t>
      </w:r>
    </w:p>
    <w:bookmarkEnd w:id="181"/>
    <w:bookmarkStart w:id="183" w:name="ref-jensen1994actinomycetes"/>
    <w:p>
      <w:pPr>
        <w:pStyle w:val="Bibliography"/>
      </w:pPr>
      <w:r>
        <w:t xml:space="preserve">(54)</w:t>
      </w:r>
      <w:r>
        <w:t xml:space="preserve"> </w:t>
      </w:r>
      <w:r>
        <w:t xml:space="preserve">	</w:t>
      </w:r>
      <w:r>
        <w:t xml:space="preserve">Jensen, S.; Anders, C.; Goatcher, L.; Perley, T.; Kenefick, S.; Hrudey, S. Actinomycetes as a Factor in Odour Problems Affecting Drinking Water from the North Saskatchewan River.</w:t>
      </w:r>
      <w:r>
        <w:t xml:space="preserve"> </w:t>
      </w:r>
      <w:r>
        <w:rPr>
          <w:i/>
          <w:iCs/>
        </w:rPr>
        <w:t xml:space="preserve">Water Research</w:t>
      </w:r>
      <w:r>
        <w:t xml:space="preserve"> </w:t>
      </w:r>
      <w:r>
        <w:rPr>
          <w:b/>
          <w:bCs/>
        </w:rPr>
        <w:t xml:space="preserve">1994</w:t>
      </w:r>
      <w:r>
        <w:t xml:space="preserve">,</w:t>
      </w:r>
      <w:r>
        <w:t xml:space="preserve"> </w:t>
      </w:r>
      <w:r>
        <w:rPr>
          <w:i/>
          <w:iCs/>
        </w:rPr>
        <w:t xml:space="preserve">28</w:t>
      </w:r>
      <w:r>
        <w:t xml:space="preserve"> </w:t>
      </w:r>
      <w:r>
        <w:t xml:space="preserve">(6), 1393–1401. https://doi.org/</w:t>
      </w:r>
      <w:hyperlink r:id="rId182">
        <w:r>
          <w:rPr>
            <w:rStyle w:val="Hyperlink"/>
          </w:rPr>
          <w:t xml:space="preserve">0043-1354(94)90306-9</w:t>
        </w:r>
      </w:hyperlink>
      <w:r>
        <w:t xml:space="preserve">.</w:t>
      </w:r>
    </w:p>
    <w:bookmarkEnd w:id="183"/>
    <w:bookmarkStart w:id="185" w:name="ref-chislock2021contrasting"/>
    <w:p>
      <w:pPr>
        <w:pStyle w:val="Bibliography"/>
      </w:pPr>
      <w:r>
        <w:t xml:space="preserve">(55)</w:t>
      </w:r>
      <w:r>
        <w:t xml:space="preserve"> </w:t>
      </w:r>
      <w:r>
        <w:t xml:space="preserve">	</w:t>
      </w:r>
      <w:r>
        <w:t xml:space="preserve">Chislock, M. F.; Olsen, B. K.; Choi, J.; Abebe, A.; Bleier, T. L.; Wilson, A. E. Contrasting Patterns of 2-Methylisoborneol (</w:t>
      </w:r>
      <w:r>
        <w:t xml:space="preserve">MIB</w:t>
      </w:r>
      <w:r>
        <w:t xml:space="preserve">) Vs. Geosmin Across Depth in a Drinking Water Reservoir Are Mediated by Cyanobacteria and Actinobacteria.</w:t>
      </w:r>
      <w:r>
        <w:t xml:space="preserve"> </w:t>
      </w:r>
      <w:r>
        <w:rPr>
          <w:i/>
          <w:iCs/>
        </w:rPr>
        <w:t xml:space="preserve">Environmental Science and Pollution Research</w:t>
      </w:r>
      <w:r>
        <w:t xml:space="preserve"> </w:t>
      </w:r>
      <w:r>
        <w:rPr>
          <w:b/>
          <w:bCs/>
        </w:rPr>
        <w:t xml:space="preserve">2021</w:t>
      </w:r>
      <w:r>
        <w:t xml:space="preserve">. https://doi.org/</w:t>
      </w:r>
      <w:hyperlink r:id="rId184">
        <w:r>
          <w:rPr>
            <w:rStyle w:val="Hyperlink"/>
          </w:rPr>
          <w:t xml:space="preserve">10.1007/s11356-021-12973-z</w:t>
        </w:r>
      </w:hyperlink>
      <w:r>
        <w:t xml:space="preserve">.</w:t>
      </w:r>
    </w:p>
    <w:bookmarkEnd w:id="185"/>
    <w:bookmarkStart w:id="187" w:name="ref-pham2020first"/>
    <w:p>
      <w:pPr>
        <w:pStyle w:val="Bibliography"/>
      </w:pPr>
      <w:r>
        <w:t xml:space="preserve">(56)</w:t>
      </w:r>
      <w:r>
        <w:t xml:space="preserve"> </w:t>
      </w:r>
      <w:r>
        <w:t xml:space="preserve">	</w:t>
      </w:r>
      <w:r>
        <w:t xml:space="preserve">Pham, T.-L.; Bui, M. H.; Driscoll, M.; Shimizu, K.; Motoo, U. First Report of Geosmin and 2-Methylisoborneol (2-MIB) in</w:t>
      </w:r>
      <w:r>
        <w:t xml:space="preserve"> </w:t>
      </w:r>
      <w:r>
        <w:rPr>
          <w:i/>
          <w:iCs/>
        </w:rPr>
        <w:t xml:space="preserve">Dolichospermum</w:t>
      </w:r>
      <w:r>
        <w:t xml:space="preserve"> </w:t>
      </w:r>
      <w:r>
        <w:t xml:space="preserve">and</w:t>
      </w:r>
      <w:r>
        <w:t xml:space="preserve"> </w:t>
      </w:r>
      <w:r>
        <w:rPr>
          <w:i/>
          <w:iCs/>
        </w:rPr>
        <w:t xml:space="preserve">Oscillatoria</w:t>
      </w:r>
      <w:r>
        <w:t xml:space="preserve"> </w:t>
      </w:r>
      <w:r>
        <w:t xml:space="preserve">from Vietnam.</w:t>
      </w:r>
      <w:r>
        <w:t xml:space="preserve"> </w:t>
      </w:r>
      <w:r>
        <w:rPr>
          <w:i/>
          <w:iCs/>
        </w:rPr>
        <w:t xml:space="preserve">Limnology</w:t>
      </w:r>
      <w:r>
        <w:t xml:space="preserve"> </w:t>
      </w:r>
      <w:r>
        <w:rPr>
          <w:b/>
          <w:bCs/>
        </w:rPr>
        <w:t xml:space="preserve">2020</w:t>
      </w:r>
      <w:r>
        <w:t xml:space="preserve">,</w:t>
      </w:r>
      <w:r>
        <w:t xml:space="preserve"> </w:t>
      </w:r>
      <w:r>
        <w:rPr>
          <w:i/>
          <w:iCs/>
        </w:rPr>
        <w:t xml:space="preserve">22</w:t>
      </w:r>
      <w:r>
        <w:t xml:space="preserve"> </w:t>
      </w:r>
      <w:r>
        <w:t xml:space="preserve">(1), 43–56. https://doi.org/</w:t>
      </w:r>
      <w:hyperlink r:id="rId186">
        <w:r>
          <w:rPr>
            <w:rStyle w:val="Hyperlink"/>
          </w:rPr>
          <w:t xml:space="preserve">10.1007/s10201-020-00630-2</w:t>
        </w:r>
      </w:hyperlink>
      <w:r>
        <w:t xml:space="preserve">.</w:t>
      </w:r>
    </w:p>
    <w:bookmarkEnd w:id="187"/>
    <w:bookmarkStart w:id="189" w:name="ref-izaguirre1992a"/>
    <w:p>
      <w:pPr>
        <w:pStyle w:val="Bibliography"/>
      </w:pPr>
      <w:r>
        <w:t xml:space="preserve">(57)</w:t>
      </w:r>
      <w:r>
        <w:t xml:space="preserve"> </w:t>
      </w:r>
      <w:r>
        <w:t xml:space="preserve">	</w:t>
      </w:r>
      <w:r>
        <w:t xml:space="preserve">Izaguirre, G. A Copper-Tolerant Phormidium Species from Lake Mathews, California, That Produces 2-Methylisoborneol and Geosmin.</w:t>
      </w:r>
      <w:r>
        <w:t xml:space="preserve"> </w:t>
      </w:r>
      <w:r>
        <w:rPr>
          <w:i/>
          <w:iCs/>
        </w:rPr>
        <w:t xml:space="preserve">Water Science and Technology</w:t>
      </w:r>
      <w:r>
        <w:t xml:space="preserve"> </w:t>
      </w:r>
      <w:r>
        <w:rPr>
          <w:b/>
          <w:bCs/>
        </w:rPr>
        <w:t xml:space="preserve">1992</w:t>
      </w:r>
      <w:r>
        <w:t xml:space="preserve">,</w:t>
      </w:r>
      <w:r>
        <w:t xml:space="preserve"> </w:t>
      </w:r>
      <w:r>
        <w:rPr>
          <w:i/>
          <w:iCs/>
        </w:rPr>
        <w:t xml:space="preserve">25</w:t>
      </w:r>
      <w:r>
        <w:t xml:space="preserve"> </w:t>
      </w:r>
      <w:r>
        <w:t xml:space="preserve">(2), 217–223. https://doi.org/</w:t>
      </w:r>
      <w:hyperlink r:id="rId188">
        <w:r>
          <w:rPr>
            <w:rStyle w:val="Hyperlink"/>
          </w:rPr>
          <w:t xml:space="preserve">10.2166/wst.1992.0055</w:t>
        </w:r>
      </w:hyperlink>
      <w:r>
        <w:t xml:space="preserve">.</w:t>
      </w:r>
    </w:p>
    <w:bookmarkEnd w:id="189"/>
    <w:bookmarkStart w:id="191" w:name="ref-hooper2023the"/>
    <w:p>
      <w:pPr>
        <w:pStyle w:val="Bibliography"/>
      </w:pPr>
      <w:r>
        <w:t xml:space="preserve">(58)</w:t>
      </w:r>
      <w:r>
        <w:t xml:space="preserve"> </w:t>
      </w:r>
      <w:r>
        <w:t xml:space="preserve">	</w:t>
      </w:r>
      <w:r>
        <w:t xml:space="preserve">Hooper, A. S.; Kille, P.; Watson, S. E.; Christofides, S. R.; Perkins, R. G. The Importance of Nutrient Ratios in Determining Elevations in Geosmin Synthase (</w:t>
      </w:r>
      <w:r>
        <w:t xml:space="preserve">geoA</w:t>
      </w:r>
      <w:r>
        <w:t xml:space="preserve">) and 2-</w:t>
      </w:r>
      <w:r>
        <w:t xml:space="preserve">MIB</w:t>
      </w:r>
      <w:r>
        <w:t xml:space="preserve"> </w:t>
      </w:r>
      <w:r>
        <w:t xml:space="preserve">Cyclase (Mic) Resulting in Taste and Odour Events.</w:t>
      </w:r>
      <w:r>
        <w:t xml:space="preserve"> </w:t>
      </w:r>
      <w:r>
        <w:rPr>
          <w:i/>
          <w:iCs/>
        </w:rPr>
        <w:t xml:space="preserve">Water Research</w:t>
      </w:r>
      <w:r>
        <w:t xml:space="preserve"> </w:t>
      </w:r>
      <w:r>
        <w:rPr>
          <w:b/>
          <w:bCs/>
        </w:rPr>
        <w:t xml:space="preserve">2023</w:t>
      </w:r>
      <w:r>
        <w:t xml:space="preserve">, 119693. https://doi.org/</w:t>
      </w:r>
      <w:hyperlink r:id="rId190">
        <w:r>
          <w:rPr>
            <w:rStyle w:val="Hyperlink"/>
          </w:rPr>
          <w:t xml:space="preserve">10.1016/j.watres.2023.119693</w:t>
        </w:r>
      </w:hyperlink>
      <w:r>
        <w:t xml:space="preserve">.</w:t>
      </w:r>
    </w:p>
    <w:bookmarkEnd w:id="191"/>
    <w:bookmarkStart w:id="193" w:name="ref-suurnakki2015identification"/>
    <w:p>
      <w:pPr>
        <w:pStyle w:val="Bibliography"/>
      </w:pPr>
      <w:r>
        <w:t xml:space="preserve">(59)</w:t>
      </w:r>
      <w:r>
        <w:t xml:space="preserve"> </w:t>
      </w:r>
      <w:r>
        <w:t xml:space="preserve">	</w:t>
      </w:r>
      <w:r>
        <w:t xml:space="preserve">Suurnäkki, S.; Gomez-saez, G. V.; Rantala-ylinen, A.; Jokela, J.; Fewer, D. P.; Sivonen, K. Identification of Geosmin and 2-Methylisoborneol in Cyanobacteria and Molecular Detection Methods for the Producers of These Compounds.</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w:t>
      </w:r>
      <w:r>
        <w:t xml:space="preserve">(0), 56–66. https://doi.org/</w:t>
      </w:r>
      <w:hyperlink r:id="rId192">
        <w:r>
          <w:rPr>
            <w:rStyle w:val="Hyperlink"/>
          </w:rPr>
          <w:t xml:space="preserve">10.1016/j.watres.2014.09.037</w:t>
        </w:r>
      </w:hyperlink>
      <w:r>
        <w:t xml:space="preserve">.</w:t>
      </w:r>
    </w:p>
    <w:bookmarkEnd w:id="193"/>
    <w:bookmarkStart w:id="195" w:name="ref-giglio2011biosynthesis"/>
    <w:p>
      <w:pPr>
        <w:pStyle w:val="Bibliography"/>
      </w:pPr>
      <w:r>
        <w:t xml:space="preserve">(60)</w:t>
      </w:r>
      <w:r>
        <w:t xml:space="preserve"> </w:t>
      </w:r>
      <w:r>
        <w:t xml:space="preserve">	</w:t>
      </w:r>
      <w:r>
        <w:t xml:space="preserve">Giglio, S.; Chou, W. K. W.; Ikeda, H.; Cane, D. E.; Monis, P. T. Biosynthesis of 2-Methylisoborneol in Cyanobacteria.</w:t>
      </w:r>
      <w:r>
        <w:t xml:space="preserve"> </w:t>
      </w:r>
      <w:r>
        <w:rPr>
          <w:i/>
          <w:iCs/>
        </w:rPr>
        <w:t xml:space="preserve">Environmental Science &amp; Technology</w:t>
      </w:r>
      <w:r>
        <w:t xml:space="preserve"> </w:t>
      </w:r>
      <w:r>
        <w:rPr>
          <w:b/>
          <w:bCs/>
        </w:rPr>
        <w:t xml:space="preserve">2011</w:t>
      </w:r>
      <w:r>
        <w:t xml:space="preserve">,</w:t>
      </w:r>
      <w:r>
        <w:t xml:space="preserve"> </w:t>
      </w:r>
      <w:r>
        <w:rPr>
          <w:i/>
          <w:iCs/>
        </w:rPr>
        <w:t xml:space="preserve">45</w:t>
      </w:r>
      <w:r>
        <w:t xml:space="preserve"> </w:t>
      </w:r>
      <w:r>
        <w:t xml:space="preserve">(3), 992–998. https://doi.org/</w:t>
      </w:r>
      <w:hyperlink r:id="rId194">
        <w:r>
          <w:rPr>
            <w:rStyle w:val="Hyperlink"/>
          </w:rPr>
          <w:t xml:space="preserve">10.1021/es102992p</w:t>
        </w:r>
      </w:hyperlink>
      <w:r>
        <w:t xml:space="preserve">.</w:t>
      </w:r>
    </w:p>
    <w:bookmarkEnd w:id="195"/>
    <w:bookmarkStart w:id="197" w:name="ref-kutovaya2014development"/>
    <w:p>
      <w:pPr>
        <w:pStyle w:val="Bibliography"/>
      </w:pPr>
      <w:r>
        <w:t xml:space="preserve">(61)</w:t>
      </w:r>
      <w:r>
        <w:t xml:space="preserve"> </w:t>
      </w:r>
      <w:r>
        <w:t xml:space="preserve">	</w:t>
      </w:r>
      <w:r>
        <w:t xml:space="preserve">Kutovaya, O. A.; Watson, S. B. Development and Application of a Molecular Assay to Detect and Monitor Geosmin-Producing Cyanobacteria and Actinomycetes in the Great Lakes.</w:t>
      </w:r>
      <w:r>
        <w:t xml:space="preserve"> </w:t>
      </w:r>
      <w:r>
        <w:rPr>
          <w:i/>
          <w:iCs/>
        </w:rPr>
        <w:t xml:space="preserve">Journal of Great Lakes Research</w:t>
      </w:r>
      <w:r>
        <w:t xml:space="preserve"> </w:t>
      </w:r>
      <w:r>
        <w:rPr>
          <w:b/>
          <w:bCs/>
        </w:rPr>
        <w:t xml:space="preserve">2014</w:t>
      </w:r>
      <w:r>
        <w:t xml:space="preserve">,</w:t>
      </w:r>
      <w:r>
        <w:t xml:space="preserve"> </w:t>
      </w:r>
      <w:r>
        <w:rPr>
          <w:i/>
          <w:iCs/>
        </w:rPr>
        <w:t xml:space="preserve">40</w:t>
      </w:r>
      <w:r>
        <w:t xml:space="preserve"> </w:t>
      </w:r>
      <w:r>
        <w:t xml:space="preserve">(2), 404–414. https://doi.org/</w:t>
      </w:r>
      <w:hyperlink r:id="rId196">
        <w:r>
          <w:rPr>
            <w:rStyle w:val="Hyperlink"/>
          </w:rPr>
          <w:t xml:space="preserve">10.1016/j.jglr.2014.03.016</w:t>
        </w:r>
      </w:hyperlink>
      <w:r>
        <w:t xml:space="preserve">.</w:t>
      </w:r>
    </w:p>
    <w:bookmarkEnd w:id="197"/>
    <w:bookmarkStart w:id="199" w:name="ref-hayashi2019identification"/>
    <w:p>
      <w:pPr>
        <w:pStyle w:val="Bibliography"/>
      </w:pPr>
      <w:r>
        <w:t xml:space="preserve">(62)</w:t>
      </w:r>
      <w:r>
        <w:t xml:space="preserve"> </w:t>
      </w:r>
      <w:r>
        <w:t xml:space="preserve">	</w:t>
      </w:r>
      <w:r>
        <w:t xml:space="preserve">Hayashi, S.; Ohtani, S.; Godo, T.; Nojiri, Y.; Saki, Y.; Esumi, T.; Kamiya, H. Identification of Geosmin Biosynthetic Gene in Geosmin-Producing Colonial Cyanobacteria Coelosphaerium Sp. And Isolation of Geosmin Non-Producing Coelosphaerium Sp. From Brackish Lake Shinji in Japan.</w:t>
      </w:r>
      <w:r>
        <w:t xml:space="preserve"> </w:t>
      </w:r>
      <w:r>
        <w:rPr>
          <w:i/>
          <w:iCs/>
        </w:rPr>
        <w:t xml:space="preserve">Harmful Algae</w:t>
      </w:r>
      <w:r>
        <w:t xml:space="preserve"> </w:t>
      </w:r>
      <w:r>
        <w:rPr>
          <w:b/>
          <w:bCs/>
        </w:rPr>
        <w:t xml:space="preserve">2019</w:t>
      </w:r>
      <w:r>
        <w:t xml:space="preserve">,</w:t>
      </w:r>
      <w:r>
        <w:t xml:space="preserve"> </w:t>
      </w:r>
      <w:r>
        <w:rPr>
          <w:i/>
          <w:iCs/>
        </w:rPr>
        <w:t xml:space="preserve">84</w:t>
      </w:r>
      <w:r>
        <w:t xml:space="preserve">, 19–26. https://doi.org/</w:t>
      </w:r>
      <w:hyperlink r:id="rId198">
        <w:r>
          <w:rPr>
            <w:rStyle w:val="Hyperlink"/>
          </w:rPr>
          <w:t xml:space="preserve">10.1016/j.hal.2019.01.010</w:t>
        </w:r>
      </w:hyperlink>
      <w:r>
        <w:t xml:space="preserve">.</w:t>
      </w:r>
    </w:p>
    <w:bookmarkEnd w:id="199"/>
    <w:bookmarkStart w:id="201" w:name="ref-john2018an"/>
    <w:p>
      <w:pPr>
        <w:pStyle w:val="Bibliography"/>
      </w:pPr>
      <w:r>
        <w:t xml:space="preserve">(63)</w:t>
      </w:r>
      <w:r>
        <w:t xml:space="preserve"> </w:t>
      </w:r>
      <w:r>
        <w:t xml:space="preserve">	</w:t>
      </w:r>
      <w:r>
        <w:t xml:space="preserve">John, N.; Koehler, A. V.; Ansell, B. R. E.; Baker, L.; Crosbie, N. D.; Jex, A. R. An Improved Method for PCR-Based Detection and Routine Monitoring of Geosmin-Producing Cyanobacterial Blooms.</w:t>
      </w:r>
      <w:r>
        <w:t xml:space="preserve"> </w:t>
      </w:r>
      <w:r>
        <w:rPr>
          <w:i/>
          <w:iCs/>
        </w:rPr>
        <w:t xml:space="preserve">Water Research</w:t>
      </w:r>
      <w:r>
        <w:t xml:space="preserve"> </w:t>
      </w:r>
      <w:r>
        <w:rPr>
          <w:b/>
          <w:bCs/>
        </w:rPr>
        <w:t xml:space="preserve">2018</w:t>
      </w:r>
      <w:r>
        <w:t xml:space="preserve">,</w:t>
      </w:r>
      <w:r>
        <w:t xml:space="preserve"> </w:t>
      </w:r>
      <w:r>
        <w:rPr>
          <w:i/>
          <w:iCs/>
        </w:rPr>
        <w:t xml:space="preserve">136</w:t>
      </w:r>
      <w:r>
        <w:t xml:space="preserve">, 34–40. https://doi.org/</w:t>
      </w:r>
      <w:hyperlink r:id="rId200">
        <w:r>
          <w:rPr>
            <w:rStyle w:val="Hyperlink"/>
          </w:rPr>
          <w:t xml:space="preserve">10.1016/j.watres.2018.02.041</w:t>
        </w:r>
      </w:hyperlink>
      <w:r>
        <w:t xml:space="preserve">.</w:t>
      </w:r>
    </w:p>
    <w:bookmarkEnd w:id="201"/>
    <w:bookmarkStart w:id="203" w:name="ref-churro2020a"/>
    <w:p>
      <w:pPr>
        <w:pStyle w:val="Bibliography"/>
      </w:pPr>
      <w:r>
        <w:t xml:space="preserve">(64)</w:t>
      </w:r>
      <w:r>
        <w:t xml:space="preserve"> </w:t>
      </w:r>
      <w:r>
        <w:t xml:space="preserve">	</w:t>
      </w:r>
      <w:r>
        <w:t xml:space="preserve">Churro, C.; Semedo-Aguiar, A. P.; Silva, A. D.; Pereira-Leal, J. B.; Leite, R. B. A Novel Cyanobacterial Geosmin Producer, Revising</w:t>
      </w:r>
      <w:r>
        <w:t xml:space="preserve"> </w:t>
      </w:r>
      <w:r>
        <w:t xml:space="preserve">GeoA</w:t>
      </w:r>
      <w:r>
        <w:t xml:space="preserve"> </w:t>
      </w:r>
      <w:r>
        <w:t xml:space="preserve">Distribution and Dispersion Patterns in Bacteria.</w:t>
      </w:r>
      <w:r>
        <w:t xml:space="preserve"> </w:t>
      </w:r>
      <w:r>
        <w:rPr>
          <w:i/>
          <w:iCs/>
        </w:rPr>
        <w:t xml:space="preserve">Scientific Reports</w:t>
      </w:r>
      <w:r>
        <w:t xml:space="preserve"> </w:t>
      </w:r>
      <w:r>
        <w:rPr>
          <w:b/>
          <w:bCs/>
        </w:rPr>
        <w:t xml:space="preserve">2020</w:t>
      </w:r>
      <w:r>
        <w:t xml:space="preserve">,</w:t>
      </w:r>
      <w:r>
        <w:t xml:space="preserve"> </w:t>
      </w:r>
      <w:r>
        <w:rPr>
          <w:i/>
          <w:iCs/>
        </w:rPr>
        <w:t xml:space="preserve">10</w:t>
      </w:r>
      <w:r>
        <w:t xml:space="preserve"> </w:t>
      </w:r>
      <w:r>
        <w:t xml:space="preserve">(1). https://doi.org/</w:t>
      </w:r>
      <w:hyperlink r:id="rId202">
        <w:r>
          <w:rPr>
            <w:rStyle w:val="Hyperlink"/>
          </w:rPr>
          <w:t xml:space="preserve">10.1038/s41598-020-64774-y</w:t>
        </w:r>
      </w:hyperlink>
      <w:r>
        <w:t xml:space="preserve">.</w:t>
      </w:r>
    </w:p>
    <w:bookmarkEnd w:id="203"/>
    <w:bookmarkStart w:id="205" w:name="ref-su2019succession"/>
    <w:p>
      <w:pPr>
        <w:pStyle w:val="Bibliography"/>
      </w:pPr>
      <w:r>
        <w:t xml:space="preserve">(65)</w:t>
      </w:r>
      <w:r>
        <w:t xml:space="preserve"> </w:t>
      </w:r>
      <w:r>
        <w:t xml:space="preserve">	</w:t>
      </w:r>
      <w:r>
        <w:t xml:space="preserve">Su, M.; Andersen, T.; Burch, M.; Jia, Z.; An, W.; Yu, J.; Yang, M. Succession and Interaction of Surface and Subsurface Cyanobacterial Blooms in Oligotrophic/Mesotrophic Reservoirs: A Case Study in</w:t>
      </w:r>
      <w:r>
        <w:t xml:space="preserve"> </w:t>
      </w:r>
      <w:r>
        <w:t xml:space="preserve">Miyun Reservoir</w:t>
      </w:r>
      <w:r>
        <w:t xml:space="preserve">.</w:t>
      </w:r>
      <w:r>
        <w:t xml:space="preserve"> </w:t>
      </w:r>
      <w:r>
        <w:rPr>
          <w:i/>
          <w:iCs/>
        </w:rPr>
        <w:t xml:space="preserve">Science of the Total Environment</w:t>
      </w:r>
      <w:r>
        <w:t xml:space="preserve"> </w:t>
      </w:r>
      <w:r>
        <w:rPr>
          <w:b/>
          <w:bCs/>
        </w:rPr>
        <w:t xml:space="preserve">2019</w:t>
      </w:r>
      <w:r>
        <w:t xml:space="preserve">,</w:t>
      </w:r>
      <w:r>
        <w:t xml:space="preserve"> </w:t>
      </w:r>
      <w:r>
        <w:rPr>
          <w:i/>
          <w:iCs/>
        </w:rPr>
        <w:t xml:space="preserve">649</w:t>
      </w:r>
      <w:r>
        <w:t xml:space="preserve">, 1553–1562. https://doi.org/</w:t>
      </w:r>
      <w:hyperlink r:id="rId204">
        <w:r>
          <w:rPr>
            <w:rStyle w:val="Hyperlink"/>
          </w:rPr>
          <w:t xml:space="preserve">J.scitotenv.2018.08.307</w:t>
        </w:r>
      </w:hyperlink>
      <w:r>
        <w:t xml:space="preserve">.</w:t>
      </w:r>
    </w:p>
    <w:bookmarkEnd w:id="205"/>
    <w:bookmarkStart w:id="207" w:name="ref-jia2019light"/>
    <w:p>
      <w:pPr>
        <w:pStyle w:val="Bibliography"/>
      </w:pPr>
      <w:r>
        <w:t xml:space="preserve">(66)</w:t>
      </w:r>
      <w:r>
        <w:t xml:space="preserve"> </w:t>
      </w:r>
      <w:r>
        <w:t xml:space="preserve">	</w:t>
      </w:r>
      <w:r>
        <w:t xml:space="preserve">Jia, Z.; Su, M.; Liu, T.; Guo, Q.; Wang, Q.; Burch, M.; Yu, J.; Yang, M.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w:t>
      </w:r>
      <w:r>
        <w:t xml:space="preserve"> </w:t>
      </w:r>
      <w:r>
        <w:rPr>
          <w:i/>
          <w:iCs/>
        </w:rPr>
        <w:t xml:space="preserve">Harmful Algae</w:t>
      </w:r>
      <w:r>
        <w:t xml:space="preserve"> </w:t>
      </w:r>
      <w:r>
        <w:rPr>
          <w:b/>
          <w:bCs/>
        </w:rPr>
        <w:t xml:space="preserve">2019</w:t>
      </w:r>
      <w:r>
        <w:t xml:space="preserve">,</w:t>
      </w:r>
      <w:r>
        <w:t xml:space="preserve"> </w:t>
      </w:r>
      <w:r>
        <w:rPr>
          <w:i/>
          <w:iCs/>
        </w:rPr>
        <w:t xml:space="preserve">88</w:t>
      </w:r>
      <w:r>
        <w:t xml:space="preserve">, 101658. https://doi.org/</w:t>
      </w:r>
      <w:hyperlink r:id="rId206">
        <w:r>
          <w:rPr>
            <w:rStyle w:val="Hyperlink"/>
          </w:rPr>
          <w:t xml:space="preserve">10.1016/j.hal.2019.101658</w:t>
        </w:r>
      </w:hyperlink>
      <w:r>
        <w:t xml:space="preserve">.</w:t>
      </w:r>
    </w:p>
    <w:bookmarkEnd w:id="207"/>
    <w:bookmarkStart w:id="209" w:name="ref-cao2025green"/>
    <w:p>
      <w:pPr>
        <w:pStyle w:val="Bibliography"/>
      </w:pPr>
      <w:r>
        <w:t xml:space="preserve">(67)</w:t>
      </w:r>
      <w:r>
        <w:t xml:space="preserve"> </w:t>
      </w:r>
      <w:r>
        <w:t xml:space="preserve">	</w:t>
      </w:r>
      <w:r>
        <w:t xml:space="preserve">Cao, T.; Su, M.; Ai, Y.; Yang, Z.; Zhao, J.; Yang, M. Green Light Suppresses Cell Growth but Enhances Photosynthetic Rate and MIB Biosynthesis in PE-Containing Pseudanabaena.</w:t>
      </w:r>
      <w:r>
        <w:t xml:space="preserve"> </w:t>
      </w:r>
      <w:r>
        <w:rPr>
          <w:i/>
          <w:iCs/>
        </w:rPr>
        <w:t xml:space="preserve">Water Research</w:t>
      </w:r>
      <w:r>
        <w:t xml:space="preserve"> </w:t>
      </w:r>
      <w:r>
        <w:rPr>
          <w:b/>
          <w:bCs/>
        </w:rPr>
        <w:t xml:space="preserve">2025</w:t>
      </w:r>
      <w:r>
        <w:t xml:space="preserve">, 123336. https://doi.org/</w:t>
      </w:r>
      <w:hyperlink r:id="rId208">
        <w:r>
          <w:rPr>
            <w:rStyle w:val="Hyperlink"/>
          </w:rPr>
          <w:t xml:space="preserve">10.1016/j.watres.2025.123336</w:t>
        </w:r>
      </w:hyperlink>
      <w:r>
        <w:t xml:space="preserve">.</w:t>
      </w:r>
    </w:p>
    <w:bookmarkEnd w:id="209"/>
    <w:bookmarkStart w:id="211" w:name="ref-komarek2015filamentous"/>
    <w:p>
      <w:pPr>
        <w:pStyle w:val="Bibliography"/>
      </w:pPr>
      <w:r>
        <w:t xml:space="preserve">(68)</w:t>
      </w:r>
      <w:r>
        <w:t xml:space="preserve"> </w:t>
      </w:r>
      <w:r>
        <w:t xml:space="preserve">	</w:t>
      </w:r>
      <w:r>
        <w:t xml:space="preserve">Komárek, J.; Johansen, J. R. Chapter 4 - Filamentous Cyanobacteria. In</w:t>
      </w:r>
      <w:r>
        <w:t xml:space="preserve"> </w:t>
      </w:r>
      <w:r>
        <w:rPr>
          <w:i/>
          <w:iCs/>
        </w:rPr>
        <w:t xml:space="preserve">Freshwater algae of north america (second edition)</w:t>
      </w:r>
      <w:r>
        <w:t xml:space="preserve">; Academic Press: Boston, 2015; pp 135–235. https://doi.org/</w:t>
      </w:r>
      <w:hyperlink r:id="rId210">
        <w:r>
          <w:rPr>
            <w:rStyle w:val="Hyperlink"/>
          </w:rPr>
          <w:t xml:space="preserve">10.1016/b978-0-12-385876-4.00004-9</w:t>
        </w:r>
      </w:hyperlink>
      <w:r>
        <w:t xml:space="preserve">.</w:t>
      </w:r>
    </w:p>
    <w:bookmarkEnd w:id="211"/>
    <w:bookmarkStart w:id="213" w:name="ref-scott2012cyanobacteria"/>
    <w:p>
      <w:pPr>
        <w:pStyle w:val="Bibliography"/>
      </w:pPr>
      <w:r>
        <w:t xml:space="preserve">(69)</w:t>
      </w:r>
      <w:r>
        <w:t xml:space="preserve"> </w:t>
      </w:r>
      <w:r>
        <w:t xml:space="preserve">	</w:t>
      </w:r>
      <w:r>
        <w:t xml:space="preserve">Scott, J. T.; Marcarelli, A. M. Cyanobacteria in Freshwater Benthic Environments. In</w:t>
      </w:r>
      <w:r>
        <w:t xml:space="preserve"> </w:t>
      </w:r>
      <w:r>
        <w:rPr>
          <w:i/>
          <w:iCs/>
        </w:rPr>
        <w:t xml:space="preserve">Ecology of cyanobacteria ii</w:t>
      </w:r>
      <w:r>
        <w:t xml:space="preserve">; Springer Netherlands, 2012; pp 271–289. https://doi.org/</w:t>
      </w:r>
      <w:hyperlink r:id="rId212">
        <w:r>
          <w:rPr>
            <w:rStyle w:val="Hyperlink"/>
          </w:rPr>
          <w:t xml:space="preserve">10.1007/978-94-007-3855-3_9</w:t>
        </w:r>
      </w:hyperlink>
      <w:r>
        <w:t xml:space="preserve">.</w:t>
      </w:r>
    </w:p>
    <w:bookmarkEnd w:id="213"/>
    <w:bookmarkStart w:id="214" w:name="ref-mohanty2024challenges"/>
    <w:p>
      <w:pPr>
        <w:pStyle w:val="Bibliography"/>
      </w:pPr>
      <w:r>
        <w:t xml:space="preserve">(70)</w:t>
      </w:r>
      <w:r>
        <w:t xml:space="preserve"> </w:t>
      </w:r>
      <w:r>
        <w:t xml:space="preserve">	</w:t>
      </w:r>
      <w:r>
        <w:t xml:space="preserve">Mohanty, S.; Pandey, P. C.; Srivastava, P. K.; Srivastava, S. K. Challenges and Future Implications in Monitoring and Assessment of Aquatic Ecosystems. In</w:t>
      </w:r>
      <w:r>
        <w:t xml:space="preserve"> </w:t>
      </w:r>
      <w:r>
        <w:rPr>
          <w:i/>
          <w:iCs/>
        </w:rPr>
        <w:t xml:space="preserve">Aquatic ecosystems monitoring</w:t>
      </w:r>
      <w:r>
        <w:t xml:space="preserve">; CRC Press, 2024; pp 297–318.</w:t>
      </w:r>
    </w:p>
    <w:bookmarkEnd w:id="214"/>
    <w:bookmarkStart w:id="216" w:name="ref-su2017reducing"/>
    <w:p>
      <w:pPr>
        <w:pStyle w:val="Bibliography"/>
      </w:pPr>
      <w:r>
        <w:t xml:space="preserve">(71)</w:t>
      </w:r>
      <w:r>
        <w:t xml:space="preserve"> </w:t>
      </w:r>
      <w:r>
        <w:t xml:space="preserve">	</w:t>
      </w:r>
      <w:r>
        <w:t xml:space="preserve">Su, M.; Jia, D.; Yu, J.; Vogt, R. D.; Wang, J.; An, W.; Yang, M. Reducing Production of Taste and Odor by Deep-Living Cyanobacteria in Drinking Water Reservoirs by Regulation of Water Level.</w:t>
      </w:r>
      <w:r>
        <w:t xml:space="preserve"> </w:t>
      </w:r>
      <w:r>
        <w:rPr>
          <w:i/>
          <w:iCs/>
        </w:rPr>
        <w:t xml:space="preserve">Science of the Total Environment</w:t>
      </w:r>
      <w:r>
        <w:t xml:space="preserve"> </w:t>
      </w:r>
      <w:r>
        <w:rPr>
          <w:b/>
          <w:bCs/>
        </w:rPr>
        <w:t xml:space="preserve">2017</w:t>
      </w:r>
      <w:r>
        <w:t xml:space="preserve">,</w:t>
      </w:r>
      <w:r>
        <w:t xml:space="preserve"> </w:t>
      </w:r>
      <w:r>
        <w:rPr>
          <w:i/>
          <w:iCs/>
        </w:rPr>
        <w:t xml:space="preserve">574</w:t>
      </w:r>
      <w:r>
        <w:t xml:space="preserve">, 1477–1483. https://doi.org/</w:t>
      </w:r>
      <w:hyperlink r:id="rId215">
        <w:r>
          <w:rPr>
            <w:rStyle w:val="Hyperlink"/>
          </w:rPr>
          <w:t xml:space="preserve">10.1016/j.scitotenv.2016.08.134</w:t>
        </w:r>
      </w:hyperlink>
      <w:r>
        <w:t xml:space="preserve">.</w:t>
      </w:r>
    </w:p>
    <w:bookmarkEnd w:id="216"/>
    <w:bookmarkStart w:id="218" w:name="ref-fang2024mitigating"/>
    <w:p>
      <w:pPr>
        <w:pStyle w:val="Bibliography"/>
      </w:pPr>
      <w:r>
        <w:t xml:space="preserve">(72)</w:t>
      </w:r>
      <w:r>
        <w:t xml:space="preserve"> </w:t>
      </w:r>
      <w:r>
        <w:t xml:space="preserve">	</w:t>
      </w:r>
      <w:r>
        <w:t xml:space="preserve">Fang, J.; Li, Y.; Su, M.; Cao, T.; Sun, X.; Ai, Y.; Qin, J.; Yu, J.; Yang, M. Mitigating Harmful Cyanobacterial Blooms in Drinking Water Reservoirs Through in-Situ Sediment Resuspension.</w:t>
      </w:r>
      <w:r>
        <w:t xml:space="preserve"> </w:t>
      </w:r>
      <w:r>
        <w:rPr>
          <w:i/>
          <w:iCs/>
        </w:rPr>
        <w:t xml:space="preserve">Water Research</w:t>
      </w:r>
      <w:r>
        <w:t xml:space="preserve"> </w:t>
      </w:r>
      <w:r>
        <w:rPr>
          <w:b/>
          <w:bCs/>
        </w:rPr>
        <w:t xml:space="preserve">2024</w:t>
      </w:r>
      <w:r>
        <w:t xml:space="preserve">,</w:t>
      </w:r>
      <w:r>
        <w:t xml:space="preserve"> </w:t>
      </w:r>
      <w:r>
        <w:rPr>
          <w:i/>
          <w:iCs/>
        </w:rPr>
        <w:t xml:space="preserve">267</w:t>
      </w:r>
      <w:r>
        <w:t xml:space="preserve">, 122509. https://doi.org/</w:t>
      </w:r>
      <w:hyperlink r:id="rId217">
        <w:r>
          <w:rPr>
            <w:rStyle w:val="Hyperlink"/>
          </w:rPr>
          <w:t xml:space="preserve">10.1016/j.watres.2024.122509</w:t>
        </w:r>
      </w:hyperlink>
      <w:r>
        <w:t xml:space="preserve">.</w:t>
      </w:r>
    </w:p>
    <w:bookmarkEnd w:id="218"/>
    <w:bookmarkStart w:id="220" w:name="ref-recknagel2017early"/>
    <w:p>
      <w:pPr>
        <w:pStyle w:val="Bibliography"/>
      </w:pPr>
      <w:r>
        <w:t xml:space="preserve">(73)</w:t>
      </w:r>
      <w:r>
        <w:t xml:space="preserve"> </w:t>
      </w:r>
      <w:r>
        <w:t xml:space="preserve">	</w:t>
      </w:r>
      <w:r>
        <w:t xml:space="preserve">Recknagel, F.; Orr, P. T.; Bartkow, M.; Swanepoel, A.; Cao, H. Early Warning of Limit-Exceeding Concentrations of Cyanobacteria and Cyanotoxins in Drinking Water Reservoirs by Inferential Modelling.</w:t>
      </w:r>
      <w:r>
        <w:t xml:space="preserve"> </w:t>
      </w:r>
      <w:r>
        <w:rPr>
          <w:i/>
          <w:iCs/>
        </w:rPr>
        <w:t xml:space="preserve">Harmful Algae</w:t>
      </w:r>
      <w:r>
        <w:t xml:space="preserve"> </w:t>
      </w:r>
      <w:r>
        <w:rPr>
          <w:b/>
          <w:bCs/>
        </w:rPr>
        <w:t xml:space="preserve">2017</w:t>
      </w:r>
      <w:r>
        <w:t xml:space="preserve">,</w:t>
      </w:r>
      <w:r>
        <w:t xml:space="preserve"> </w:t>
      </w:r>
      <w:r>
        <w:rPr>
          <w:i/>
          <w:iCs/>
        </w:rPr>
        <w:t xml:space="preserve">69</w:t>
      </w:r>
      <w:r>
        <w:t xml:space="preserve">, 18–27. https://doi.org/</w:t>
      </w:r>
      <w:hyperlink r:id="rId219">
        <w:r>
          <w:rPr>
            <w:rStyle w:val="Hyperlink"/>
          </w:rPr>
          <w:t xml:space="preserve">10.1016/j.hal.2017.09.003</w:t>
        </w:r>
      </w:hyperlink>
      <w:r>
        <w:t xml:space="preserve">.</w:t>
      </w:r>
    </w:p>
    <w:bookmarkEnd w:id="220"/>
    <w:bookmarkStart w:id="222" w:name="ref-izaguirre2004a"/>
    <w:p>
      <w:pPr>
        <w:pStyle w:val="Bibliography"/>
      </w:pPr>
      <w:r>
        <w:t xml:space="preserve">(74)</w:t>
      </w:r>
      <w:r>
        <w:t xml:space="preserve"> </w:t>
      </w:r>
      <w:r>
        <w:t xml:space="preserve">	</w:t>
      </w:r>
      <w:r>
        <w:t xml:space="preserve">Izaguirre, G.; Taylor, W. D. A Guide to Geosmin- and MIB-Producing Cyanobacteria in the United States.</w:t>
      </w:r>
      <w:r>
        <w:t xml:space="preserve"> </w:t>
      </w:r>
      <w:r>
        <w:rPr>
          <w:i/>
          <w:iCs/>
        </w:rPr>
        <w:t xml:space="preserve">Water Science and Technology</w:t>
      </w:r>
      <w:r>
        <w:t xml:space="preserve"> </w:t>
      </w:r>
      <w:r>
        <w:rPr>
          <w:b/>
          <w:bCs/>
        </w:rPr>
        <w:t xml:space="preserve">2004</w:t>
      </w:r>
      <w:r>
        <w:t xml:space="preserve">,</w:t>
      </w:r>
      <w:r>
        <w:t xml:space="preserve"> </w:t>
      </w:r>
      <w:r>
        <w:rPr>
          <w:i/>
          <w:iCs/>
        </w:rPr>
        <w:t xml:space="preserve">49</w:t>
      </w:r>
      <w:r>
        <w:t xml:space="preserve"> </w:t>
      </w:r>
      <w:r>
        <w:t xml:space="preserve">(9), 19–24. https://doi.org/</w:t>
      </w:r>
      <w:hyperlink r:id="rId221">
        <w:r>
          <w:rPr>
            <w:rStyle w:val="Hyperlink"/>
          </w:rPr>
          <w:t xml:space="preserve">10.2166/wst.2004.0524</w:t>
        </w:r>
      </w:hyperlink>
      <w:r>
        <w:t xml:space="preserve">.</w:t>
      </w:r>
    </w:p>
    <w:bookmarkEnd w:id="222"/>
    <w:bookmarkStart w:id="224" w:name="ref-choo2025investigating"/>
    <w:p>
      <w:pPr>
        <w:pStyle w:val="Bibliography"/>
      </w:pPr>
      <w:r>
        <w:t xml:space="preserve">(75)</w:t>
      </w:r>
      <w:r>
        <w:t xml:space="preserve"> </w:t>
      </w:r>
      <w:r>
        <w:t xml:space="preserve">	</w:t>
      </w:r>
      <w:r>
        <w:t xml:space="preserve">Choo, F.; Cook, D.; Hobson, P. Investigating the Physicochemical Parameters That Drive Geosmin Production in Benthic Cyanobacterial Systems.</w:t>
      </w:r>
      <w:r>
        <w:t xml:space="preserve"> </w:t>
      </w:r>
      <w:r>
        <w:rPr>
          <w:i/>
          <w:iCs/>
        </w:rPr>
        <w:t xml:space="preserve">Water Research</w:t>
      </w:r>
      <w:r>
        <w:t xml:space="preserve"> </w:t>
      </w:r>
      <w:r>
        <w:rPr>
          <w:b/>
          <w:bCs/>
        </w:rPr>
        <w:t xml:space="preserve">2025</w:t>
      </w:r>
      <w:r>
        <w:t xml:space="preserve">,</w:t>
      </w:r>
      <w:r>
        <w:t xml:space="preserve"> </w:t>
      </w:r>
      <w:r>
        <w:rPr>
          <w:i/>
          <w:iCs/>
        </w:rPr>
        <w:t xml:space="preserve">287</w:t>
      </w:r>
      <w:r>
        <w:t xml:space="preserve">, 124388. https://doi.org/</w:t>
      </w:r>
      <w:hyperlink r:id="rId223">
        <w:r>
          <w:rPr>
            <w:rStyle w:val="Hyperlink"/>
          </w:rPr>
          <w:t xml:space="preserve">10.1016/j.watres.2025.124388</w:t>
        </w:r>
      </w:hyperlink>
      <w:r>
        <w:t xml:space="preserve">.</w:t>
      </w:r>
    </w:p>
    <w:bookmarkEnd w:id="224"/>
    <w:bookmarkEnd w:id="225"/>
    <w:bookmarkEnd w:id="226"/>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7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8"/>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 w:val="00D74377"/>
    <w:rsid w:val="00E27AC7"/>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E27AC7"/>
    <w:pPr>
      <w:keepLines/>
      <w:spacing w:before="120" w:line="360" w:lineRule="auto"/>
      <w:ind w:firstLine="0"/>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next w:val="ImageCaption"/>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3" Target="media/rId43.png" /><Relationship Type="http://schemas.openxmlformats.org/officeDocument/2006/relationships/image" Id="rId48" Target="media/rId48.png" /><Relationship Type="http://schemas.openxmlformats.org/officeDocument/2006/relationships/image" Id="rId53" Target="media/rId53.png" /><Relationship Type="http://schemas.openxmlformats.org/officeDocument/2006/relationships/image" Id="rId31" Target="media/rId31.png" /><Relationship Type="http://schemas.openxmlformats.org/officeDocument/2006/relationships/image" Id="rId61" Target="media/rId61.png" /><Relationship Type="http://schemas.openxmlformats.org/officeDocument/2006/relationships/image" Id="rId36" Target="media/rId36.png" /><Relationship Type="http://schemas.openxmlformats.org/officeDocument/2006/relationships/hyperlink" Id="rId178" Target="http://aem.asm.org/content/13/6/935.abstract" TargetMode="External" /><Relationship Type="http://schemas.openxmlformats.org/officeDocument/2006/relationships/hyperlink" Id="rId182" Target="https://doi.org/0043-1354(94)90306-9" TargetMode="External" /><Relationship Type="http://schemas.openxmlformats.org/officeDocument/2006/relationships/hyperlink" Id="rId212" Target="https://doi.org/10.1007/978-94-007-3855-3_9" TargetMode="External" /><Relationship Type="http://schemas.openxmlformats.org/officeDocument/2006/relationships/hyperlink" Id="rId140" Target="https://doi.org/10.1007/978-94-017-8944-8_29" TargetMode="External" /><Relationship Type="http://schemas.openxmlformats.org/officeDocument/2006/relationships/hyperlink" Id="rId122" Target="https://doi.org/10.1007/s00018-003-2079-y" TargetMode="External" /><Relationship Type="http://schemas.openxmlformats.org/officeDocument/2006/relationships/hyperlink" Id="rId186" Target="https://doi.org/10.1007/s10201-020-00630-2" TargetMode="External" /><Relationship Type="http://schemas.openxmlformats.org/officeDocument/2006/relationships/hyperlink" Id="rId130" Target="https://doi.org/10.1007/s10661-021-08980-9" TargetMode="External" /><Relationship Type="http://schemas.openxmlformats.org/officeDocument/2006/relationships/hyperlink" Id="rId184" Target="https://doi.org/10.1007/s11356-021-12973-z" TargetMode="External" /><Relationship Type="http://schemas.openxmlformats.org/officeDocument/2006/relationships/hyperlink" Id="rId118" Target="https://doi.org/10.1007/s11783-013-0577-1" TargetMode="External" /><Relationship Type="http://schemas.openxmlformats.org/officeDocument/2006/relationships/hyperlink" Id="rId158" Target="https://doi.org/10.1007/s11783-014-0702-9" TargetMode="External" /><Relationship Type="http://schemas.openxmlformats.org/officeDocument/2006/relationships/hyperlink" Id="rId172" Target="https://doi.org/10.1007/s42398-022-00246-5" TargetMode="External" /><Relationship Type="http://schemas.openxmlformats.org/officeDocument/2006/relationships/hyperlink" Id="rId170" Target="https://doi.org/10.1016/S0043-1354(00)00363-8" TargetMode="External" /><Relationship Type="http://schemas.openxmlformats.org/officeDocument/2006/relationships/hyperlink" Id="rId210" Target="https://doi.org/10.1016/b978-0-12-385876-4.00004-9" TargetMode="External" /><Relationship Type="http://schemas.openxmlformats.org/officeDocument/2006/relationships/hyperlink" Id="rId156" Target="https://doi.org/10.1016/j.chemosphere.2017.04.028" TargetMode="External" /><Relationship Type="http://schemas.openxmlformats.org/officeDocument/2006/relationships/hyperlink" Id="rId138" Target="https://doi.org/10.1016/j.ecss.2016.01.043" TargetMode="External" /><Relationship Type="http://schemas.openxmlformats.org/officeDocument/2006/relationships/hyperlink" Id="rId109" Target="https://doi.org/10.1016/j.envint.2013.06.013" TargetMode="External" /><Relationship Type="http://schemas.openxmlformats.org/officeDocument/2006/relationships/hyperlink" Id="rId160" Target="https://doi.org/10.1016/j.envpol.2021.117772" TargetMode="External" /><Relationship Type="http://schemas.openxmlformats.org/officeDocument/2006/relationships/hyperlink" Id="rId83" Target="https://doi.org/10.1016/j.hal.2008.08.006" TargetMode="External" /><Relationship Type="http://schemas.openxmlformats.org/officeDocument/2006/relationships/hyperlink" Id="rId91" Target="https://doi.org/10.1016/j.hal.2011.10.027" TargetMode="External" /><Relationship Type="http://schemas.openxmlformats.org/officeDocument/2006/relationships/hyperlink" Id="rId219" Target="https://doi.org/10.1016/j.hal.2017.09.003" TargetMode="External" /><Relationship Type="http://schemas.openxmlformats.org/officeDocument/2006/relationships/hyperlink" Id="rId162" Target="https://doi.org/10.1016/j.hal.2017.09.006" TargetMode="External" /><Relationship Type="http://schemas.openxmlformats.org/officeDocument/2006/relationships/hyperlink" Id="rId198" Target="https://doi.org/10.1016/j.hal.2019.01.010" TargetMode="External" /><Relationship Type="http://schemas.openxmlformats.org/officeDocument/2006/relationships/hyperlink" Id="rId206" Target="https://doi.org/10.1016/j.hal.2019.101658" TargetMode="External" /><Relationship Type="http://schemas.openxmlformats.org/officeDocument/2006/relationships/hyperlink" Id="rId196" Target="https://doi.org/10.1016/j.jglr.2014.03.016" TargetMode="External" /><Relationship Type="http://schemas.openxmlformats.org/officeDocument/2006/relationships/hyperlink" Id="rId152" Target="https://doi.org/10.1016/j.jhazmat.2021.128056" TargetMode="External" /><Relationship Type="http://schemas.openxmlformats.org/officeDocument/2006/relationships/hyperlink" Id="rId174" Target="https://doi.org/10.1016/j.jhazmat.2022.129838" TargetMode="External" /><Relationship Type="http://schemas.openxmlformats.org/officeDocument/2006/relationships/hyperlink" Id="rId124" Target="https://doi.org/10.1016/j.jhazmat.2025.140118" TargetMode="External" /><Relationship Type="http://schemas.openxmlformats.org/officeDocument/2006/relationships/hyperlink" Id="rId215" Target="https://doi.org/10.1016/j.scitotenv.2016.08.134" TargetMode="External" /><Relationship Type="http://schemas.openxmlformats.org/officeDocument/2006/relationships/hyperlink" Id="rId101" Target="https://doi.org/10.1016/j.watres.2010.09.018" TargetMode="External" /><Relationship Type="http://schemas.openxmlformats.org/officeDocument/2006/relationships/hyperlink" Id="rId89" Target="https://doi.org/10.1016/j.watres.2011.08.002" TargetMode="External" /><Relationship Type="http://schemas.openxmlformats.org/officeDocument/2006/relationships/hyperlink" Id="rId164" Target="https://doi.org/10.1016/j.watres.2013.03.043" TargetMode="External" /><Relationship Type="http://schemas.openxmlformats.org/officeDocument/2006/relationships/hyperlink" Id="rId192" Target="https://doi.org/10.1016/j.watres.2014.09.037" TargetMode="External" /><Relationship Type="http://schemas.openxmlformats.org/officeDocument/2006/relationships/hyperlink" Id="rId113" Target="https://doi.org/10.1016/j.watres.2014.09.038" TargetMode="External" /><Relationship Type="http://schemas.openxmlformats.org/officeDocument/2006/relationships/hyperlink" Id="rId146" Target="https://doi.org/10.1016/j.watres.2015.06.038" TargetMode="External" /><Relationship Type="http://schemas.openxmlformats.org/officeDocument/2006/relationships/hyperlink" Id="rId200" Target="https://doi.org/10.1016/j.watres.2018.02.041" TargetMode="External" /><Relationship Type="http://schemas.openxmlformats.org/officeDocument/2006/relationships/hyperlink" Id="rId93" Target="https://doi.org/10.1016/j.watres.2020.115959" TargetMode="External" /><Relationship Type="http://schemas.openxmlformats.org/officeDocument/2006/relationships/hyperlink" Id="rId168" Target="https://doi.org/10.1016/j.watres.2020.116478" TargetMode="External" /><Relationship Type="http://schemas.openxmlformats.org/officeDocument/2006/relationships/hyperlink" Id="rId97" Target="https://doi.org/10.1016/j.watres.2022.118573" TargetMode="External" /><Relationship Type="http://schemas.openxmlformats.org/officeDocument/2006/relationships/hyperlink" Id="rId190" Target="https://doi.org/10.1016/j.watres.2023.119693" TargetMode="External" /><Relationship Type="http://schemas.openxmlformats.org/officeDocument/2006/relationships/hyperlink" Id="rId95" Target="https://doi.org/10.1016/j.watres.2023.119807" TargetMode="External" /><Relationship Type="http://schemas.openxmlformats.org/officeDocument/2006/relationships/hyperlink" Id="rId148" Target="https://doi.org/10.1016/j.watres.2023.120485" TargetMode="External" /><Relationship Type="http://schemas.openxmlformats.org/officeDocument/2006/relationships/hyperlink" Id="rId217" Target="https://doi.org/10.1016/j.watres.2024.122509" TargetMode="External" /><Relationship Type="http://schemas.openxmlformats.org/officeDocument/2006/relationships/hyperlink" Id="rId176" Target="https://doi.org/10.1016/j.watres.2024.122767" TargetMode="External" /><Relationship Type="http://schemas.openxmlformats.org/officeDocument/2006/relationships/hyperlink" Id="rId208" Target="https://doi.org/10.1016/j.watres.2025.123336" TargetMode="External" /><Relationship Type="http://schemas.openxmlformats.org/officeDocument/2006/relationships/hyperlink" Id="rId223" Target="https://doi.org/10.1016/j.watres.2025.124388" TargetMode="External" /><Relationship Type="http://schemas.openxmlformats.org/officeDocument/2006/relationships/hyperlink" Id="rId128" Target="https://doi.org/10.1016/s1001-0742(10)60367-1" TargetMode="External" /><Relationship Type="http://schemas.openxmlformats.org/officeDocument/2006/relationships/hyperlink" Id="rId105" Target="https://doi.org/10.1021/acs.est.0c06653" TargetMode="External" /><Relationship Type="http://schemas.openxmlformats.org/officeDocument/2006/relationships/hyperlink" Id="rId194" Target="https://doi.org/10.1021/es102992p" TargetMode="External" /><Relationship Type="http://schemas.openxmlformats.org/officeDocument/2006/relationships/hyperlink" Id="rId166" Target="https://doi.org/10.1021/es801465w" TargetMode="External" /><Relationship Type="http://schemas.openxmlformats.org/officeDocument/2006/relationships/hyperlink" Id="rId79" Target="https://doi.org/10.1038/s41579-018-0040-1" TargetMode="External" /><Relationship Type="http://schemas.openxmlformats.org/officeDocument/2006/relationships/hyperlink" Id="rId85" Target="https://doi.org/10.1038/s41586-021-03254-3" TargetMode="External" /><Relationship Type="http://schemas.openxmlformats.org/officeDocument/2006/relationships/hyperlink" Id="rId202" Target="https://doi.org/10.1038/s41598-020-64774-y" TargetMode="External" /><Relationship Type="http://schemas.openxmlformats.org/officeDocument/2006/relationships/hyperlink" Id="rId87" Target="https://doi.org/10.1038/s43017-020-0067-5" TargetMode="External" /><Relationship Type="http://schemas.openxmlformats.org/officeDocument/2006/relationships/hyperlink" Id="rId126" Target="https://doi.org/10.1080/07388550500248498" TargetMode="External" /><Relationship Type="http://schemas.openxmlformats.org/officeDocument/2006/relationships/hyperlink" Id="rId134" Target="https://doi.org/10.1080/07438148409354521" TargetMode="External" /><Relationship Type="http://schemas.openxmlformats.org/officeDocument/2006/relationships/hyperlink" Id="rId120" Target="https://doi.org/10.1093/plankt/fbq033" TargetMode="External" /><Relationship Type="http://schemas.openxmlformats.org/officeDocument/2006/relationships/hyperlink" Id="rId81" Target="https://doi.org/10.1100/tsw.2001.16" TargetMode="External" /><Relationship Type="http://schemas.openxmlformats.org/officeDocument/2006/relationships/hyperlink" Id="rId103" Target="https://doi.org/10.1111/j.1365-2486.2011.02488.x" TargetMode="External" /><Relationship Type="http://schemas.openxmlformats.org/officeDocument/2006/relationships/hyperlink" Id="rId116" Target="https://doi.org/10.1126/science.319.5860.158a" TargetMode="External" /><Relationship Type="http://schemas.openxmlformats.org/officeDocument/2006/relationships/hyperlink" Id="rId142" Target="https://doi.org/10.1128/aem.02250-06" TargetMode="External" /><Relationship Type="http://schemas.openxmlformats.org/officeDocument/2006/relationships/hyperlink" Id="rId107" Target="https://doi.org/10.1289/ehp.01109663" TargetMode="External" /><Relationship Type="http://schemas.openxmlformats.org/officeDocument/2006/relationships/hyperlink" Id="rId132" Target="https://doi.org/10.2166/wpt.2022.167" TargetMode="External" /><Relationship Type="http://schemas.openxmlformats.org/officeDocument/2006/relationships/hyperlink" Id="rId188" Target="https://doi.org/10.2166/wst.1992.0055" TargetMode="External" /><Relationship Type="http://schemas.openxmlformats.org/officeDocument/2006/relationships/hyperlink" Id="rId221" Target="https://doi.org/10.2166/wst.2004.0524" TargetMode="External" /><Relationship Type="http://schemas.openxmlformats.org/officeDocument/2006/relationships/hyperlink" Id="rId144" Target="https://doi.org/10.2216/i0031-8884-42-4-332.1" TargetMode="External" /><Relationship Type="http://schemas.openxmlformats.org/officeDocument/2006/relationships/hyperlink" Id="rId180" Target="https://doi.org/10.3109/10408417909082014" TargetMode="External" /><Relationship Type="http://schemas.openxmlformats.org/officeDocument/2006/relationships/hyperlink" Id="rId150" Target="https://doi.org/10.3389/fevo.2023.1216567" TargetMode="External" /><Relationship Type="http://schemas.openxmlformats.org/officeDocument/2006/relationships/hyperlink" Id="rId136" Target="https://doi.org/10.3389/frwa.2023.1084050" TargetMode="External" /><Relationship Type="http://schemas.openxmlformats.org/officeDocument/2006/relationships/hyperlink" Id="rId99" Target="https://doi.org/10.4319/lo.2010.55.1.0420" TargetMode="External" /><Relationship Type="http://schemas.openxmlformats.org/officeDocument/2006/relationships/hyperlink" Id="rId111" Target="https://doi.org/10.5942/jawwa.2017.109.0118" TargetMode="External" /><Relationship Type="http://schemas.openxmlformats.org/officeDocument/2006/relationships/hyperlink" Id="rId204" Target="https://doi.org/J.scitotenv.2018.08.307" TargetMode="External" /><Relationship Type="http://schemas.openxmlformats.org/officeDocument/2006/relationships/hyperlink" Id="rId72" Target="https://drwater.net/team/ming-su/" TargetMode="External" /><Relationship Type="http://schemas.openxmlformats.org/officeDocument/2006/relationships/hyperlink" Id="rId71" Target="https://orcid.org/0000-0001-9821-1268"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_rels/footnotes.xml.rels><?xml version="1.0" encoding="UTF-8"?><Relationships xmlns="http://schemas.openxmlformats.org/package/2006/relationships"><Relationship Type="http://schemas.openxmlformats.org/officeDocument/2006/relationships/hyperlink" Id="rId178" Target="http://aem.asm.org/content/13/6/935.abstract" TargetMode="External" /><Relationship Type="http://schemas.openxmlformats.org/officeDocument/2006/relationships/hyperlink" Id="rId182" Target="https://doi.org/0043-1354(94)90306-9" TargetMode="External" /><Relationship Type="http://schemas.openxmlformats.org/officeDocument/2006/relationships/hyperlink" Id="rId212" Target="https://doi.org/10.1007/978-94-007-3855-3_9" TargetMode="External" /><Relationship Type="http://schemas.openxmlformats.org/officeDocument/2006/relationships/hyperlink" Id="rId140" Target="https://doi.org/10.1007/978-94-017-8944-8_29" TargetMode="External" /><Relationship Type="http://schemas.openxmlformats.org/officeDocument/2006/relationships/hyperlink" Id="rId122" Target="https://doi.org/10.1007/s00018-003-2079-y" TargetMode="External" /><Relationship Type="http://schemas.openxmlformats.org/officeDocument/2006/relationships/hyperlink" Id="rId186" Target="https://doi.org/10.1007/s10201-020-00630-2" TargetMode="External" /><Relationship Type="http://schemas.openxmlformats.org/officeDocument/2006/relationships/hyperlink" Id="rId130" Target="https://doi.org/10.1007/s10661-021-08980-9" TargetMode="External" /><Relationship Type="http://schemas.openxmlformats.org/officeDocument/2006/relationships/hyperlink" Id="rId184" Target="https://doi.org/10.1007/s11356-021-12973-z" TargetMode="External" /><Relationship Type="http://schemas.openxmlformats.org/officeDocument/2006/relationships/hyperlink" Id="rId118" Target="https://doi.org/10.1007/s11783-013-0577-1" TargetMode="External" /><Relationship Type="http://schemas.openxmlformats.org/officeDocument/2006/relationships/hyperlink" Id="rId158" Target="https://doi.org/10.1007/s11783-014-0702-9" TargetMode="External" /><Relationship Type="http://schemas.openxmlformats.org/officeDocument/2006/relationships/hyperlink" Id="rId172" Target="https://doi.org/10.1007/s42398-022-00246-5" TargetMode="External" /><Relationship Type="http://schemas.openxmlformats.org/officeDocument/2006/relationships/hyperlink" Id="rId170" Target="https://doi.org/10.1016/S0043-1354(00)00363-8" TargetMode="External" /><Relationship Type="http://schemas.openxmlformats.org/officeDocument/2006/relationships/hyperlink" Id="rId210" Target="https://doi.org/10.1016/b978-0-12-385876-4.00004-9" TargetMode="External" /><Relationship Type="http://schemas.openxmlformats.org/officeDocument/2006/relationships/hyperlink" Id="rId156" Target="https://doi.org/10.1016/j.chemosphere.2017.04.028" TargetMode="External" /><Relationship Type="http://schemas.openxmlformats.org/officeDocument/2006/relationships/hyperlink" Id="rId138" Target="https://doi.org/10.1016/j.ecss.2016.01.043" TargetMode="External" /><Relationship Type="http://schemas.openxmlformats.org/officeDocument/2006/relationships/hyperlink" Id="rId109" Target="https://doi.org/10.1016/j.envint.2013.06.013" TargetMode="External" /><Relationship Type="http://schemas.openxmlformats.org/officeDocument/2006/relationships/hyperlink" Id="rId160" Target="https://doi.org/10.1016/j.envpol.2021.117772" TargetMode="External" /><Relationship Type="http://schemas.openxmlformats.org/officeDocument/2006/relationships/hyperlink" Id="rId83" Target="https://doi.org/10.1016/j.hal.2008.08.006" TargetMode="External" /><Relationship Type="http://schemas.openxmlformats.org/officeDocument/2006/relationships/hyperlink" Id="rId91" Target="https://doi.org/10.1016/j.hal.2011.10.027" TargetMode="External" /><Relationship Type="http://schemas.openxmlformats.org/officeDocument/2006/relationships/hyperlink" Id="rId219" Target="https://doi.org/10.1016/j.hal.2017.09.003" TargetMode="External" /><Relationship Type="http://schemas.openxmlformats.org/officeDocument/2006/relationships/hyperlink" Id="rId162" Target="https://doi.org/10.1016/j.hal.2017.09.006" TargetMode="External" /><Relationship Type="http://schemas.openxmlformats.org/officeDocument/2006/relationships/hyperlink" Id="rId198" Target="https://doi.org/10.1016/j.hal.2019.01.010" TargetMode="External" /><Relationship Type="http://schemas.openxmlformats.org/officeDocument/2006/relationships/hyperlink" Id="rId206" Target="https://doi.org/10.1016/j.hal.2019.101658" TargetMode="External" /><Relationship Type="http://schemas.openxmlformats.org/officeDocument/2006/relationships/hyperlink" Id="rId196" Target="https://doi.org/10.1016/j.jglr.2014.03.016" TargetMode="External" /><Relationship Type="http://schemas.openxmlformats.org/officeDocument/2006/relationships/hyperlink" Id="rId152" Target="https://doi.org/10.1016/j.jhazmat.2021.128056" TargetMode="External" /><Relationship Type="http://schemas.openxmlformats.org/officeDocument/2006/relationships/hyperlink" Id="rId174" Target="https://doi.org/10.1016/j.jhazmat.2022.129838" TargetMode="External" /><Relationship Type="http://schemas.openxmlformats.org/officeDocument/2006/relationships/hyperlink" Id="rId124" Target="https://doi.org/10.1016/j.jhazmat.2025.140118" TargetMode="External" /><Relationship Type="http://schemas.openxmlformats.org/officeDocument/2006/relationships/hyperlink" Id="rId215" Target="https://doi.org/10.1016/j.scitotenv.2016.08.134" TargetMode="External" /><Relationship Type="http://schemas.openxmlformats.org/officeDocument/2006/relationships/hyperlink" Id="rId101" Target="https://doi.org/10.1016/j.watres.2010.09.018" TargetMode="External" /><Relationship Type="http://schemas.openxmlformats.org/officeDocument/2006/relationships/hyperlink" Id="rId89" Target="https://doi.org/10.1016/j.watres.2011.08.002" TargetMode="External" /><Relationship Type="http://schemas.openxmlformats.org/officeDocument/2006/relationships/hyperlink" Id="rId164" Target="https://doi.org/10.1016/j.watres.2013.03.043" TargetMode="External" /><Relationship Type="http://schemas.openxmlformats.org/officeDocument/2006/relationships/hyperlink" Id="rId192" Target="https://doi.org/10.1016/j.watres.2014.09.037" TargetMode="External" /><Relationship Type="http://schemas.openxmlformats.org/officeDocument/2006/relationships/hyperlink" Id="rId113" Target="https://doi.org/10.1016/j.watres.2014.09.038" TargetMode="External" /><Relationship Type="http://schemas.openxmlformats.org/officeDocument/2006/relationships/hyperlink" Id="rId146" Target="https://doi.org/10.1016/j.watres.2015.06.038" TargetMode="External" /><Relationship Type="http://schemas.openxmlformats.org/officeDocument/2006/relationships/hyperlink" Id="rId200" Target="https://doi.org/10.1016/j.watres.2018.02.041" TargetMode="External" /><Relationship Type="http://schemas.openxmlformats.org/officeDocument/2006/relationships/hyperlink" Id="rId93" Target="https://doi.org/10.1016/j.watres.2020.115959" TargetMode="External" /><Relationship Type="http://schemas.openxmlformats.org/officeDocument/2006/relationships/hyperlink" Id="rId168" Target="https://doi.org/10.1016/j.watres.2020.116478" TargetMode="External" /><Relationship Type="http://schemas.openxmlformats.org/officeDocument/2006/relationships/hyperlink" Id="rId97" Target="https://doi.org/10.1016/j.watres.2022.118573" TargetMode="External" /><Relationship Type="http://schemas.openxmlformats.org/officeDocument/2006/relationships/hyperlink" Id="rId190" Target="https://doi.org/10.1016/j.watres.2023.119693" TargetMode="External" /><Relationship Type="http://schemas.openxmlformats.org/officeDocument/2006/relationships/hyperlink" Id="rId95" Target="https://doi.org/10.1016/j.watres.2023.119807" TargetMode="External" /><Relationship Type="http://schemas.openxmlformats.org/officeDocument/2006/relationships/hyperlink" Id="rId148" Target="https://doi.org/10.1016/j.watres.2023.120485" TargetMode="External" /><Relationship Type="http://schemas.openxmlformats.org/officeDocument/2006/relationships/hyperlink" Id="rId217" Target="https://doi.org/10.1016/j.watres.2024.122509" TargetMode="External" /><Relationship Type="http://schemas.openxmlformats.org/officeDocument/2006/relationships/hyperlink" Id="rId176" Target="https://doi.org/10.1016/j.watres.2024.122767" TargetMode="External" /><Relationship Type="http://schemas.openxmlformats.org/officeDocument/2006/relationships/hyperlink" Id="rId208" Target="https://doi.org/10.1016/j.watres.2025.123336" TargetMode="External" /><Relationship Type="http://schemas.openxmlformats.org/officeDocument/2006/relationships/hyperlink" Id="rId223" Target="https://doi.org/10.1016/j.watres.2025.124388" TargetMode="External" /><Relationship Type="http://schemas.openxmlformats.org/officeDocument/2006/relationships/hyperlink" Id="rId128" Target="https://doi.org/10.1016/s1001-0742(10)60367-1" TargetMode="External" /><Relationship Type="http://schemas.openxmlformats.org/officeDocument/2006/relationships/hyperlink" Id="rId105" Target="https://doi.org/10.1021/acs.est.0c06653" TargetMode="External" /><Relationship Type="http://schemas.openxmlformats.org/officeDocument/2006/relationships/hyperlink" Id="rId194" Target="https://doi.org/10.1021/es102992p" TargetMode="External" /><Relationship Type="http://schemas.openxmlformats.org/officeDocument/2006/relationships/hyperlink" Id="rId166" Target="https://doi.org/10.1021/es801465w" TargetMode="External" /><Relationship Type="http://schemas.openxmlformats.org/officeDocument/2006/relationships/hyperlink" Id="rId79" Target="https://doi.org/10.1038/s41579-018-0040-1" TargetMode="External" /><Relationship Type="http://schemas.openxmlformats.org/officeDocument/2006/relationships/hyperlink" Id="rId85" Target="https://doi.org/10.1038/s41586-021-03254-3" TargetMode="External" /><Relationship Type="http://schemas.openxmlformats.org/officeDocument/2006/relationships/hyperlink" Id="rId202" Target="https://doi.org/10.1038/s41598-020-64774-y" TargetMode="External" /><Relationship Type="http://schemas.openxmlformats.org/officeDocument/2006/relationships/hyperlink" Id="rId87" Target="https://doi.org/10.1038/s43017-020-0067-5" TargetMode="External" /><Relationship Type="http://schemas.openxmlformats.org/officeDocument/2006/relationships/hyperlink" Id="rId126" Target="https://doi.org/10.1080/07388550500248498" TargetMode="External" /><Relationship Type="http://schemas.openxmlformats.org/officeDocument/2006/relationships/hyperlink" Id="rId134" Target="https://doi.org/10.1080/07438148409354521" TargetMode="External" /><Relationship Type="http://schemas.openxmlformats.org/officeDocument/2006/relationships/hyperlink" Id="rId120" Target="https://doi.org/10.1093/plankt/fbq033" TargetMode="External" /><Relationship Type="http://schemas.openxmlformats.org/officeDocument/2006/relationships/hyperlink" Id="rId81" Target="https://doi.org/10.1100/tsw.2001.16" TargetMode="External" /><Relationship Type="http://schemas.openxmlformats.org/officeDocument/2006/relationships/hyperlink" Id="rId103" Target="https://doi.org/10.1111/j.1365-2486.2011.02488.x" TargetMode="External" /><Relationship Type="http://schemas.openxmlformats.org/officeDocument/2006/relationships/hyperlink" Id="rId116" Target="https://doi.org/10.1126/science.319.5860.158a" TargetMode="External" /><Relationship Type="http://schemas.openxmlformats.org/officeDocument/2006/relationships/hyperlink" Id="rId142" Target="https://doi.org/10.1128/aem.02250-06" TargetMode="External" /><Relationship Type="http://schemas.openxmlformats.org/officeDocument/2006/relationships/hyperlink" Id="rId107" Target="https://doi.org/10.1289/ehp.01109663" TargetMode="External" /><Relationship Type="http://schemas.openxmlformats.org/officeDocument/2006/relationships/hyperlink" Id="rId132" Target="https://doi.org/10.2166/wpt.2022.167" TargetMode="External" /><Relationship Type="http://schemas.openxmlformats.org/officeDocument/2006/relationships/hyperlink" Id="rId188" Target="https://doi.org/10.2166/wst.1992.0055" TargetMode="External" /><Relationship Type="http://schemas.openxmlformats.org/officeDocument/2006/relationships/hyperlink" Id="rId221" Target="https://doi.org/10.2166/wst.2004.0524" TargetMode="External" /><Relationship Type="http://schemas.openxmlformats.org/officeDocument/2006/relationships/hyperlink" Id="rId144" Target="https://doi.org/10.2216/i0031-8884-42-4-332.1" TargetMode="External" /><Relationship Type="http://schemas.openxmlformats.org/officeDocument/2006/relationships/hyperlink" Id="rId180" Target="https://doi.org/10.3109/10408417909082014" TargetMode="External" /><Relationship Type="http://schemas.openxmlformats.org/officeDocument/2006/relationships/hyperlink" Id="rId150" Target="https://doi.org/10.3389/fevo.2023.1216567" TargetMode="External" /><Relationship Type="http://schemas.openxmlformats.org/officeDocument/2006/relationships/hyperlink" Id="rId136" Target="https://doi.org/10.3389/frwa.2023.1084050" TargetMode="External" /><Relationship Type="http://schemas.openxmlformats.org/officeDocument/2006/relationships/hyperlink" Id="rId99" Target="https://doi.org/10.4319/lo.2010.55.1.0420" TargetMode="External" /><Relationship Type="http://schemas.openxmlformats.org/officeDocument/2006/relationships/hyperlink" Id="rId111" Target="https://doi.org/10.5942/jawwa.2017.109.0118" TargetMode="External" /><Relationship Type="http://schemas.openxmlformats.org/officeDocument/2006/relationships/hyperlink" Id="rId204" Target="https://doi.org/J.scitotenv.2018.08.307" TargetMode="External" /><Relationship Type="http://schemas.openxmlformats.org/officeDocument/2006/relationships/hyperlink" Id="rId72" Target="https://drwater.net/team/ming-su/" TargetMode="External" /><Relationship Type="http://schemas.openxmlformats.org/officeDocument/2006/relationships/hyperlink" Id="rId71" Target="https://orcid.org/0000-0001-9821-1268"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Integrating littoral zone odor dynamics into early warning and intervention systems for drinking water reservoirs</dc:title>
  <dc:creator>Yuying Guia,b,#, Tengxin Caob,f,#, Ming Su ID,b,f,*, Jie Yangc, Ziyi Yangb,f, Qi Zhange, Lin Sund, Yufan Aib,f, Jiao Fangb, Yingjie Lib,f, and Min Yangb,f</dc:creator>
  <dc:language>en</dc:language>
  <cp:keywords/>
  <dcterms:created xsi:type="dcterms:W3CDTF">2026-01-03T09:02:05Z</dcterms:created>
  <dcterms:modified xsi:type="dcterms:W3CDTF">2026-01-03T09:02:05Z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../_extensions/drwater/dwinst/american-chemical-society.csl</vt:lpwstr>
  </property>
  <property fmtid="{D5CDD505-2E9C-101B-9397-08002B2CF9AE}" pid="12" name="doublespacing">
    <vt:lpwstr>True</vt:lpwstr>
  </property>
  <property fmtid="{D5CDD505-2E9C-101B-9397-08002B2CF9AE}" pid="13" name="endfloat">
    <vt:lpwstr>False</vt:lpwstr>
  </property>
  <property fmtid="{D5CDD505-2E9C-101B-9397-08002B2CF9AE}" pid="14" name="header-includes">
    <vt:lpwstr/>
  </property>
  <property fmtid="{D5CDD505-2E9C-101B-9397-08002B2CF9AE}" pid="15" name="include-after">
    <vt:lpwstr/>
  </property>
  <property fmtid="{D5CDD505-2E9C-101B-9397-08002B2CF9AE}" pid="16" name="include-before">
    <vt:lpwstr/>
  </property>
  <property fmtid="{D5CDD505-2E9C-101B-9397-08002B2CF9AE}" pid="17" name="isMS">
    <vt:lpwstr>True</vt:lpwstr>
  </property>
  <property fmtid="{D5CDD505-2E9C-101B-9397-08002B2CF9AE}" pid="18" name="knitr">
    <vt:lpwstr/>
  </property>
  <property fmtid="{D5CDD505-2E9C-101B-9397-08002B2CF9AE}" pid="19" name="labels">
    <vt:lpwstr/>
  </property>
  <property fmtid="{D5CDD505-2E9C-101B-9397-08002B2CF9AE}" pid="20" name="lightbox">
    <vt:lpwstr>auto</vt:lpwstr>
  </property>
  <property fmtid="{D5CDD505-2E9C-101B-9397-08002B2CF9AE}" pid="21" name="linenumber">
    <vt:lpwstr>True</vt:lpwstr>
  </property>
  <property fmtid="{D5CDD505-2E9C-101B-9397-08002B2CF9AE}" pid="22" name="msname">
    <vt:lpwstr>MS</vt:lpwstr>
  </property>
  <property fmtid="{D5CDD505-2E9C-101B-9397-08002B2CF9AE}" pid="23" name="revealjs-plugins">
    <vt:lpwstr/>
  </property>
  <property fmtid="{D5CDD505-2E9C-101B-9397-08002B2CF9AE}" pid="24" name="smname">
    <vt:lpwstr>SM</vt:lpwstr>
  </property>
  <property fmtid="{D5CDD505-2E9C-101B-9397-08002B2CF9AE}" pid="25" name="submitid">
    <vt:lpwstr/>
  </property>
  <property fmtid="{D5CDD505-2E9C-101B-9397-08002B2CF9AE}" pid="26" name="submitjournal">
    <vt:lpwstr>Environmental Science &amp; Technology</vt:lpwstr>
  </property>
  <property fmtid="{D5CDD505-2E9C-101B-9397-08002B2CF9AE}" pid="27" name="toc-title">
    <vt:lpwstr>Table of contents</vt:lpwstr>
  </property>
  <property fmtid="{D5CDD505-2E9C-101B-9397-08002B2CF9AE}" pid="28" name="watermark">
    <vt:lpwstr/>
  </property>
</Properties>
</file>