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Yuqiao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w:t>
      </w:r>
      <w:r>
        <w:rPr>
          <w:vertAlign w:val="superscript"/>
        </w:rPr>
        <w:t xml:space="preserve">45,46</w:t>
      </w:r>
      <w:r>
        <w:t xml:space="preserve">. Amplicons were verified via agarose gel electrophoresis and subjected to high-throughput sequencing. After quality filtering, sequences were clustered into operational taxonomic units (OTUs) at 97% similarity.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The nutrient concentrations difference in surveyed 43 reservoirs (Fig. S1); The phytoplankton composition and basic sediment characteristics in ten representative reservoirs (Figs. S2-S3); Temporal dynamics of</w:t>
      </w:r>
      <w:r>
        <w:t xml:space="preserve"> </w:t>
      </w:r>
      <w:r>
        <w:rPr>
          <w:i/>
          <w:iCs/>
        </w:rPr>
        <w:t xml:space="preserve">Microcystis</w:t>
      </w:r>
      <w:r>
        <w:t xml:space="preserve"> </w:t>
      </w:r>
      <w:r>
        <w:t xml:space="preserve">density and dissolved metals during formal sediment resuspension (SR) experiments (Figs. S4-S8); Predictive modeling of SR performance across reservoirs with varying sediment reactivity and particle size structures (Fig. S9); Temporal dynamics of dissolved metals during</w:t>
      </w:r>
      <w:r>
        <w:t xml:space="preserve"> </w:t>
      </w:r>
      <w:r>
        <w:rPr>
          <w:i/>
          <w:iCs/>
        </w:rPr>
        <w:t xml:space="preserve">in-situ</w:t>
      </w:r>
      <w:r>
        <w:t xml:space="preserve"> </w:t>
      </w:r>
      <w:r>
        <w:t xml:space="preserve">SR operation (Fig. S10); Relationships between physicochemical properties and algal removal performance of air‐dried sediments during 72‐h settling pre-experiments (Fig. S11); Sediment physicochemical properties,</w:t>
      </w:r>
      <w:r>
        <w:t xml:space="preserve"> </w:t>
      </w:r>
      <w:r>
        <w:rPr>
          <w:i/>
          <w:iCs/>
        </w:rPr>
        <w:t xml:space="preserve">Microcystis</w:t>
      </w:r>
      <w:r>
        <w:t xml:space="preserve"> </w:t>
      </w:r>
      <w:r>
        <w:t xml:space="preserve">removal efficiency, and dissolved heavy metals dynamics during the second preliminary SR experiments (Tables S1–S2; Figs. S12-S13); Scanning electron microscopy (SEM) images and real image illustrating</w:t>
      </w:r>
      <w:r>
        <w:t xml:space="preserve"> </w:t>
      </w:r>
      <w:r>
        <w:rPr>
          <w:i/>
          <w:iCs/>
        </w:rPr>
        <w:t xml:space="preserve">Microcystis</w:t>
      </w:r>
      <w:r>
        <w:t xml:space="preserve">–sediment floc formation (Figs. S14-S15); and references (PDF).</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Ming Su ID,b,f,*, Jie Yangc, Ziyi Yangb,f, Qi Zhange, Lin Sund, Yufan Aib,f, Jiao Fangb, Yingjie Lib,f, and Min Yangb,f</dc:creator>
  <dc:language>en</dc:language>
  <cp:keywords/>
  <dcterms:created xsi:type="dcterms:W3CDTF">2026-01-03T15:42:26Z</dcterms:created>
  <dcterms:modified xsi:type="dcterms:W3CDTF">2026-01-03T15:42:26Z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