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Jie Yang</w:t>
      </w:r>
      <w:r>
        <w:rPr>
          <w:vertAlign w:val="superscript"/>
        </w:rPr>
        <w:t xml:space="preserve">c</w:t>
      </w:r>
      <w:r>
        <w:t xml:space="preserve">, Ziyi Yang</w:t>
      </w:r>
      <w:r>
        <w:rPr>
          <w:vertAlign w:val="superscript"/>
        </w:rPr>
        <w:t xml:space="preserve">b,f</w:t>
      </w:r>
      <w:r>
        <w:t xml:space="preserve">, Qi Zhang</w:t>
      </w:r>
      <w:r>
        <w:rPr>
          <w:vertAlign w:val="superscript"/>
        </w:rPr>
        <w:t xml:space="preserve">e</w:t>
      </w:r>
      <w:r>
        <w:t xml:space="preserve">, Lin Sun</w:t>
      </w:r>
      <w:r>
        <w:rPr>
          <w:vertAlign w:val="superscript"/>
        </w:rPr>
        <w:t xml:space="preserve">d</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Key Laboratory of Animal and Plant Resistance, College of Life Sciences, Tianjin Normal University, Tianjin 300387,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Yuqiao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rPr>
          <w:vertAlign w:val="superscript"/>
        </w:rPr>
        <w:t xml:space="preserve">1–7</w:t>
      </w:r>
      <w:r>
        <w:t xml:space="preserve">. While CyanoHABs in eutrophic shallow lakes have been extensively characterized</w:t>
      </w:r>
      <w:r>
        <w:rPr>
          <w:vertAlign w:val="superscript"/>
        </w:rPr>
        <w:t xml:space="preserve">8–13</w:t>
      </w:r>
      <w:r>
        <w:t xml:space="preserve">, research in reservoir systems remains comparatively limited. In these critical drinking water resources, CyanoHABs directly jeopardize water safety through the production of toxins</w:t>
      </w:r>
      <w:r>
        <w:rPr>
          <w:vertAlign w:val="superscript"/>
        </w:rPr>
        <w:t xml:space="preserve">14–16</w:t>
      </w:r>
      <w:r>
        <w:t xml:space="preserve"> </w:t>
      </w:r>
      <w:r>
        <w:t xml:space="preserve">and taste-and-odor (T&amp;O) compounds</w:t>
      </w:r>
      <w:r>
        <w:rPr>
          <w:vertAlign w:val="superscript"/>
        </w:rPr>
        <w:t xml:space="preserve">17–20</w:t>
      </w:r>
      <w:r>
        <w:t xml:space="preserve">. Approximately half of China’s source-water reservoirs experience recurrent algal-derived T&amp;O episodes</w:t>
      </w:r>
      <w:r>
        <w:rPr>
          <w:vertAlign w:val="superscript"/>
        </w:rPr>
        <w:t xml:space="preserve">21</w:t>
      </w:r>
      <w:r>
        <w:t xml:space="preserve">. Unlike chemical contaminants, cyanobacterial populations exhibit exponential growth under favorable conditions</w:t>
      </w:r>
      <w:r>
        <w:rPr>
          <w:vertAlign w:val="superscript"/>
        </w:rPr>
        <w:t xml:space="preserve">22,23</w:t>
      </w:r>
      <w:r>
        <w:t xml:space="preserve">, resulting in rapid metabolite release</w:t>
      </w:r>
      <w:r>
        <w:rPr>
          <w:vertAlign w:val="superscript"/>
        </w:rPr>
        <w:t xml:space="preserve">24,25</w:t>
      </w:r>
      <w:r>
        <w:t xml:space="preserve"> </w:t>
      </w:r>
      <w:r>
        <w:t xml:space="preserve">that often exceeds the treatment capacity of conventional water utilities</w:t>
      </w:r>
      <w:r>
        <w:rPr>
          <w:vertAlign w:val="superscript"/>
        </w:rPr>
        <w:t xml:space="preserve">26–28</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rPr>
          <w:vertAlign w:val="superscript"/>
        </w:rPr>
        <w:t xml:space="preserve">29,30</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in reservoirs are characterized by enhanced nutrient availability and light penetration</w:t>
      </w:r>
      <w:r>
        <w:rPr>
          <w:vertAlign w:val="superscript"/>
        </w:rPr>
        <w:t xml:space="preserve">31,32</w:t>
      </w:r>
      <w:r>
        <w:t xml:space="preserve">, which may facilitate early cyanobacterial proliferation.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rPr>
          <w:vertAlign w:val="superscript"/>
        </w:rPr>
        <w:t xml:space="preserve">33,34</w:t>
      </w:r>
      <w:r>
        <w:t xml:space="preserve">. Their low molecular weight and chemical stability allow them to penetrate conventional treatment barriers and persist in distribution networks</w:t>
      </w:r>
      <w:r>
        <w:rPr>
          <w:vertAlign w:val="superscript"/>
        </w:rPr>
        <w:t xml:space="preserve">19,35</w:t>
      </w:r>
      <w:r>
        <w:t xml:space="preserve">. While MIB episodes in China have been well studied and managed through hydraulic controls</w:t>
      </w:r>
      <w:r>
        <w:rPr>
          <w:vertAlign w:val="superscript"/>
        </w:rPr>
        <w:t xml:space="preserve">18,36</w:t>
      </w:r>
      <w:r>
        <w:t xml:space="preserve">, geosmin episodes are increasing in frequency across Northern Hemisphere reservoirs</w:t>
      </w:r>
      <w:r>
        <w:rPr>
          <w:vertAlign w:val="superscript"/>
        </w:rPr>
        <w:t xml:space="preserve">37,38</w:t>
      </w:r>
      <w:r>
        <w:t xml:space="preserve">. The high phylogenetic diversity of geosmin-producing taxa</w:t>
      </w:r>
      <w:r>
        <w:rPr>
          <w:vertAlign w:val="superscript"/>
        </w:rPr>
        <w:t xml:space="preserve">39</w:t>
      </w:r>
      <w:r>
        <w:t xml:space="preserve"> </w:t>
      </w:r>
      <w:r>
        <w:t xml:space="preserve">complicates the identification of biological sources and the development of targeted management strategies, emphasizing the need for research into the ecological niches and</w:t>
      </w:r>
      <w:r>
        <w:t xml:space="preserve"> </w:t>
      </w:r>
      <w:r>
        <w:t xml:space="preserve">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rPr>
          <w:vertAlign w:val="superscript"/>
        </w:rPr>
        <w:t xml:space="preserve">40</w:t>
      </w:r>
      <w:r>
        <w:t xml:space="preserve">. In total, geosmin data from 214 distinct sampling sites were analyzed to characterize spatial heterogeneity and nationwide occurrence patterns.</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primary drinking water source for Tianjin, China</w:t>
      </w:r>
      <w:r>
        <w:rPr>
          <w:vertAlign w:val="superscript"/>
        </w:rPr>
        <w:t xml:space="preserve">41,42</w:t>
      </w:r>
      <w:r>
        <w:t xml:space="preserve">. The reservoir has experienced recurrent seasonal taste-and-odor episodes in recent years</w:t>
      </w:r>
      <w:r>
        <w:rPr>
          <w:vertAlign w:val="superscript"/>
        </w:rPr>
        <w:t xml:space="preserve">43,44</w:t>
      </w:r>
      <w:r>
        <w:t xml:space="preserve">. Based on bathymetric and hydrodynamic gradients, seven sampling sites (YQ01–YQ07) were established along a littoral-to-lacustrine transect. Site YQ01, located in the deep lacustrine zone (max depth ~12 m), was monitored via integrated water column sampling. Sites YQ02–YQ07 were situated in shallower littoral and transitional zones (depth 2–4 m), where surface water was collected. High-frequency sampling (2–3 times per week) was conducted from 2019 to 2024 during the annual odor season. Samples for geosmin, water chemistry, and phytoplankton were collected concurrently,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rPr>
          <w:vertAlign w:val="superscript"/>
        </w:rPr>
        <w:t xml:space="preserve">18</w:t>
      </w:r>
      <w:r>
        <w:t xml:space="preserve">. The method detection limit (MDL)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recorded using a multiparameter sonde (EXO2, Xylem, USA). Ammonium (NH</w:t>
      </w:r>
      <w:r>
        <w:rPr>
          <w:vertAlign w:val="subscript"/>
        </w:rPr>
        <w:t xml:space="preserve">4</w:t>
      </w:r>
      <w:r>
        <w:rPr>
          <w:vertAlign w:val="superscript"/>
        </w:rPr>
        <w:t xml:space="preserve">+</w:t>
      </w:r>
      <w:r>
        <w:t xml:space="preserve">-N), total nitrogen (TN), and total phosphorus (TP) were quantified according to Chinese national standard methods.</w:t>
      </w:r>
    </w:p>
    <w:p>
      <w:pPr>
        <w:pStyle w:val="BodyText"/>
      </w:pPr>
      <w:r>
        <w:rPr>
          <w:b/>
          <w:bCs/>
        </w:rPr>
        <w:t xml:space="preserve">Phytoplankton analysis.</w:t>
      </w:r>
      <w:r>
        <w:t xml:space="preserve"> </w:t>
      </w:r>
      <w:r>
        <w:t xml:space="preserve">Samples were fixed with 5% Lugol’s iodine solution and concentrated to 10 mL after 48-h sedimentation. Cell identification and enumeration were performed using an inverted microscope (Olympus BX51) and a Sedgewick–Rafter counting chamber. Biomass is reported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Biomass for molecular analysis was collected on 1.2-μm polycarbonate filters (Millipore) and stored at–80°C. Genomic DNA was extracted using the FastDNA</w:t>
      </w:r>
      <w:r>
        <w:rPr>
          <w:vertAlign w:val="superscript"/>
        </w:rPr>
        <w:t xml:space="preserve">TM</w:t>
      </w:r>
      <w:r>
        <w:t xml:space="preserve"> </w:t>
      </w:r>
      <w:r>
        <w:t xml:space="preserve">Spin Kit for Soil (MP Biomedicals). The geosmin synthase gene (</w:t>
      </w:r>
      <w:r>
        <w:rPr>
          <w:i/>
          <w:iCs/>
        </w:rPr>
        <w:t xml:space="preserve">geoA</w:t>
      </w:r>
      <w:r>
        <w:t xml:space="preserve">) was amplified with cyanobacterium-specific primers</w:t>
      </w:r>
      <w:r>
        <w:rPr>
          <w:vertAlign w:val="superscript"/>
        </w:rPr>
        <w:t xml:space="preserve">45,46</w:t>
      </w:r>
      <w:r>
        <w:t xml:space="preserve">. Amplicons were verified via agarose gel electrophoresis and subjected to high-throughput sequencing. After quality filtering, sequences were clustered into operational taxonomic units (OTUs) at 97% similarity. Representative sequences were taxonomically assigned via BLAST searches, and a maximum-likelihood phylogenetic tree was constructed to confirm the identity of the dominant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identified the optimal lag period (early-warning window),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3d89d53f4eeafb4b572e4006f1e4db3e6ad0e29"/>
    <w:p>
      <w:pPr>
        <w:pStyle w:val="Heading2"/>
      </w:pPr>
      <w:r>
        <w:t xml:space="preserve">Seasonal and interannual dynamics in Yuqiao Reservoir</w:t>
      </w:r>
    </w:p>
    <w:p>
      <w:pPr>
        <w:pStyle w:val="BodyText"/>
      </w:pPr>
      <w:r>
        <w:t xml:space="preserve">High-frequency monitoring was conducted at the primary intake (site YQ01) of Yuqiao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Yuqiao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Yuqiao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However,</w:t>
      </w:r>
      <w:r>
        <w:t xml:space="preserve"> </w:t>
      </w:r>
      <w:r>
        <w:rPr>
          <w:i/>
          <w:iCs/>
        </w:rPr>
        <w:t xml:space="preserve">P. agardhii</w:t>
      </w:r>
      <w:r>
        <w:t xml:space="preserve"> </w:t>
      </w:r>
      <w:r>
        <w:t xml:space="preserve">was selected as the representative taxon for subsequent analysis, as this genus exhibited the highest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Yuqiao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0.2×log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4027170" cy="6039689"/>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Yuqiao Reservoir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rPr>
          <w:vertAlign w:val="superscript"/>
        </w:rPr>
        <w:t xml:space="preserve">39</w:t>
      </w:r>
      <w:r>
        <w:t xml:space="preserve">). These results identify geosmin as a pervasive water quality challenge, consistent with observations in other climatological regions</w:t>
      </w:r>
      <w:r>
        <w:rPr>
          <w:vertAlign w:val="superscript"/>
        </w:rPr>
        <w:t xml:space="preserve">19,47</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rPr>
          <w:vertAlign w:val="superscript"/>
        </w:rPr>
        <w:t xml:space="preserve">27,35,48</w:t>
      </w:r>
      <w:r>
        <w:t xml:space="preserve">, geosmin poses significant operational challenges for water utilities</w:t>
      </w:r>
      <w:r>
        <w:rPr>
          <w:vertAlign w:val="superscript"/>
        </w:rPr>
        <w:t xml:space="preserve">26</w:t>
      </w:r>
      <w:r>
        <w:t xml:space="preserve"> </w:t>
      </w:r>
      <w:r>
        <w:t xml:space="preserve">and impacts compliance with water safety objectives such as Sustainable Development Goal 6</w:t>
      </w:r>
      <w:r>
        <w:rPr>
          <w:vertAlign w:val="superscript"/>
        </w:rPr>
        <w:t xml:space="preserve">49</w:t>
      </w:r>
      <w:r>
        <w:t xml:space="preserve">. Consequently, these risks drive substantial investment in advanced treatment technologies and proactive source management</w:t>
      </w:r>
      <w:r>
        <w:rPr>
          <w:vertAlign w:val="superscript"/>
        </w:rPr>
        <w:t xml:space="preserve">50</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rPr>
          <w:vertAlign w:val="superscript"/>
        </w:rPr>
        <w:t xml:space="preserve">51–54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Yuqiao Reservoir. This supports the consensus that cyanobacteria are the primary biotic source of odorants in well-oxygenated reservoir water columns</w:t>
      </w:r>
      <w:r>
        <w:rPr>
          <w:vertAlign w:val="superscript"/>
        </w:rPr>
        <w:t xml:space="preserve">45,55–59</w:t>
      </w:r>
      <w:r>
        <w:t xml:space="preserve">. Detection of</w:t>
      </w:r>
      <w:r>
        <w:t xml:space="preserve"> </w:t>
      </w:r>
      <w:r>
        <w:rPr>
          <w:i/>
          <w:iCs/>
        </w:rPr>
        <w:t xml:space="preserve">geoA</w:t>
      </w:r>
      <w:r>
        <w:t xml:space="preserve">-harboring cyanobacteria</w:t>
      </w:r>
      <w:r>
        <w:rPr>
          <w:vertAlign w:val="superscript"/>
        </w:rPr>
        <w:t xml:space="preserve">46,60,61</w:t>
      </w:r>
      <w:r>
        <w:t xml:space="preserve"> </w:t>
      </w:r>
      <w:r>
        <w:t xml:space="preserve">in this oxygenated environment indicates that geosmin is primarily derived from cyanobacterial activity, aligning with studies linking specific blooms to odor episodes globally</w:t>
      </w:r>
      <w:r>
        <w:rPr>
          <w:vertAlign w:val="superscript"/>
        </w:rPr>
        <w:t xml:space="preserve">62–64</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rPr>
          <w:vertAlign w:val="superscript"/>
        </w:rPr>
        <w:t xml:space="preserve">65–68</w:t>
      </w:r>
      <w:r>
        <w:t xml:space="preserve">. These traits allow for optimal light harvesting under the variable regimes typical of nearshore areas</w:t>
      </w:r>
      <w:r>
        <w:rPr>
          <w:vertAlign w:val="superscript"/>
        </w:rPr>
        <w:t xml:space="preserve">32,69</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p>
    <w:bookmarkEnd w:id="60"/>
    <w:bookmarkStart w:id="65" w:name="X812672268fb4909a3764356cf053bc10a7a6c75"/>
    <w:p>
      <w:pPr>
        <w:pStyle w:val="Heading2"/>
      </w:pPr>
      <w:r>
        <w:t xml:space="preserve">Implications for proactive monitoring and risk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rPr>
          <w:vertAlign w:val="superscript"/>
        </w:rPr>
        <w:t xml:space="preserve">35,70</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For example, reservoir operations, including selective withdrawal or hydrodynamic controls, can be adjusted to disrupt the transport of geosmin-rich water masses before they reach critical intake depths</w:t>
      </w:r>
      <w:r>
        <w:rPr>
          <w:vertAlign w:val="superscript"/>
        </w:rPr>
        <w:t xml:space="preserve">36,71,72</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rPr>
          <w:vertAlign w:val="superscript"/>
        </w:rPr>
        <w:t xml:space="preserve">73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rPr>
          <w:vertAlign w:val="superscript"/>
        </w:rPr>
        <w:t xml:space="preserve">45,74,75</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7"/>
    <w:bookmarkStart w:id="68"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Yuqiao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8"/>
    <w:bookmarkStart w:id="70" w:name="associated-content"/>
    <w:p>
      <w:pPr>
        <w:pStyle w:val="Heading1"/>
      </w:pPr>
      <w:r>
        <w:t xml:space="preserve">ASSOCIATED CONTENT</w:t>
      </w:r>
    </w:p>
    <w:bookmarkStart w:id="69"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Geographic distribution of sampling sites for the national geosmin survey in China (Fig. S1); Frequency distribution of geosmin concentrations from the national survey (Fig. S2); Study site overview of Yuqiao Reservoir, featuring satellite imagery and a bathymetric map (Fig. S3); Temporal dynamics of geosmin concentration and</w:t>
      </w:r>
      <w:r>
        <w:t xml:space="preserve"> </w:t>
      </w:r>
      <w:r>
        <w:rPr>
          <w:i/>
          <w:iCs/>
        </w:rPr>
        <w:t xml:space="preserve">Planktothrix agardhii</w:t>
      </w:r>
      <w:r>
        <w:t xml:space="preserve"> </w:t>
      </w:r>
      <w:r>
        <w:t xml:space="preserve">abundance in Yuqiao Reservoir (Fig. S4); Comparative limnochemical characteristics of the littoral, transitional, and lacustrine zones within Yuqiao Reservoir (Figs. S5-S7); Site-specific relationship between</w:t>
      </w:r>
      <w:r>
        <w:t xml:space="preserve"> </w:t>
      </w:r>
      <w:r>
        <w:rPr>
          <w:i/>
          <w:iCs/>
        </w:rPr>
        <w:t xml:space="preserve">Planktothrix agardhii</w:t>
      </w:r>
      <w:r>
        <w:t xml:space="preserve"> </w:t>
      </w:r>
      <w:r>
        <w:t xml:space="preserve">abundance and geosmin concentration at transitional (YQ05) and lacustrine (YQ01) sites (Fig. S8); and the spatiotemporal variation of physicochemical parameters across reservoir zones and seasons (Fig. S9) (PDF).</w:t>
      </w:r>
    </w:p>
    <w:bookmarkEnd w:id="69"/>
    <w:bookmarkEnd w:id="70"/>
    <w:bookmarkStart w:id="77" w:name="author-information"/>
    <w:p>
      <w:pPr>
        <w:pStyle w:val="Heading1"/>
      </w:pPr>
      <w:r>
        <w:t xml:space="preserve">AUTHOR INFORMATION</w:t>
      </w:r>
    </w:p>
    <w:bookmarkStart w:id="73"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1">
        <w:r>
          <w:rPr>
            <w:rStyle w:val="Hyperlink"/>
          </w:rPr>
          <w:t xml:space="preserve">0000-0001-9821-1268</w:t>
        </w:r>
      </w:hyperlink>
      <w:r>
        <w:t xml:space="preserve">;</w:t>
      </w:r>
      <w:r>
        <w:t xml:space="preserve"> </w:t>
      </w:r>
      <w:r>
        <w:t xml:space="preserve">URL:</w:t>
      </w:r>
      <w:r>
        <w:t xml:space="preserve"> </w:t>
      </w:r>
      <w:hyperlink r:id="rId72">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3"/>
    <w:bookmarkStart w:id="74" w:name="authors"/>
    <w:p>
      <w:pPr>
        <w:pStyle w:val="Heading2"/>
      </w:pPr>
      <w:r>
        <w:t xml:space="preserve">Authors</w:t>
      </w:r>
    </w:p>
    <w:p>
      <w:pPr>
        <w:pStyle w:val="Compact"/>
        <w:numPr>
          <w:ilvl w:val="0"/>
          <w:numId w:val="1003"/>
        </w:numPr>
      </w:pPr>
      <w:r>
        <w:rPr>
          <w:b/>
          <w:bCs/>
        </w:rPr>
        <w:t xml:space="preserve">Yuying Gui</w:t>
      </w:r>
      <w:r>
        <w:t xml:space="preserve">:</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Lin Sun</w:t>
      </w:r>
      <w:r>
        <w:t xml:space="preserve">:</w:t>
      </w:r>
      <w:r>
        <w:t xml:space="preserve"> </w:t>
      </w:r>
      <w:r>
        <w:rPr>
          <w:i/>
          <w:iCs/>
        </w:rPr>
        <w:t xml:space="preserve">Tianjin Key Laboratory of Animal and Plant Resistance, College of Life Sciences, Tianjin Normal University, Binshui West Road 393, Xiqing District, Tianjin, 300387,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1. School of Environment and Spatial Informatics, China University of Mining and Technology, No. 1 Daxue Road, Xuzhou, 221116,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4"/>
    <w:bookmarkStart w:id="75" w:name="author-contributions"/>
    <w:p>
      <w:pPr>
        <w:pStyle w:val="Heading2"/>
      </w:pPr>
      <w:r>
        <w:t xml:space="preserve">Author contributions</w:t>
      </w:r>
    </w:p>
    <w:p>
      <w:pPr>
        <w:pStyle w:val="BodyText"/>
      </w:pPr>
      <w:r>
        <w:t xml:space="preserve">Yuying Gui (Equal contributor) and Tengxin Cao (Equal contributor) jointly contributed to methodology design and formal analysis. Yuying Gui also provided support from Ocean University of China. Jie Yang contributed to conceptualization and methodology. Ming Su (Corresponding Author) led conceptualization, formal analysis, and visualization, and was responsible for original draft writing, manuscript editing, project administration, and supervision. Ziyi Yang, Qi Zhang and Lin Sun provided methodology support from their respective institutes. Yufan Ai and Yingjie Li assisted in methodology and formal analysis. Min Yang provided supervision and supported the project coordination from the Research Center for Eco-Environmental Sciences.</w:t>
      </w:r>
    </w:p>
    <w:bookmarkEnd w:id="75"/>
    <w:bookmarkStart w:id="76" w:name="notes"/>
    <w:p>
      <w:pPr>
        <w:pStyle w:val="Heading2"/>
      </w:pPr>
      <w:r>
        <w:t xml:space="preserve">Notes</w:t>
      </w:r>
    </w:p>
    <w:p>
      <w:pPr>
        <w:pStyle w:val="BodyText"/>
      </w:pPr>
      <w:r>
        <w:t xml:space="preserve">The authors declare no competing financial interest.</w:t>
      </w:r>
    </w:p>
    <w:bookmarkEnd w:id="76"/>
    <w:bookmarkEnd w:id="77"/>
    <w:bookmarkStart w:id="78"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8"/>
    <w:bookmarkStart w:id="226" w:name="references"/>
    <w:p>
      <w:pPr>
        <w:pStyle w:val="Heading1"/>
      </w:pPr>
      <w:r>
        <w:t xml:space="preserve">References</w:t>
      </w:r>
    </w:p>
    <w:bookmarkStart w:id="225" w:name="refs"/>
    <w:bookmarkStart w:id="80"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79">
        <w:r>
          <w:rPr>
            <w:rStyle w:val="Hyperlink"/>
          </w:rPr>
          <w:t xml:space="preserve">10.1038/s41579-018-0040-1</w:t>
        </w:r>
      </w:hyperlink>
      <w:r>
        <w:t xml:space="preserve">.</w:t>
      </w:r>
    </w:p>
    <w:bookmarkEnd w:id="80"/>
    <w:bookmarkStart w:id="82"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1">
        <w:r>
          <w:rPr>
            <w:rStyle w:val="Hyperlink"/>
          </w:rPr>
          <w:t xml:space="preserve">10.1100/tsw.2001.16</w:t>
        </w:r>
      </w:hyperlink>
      <w:r>
        <w:t xml:space="preserve">.</w:t>
      </w:r>
    </w:p>
    <w:bookmarkEnd w:id="82"/>
    <w:bookmarkStart w:id="84"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3">
        <w:r>
          <w:rPr>
            <w:rStyle w:val="Hyperlink"/>
          </w:rPr>
          <w:t xml:space="preserve">10.1016/j.hal.2008.08.006</w:t>
        </w:r>
      </w:hyperlink>
      <w:r>
        <w:t xml:space="preserve">.</w:t>
      </w:r>
    </w:p>
    <w:bookmarkEnd w:id="84"/>
    <w:bookmarkStart w:id="86"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5">
        <w:r>
          <w:rPr>
            <w:rStyle w:val="Hyperlink"/>
          </w:rPr>
          <w:t xml:space="preserve">10.1038/s41586-021-03254-3</w:t>
        </w:r>
      </w:hyperlink>
      <w:r>
        <w:t xml:space="preserve">.</w:t>
      </w:r>
    </w:p>
    <w:bookmarkEnd w:id="86"/>
    <w:bookmarkStart w:id="88"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7">
        <w:r>
          <w:rPr>
            <w:rStyle w:val="Hyperlink"/>
          </w:rPr>
          <w:t xml:space="preserve">10.1038/s43017-020-0067-5</w:t>
        </w:r>
      </w:hyperlink>
      <w:r>
        <w:t xml:space="preserve">.</w:t>
      </w:r>
    </w:p>
    <w:bookmarkEnd w:id="88"/>
    <w:bookmarkStart w:id="90"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89">
        <w:r>
          <w:rPr>
            <w:rStyle w:val="Hyperlink"/>
          </w:rPr>
          <w:t xml:space="preserve">10.1016/j.watres.2011.08.002</w:t>
        </w:r>
      </w:hyperlink>
      <w:r>
        <w:t xml:space="preserve">.</w:t>
      </w:r>
    </w:p>
    <w:bookmarkEnd w:id="90"/>
    <w:bookmarkStart w:id="92"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1">
        <w:r>
          <w:rPr>
            <w:rStyle w:val="Hyperlink"/>
          </w:rPr>
          <w:t xml:space="preserve">10.1016/j.hal.2011.10.027</w:t>
        </w:r>
      </w:hyperlink>
      <w:r>
        <w:t xml:space="preserve">.</w:t>
      </w:r>
    </w:p>
    <w:bookmarkEnd w:id="92"/>
    <w:bookmarkStart w:id="94"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3">
        <w:r>
          <w:rPr>
            <w:rStyle w:val="Hyperlink"/>
          </w:rPr>
          <w:t xml:space="preserve">10.1016/j.watres.2020.115959</w:t>
        </w:r>
      </w:hyperlink>
      <w:r>
        <w:t xml:space="preserve">.</w:t>
      </w:r>
    </w:p>
    <w:bookmarkEnd w:id="94"/>
    <w:bookmarkStart w:id="96"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5">
        <w:r>
          <w:rPr>
            <w:rStyle w:val="Hyperlink"/>
          </w:rPr>
          <w:t xml:space="preserve">10.1016/j.watres.2023.119807</w:t>
        </w:r>
      </w:hyperlink>
      <w:r>
        <w:t xml:space="preserve">.</w:t>
      </w:r>
    </w:p>
    <w:bookmarkEnd w:id="96"/>
    <w:bookmarkStart w:id="98" w:name="ref-reinl2022the"/>
    <w:p>
      <w:pPr>
        <w:pStyle w:val="Bibliography"/>
      </w:pPr>
      <w:r>
        <w:t xml:space="preserve">(10)</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97">
        <w:r>
          <w:rPr>
            <w:rStyle w:val="Hyperlink"/>
          </w:rPr>
          <w:t xml:space="preserve">10.1016/j.watres.2022.118573</w:t>
        </w:r>
      </w:hyperlink>
      <w:r>
        <w:t xml:space="preserve">.</w:t>
      </w:r>
    </w:p>
    <w:bookmarkEnd w:id="98"/>
    <w:bookmarkStart w:id="100" w:name="ref-xu2009nitrogen"/>
    <w:p>
      <w:pPr>
        <w:pStyle w:val="Bibliography"/>
      </w:pPr>
      <w:r>
        <w:t xml:space="preserve">(11)</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99">
        <w:r>
          <w:rPr>
            <w:rStyle w:val="Hyperlink"/>
          </w:rPr>
          <w:t xml:space="preserve">10.4319/lo.2010.55.1.0420</w:t>
        </w:r>
      </w:hyperlink>
      <w:r>
        <w:t xml:space="preserve">.</w:t>
      </w:r>
    </w:p>
    <w:bookmarkEnd w:id="100"/>
    <w:bookmarkStart w:id="102" w:name="ref-paerl2011controllingharmful"/>
    <w:p>
      <w:pPr>
        <w:pStyle w:val="Bibliography"/>
      </w:pPr>
      <w:r>
        <w:t xml:space="preserve">(12)</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1">
        <w:r>
          <w:rPr>
            <w:rStyle w:val="Hyperlink"/>
          </w:rPr>
          <w:t xml:space="preserve">10.1016/j.watres.2010.09.018</w:t>
        </w:r>
      </w:hyperlink>
      <w:r>
        <w:t xml:space="preserve">.</w:t>
      </w:r>
    </w:p>
    <w:bookmarkEnd w:id="102"/>
    <w:bookmarkStart w:id="104" w:name="ref-kosten2011warmer"/>
    <w:p>
      <w:pPr>
        <w:pStyle w:val="Bibliography"/>
      </w:pPr>
      <w:r>
        <w:t xml:space="preserve">(13)</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3">
        <w:r>
          <w:rPr>
            <w:rStyle w:val="Hyperlink"/>
          </w:rPr>
          <w:t xml:space="preserve">10.1111/j.1365-2486.2011.02488.x</w:t>
        </w:r>
      </w:hyperlink>
      <w:r>
        <w:t xml:space="preserve">.</w:t>
      </w:r>
    </w:p>
    <w:bookmarkEnd w:id="104"/>
    <w:bookmarkStart w:id="106" w:name="ref-plaas2020toxic"/>
    <w:p>
      <w:pPr>
        <w:pStyle w:val="Bibliography"/>
      </w:pPr>
      <w:r>
        <w:t xml:space="preserve">(14)</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5">
        <w:r>
          <w:rPr>
            <w:rStyle w:val="Hyperlink"/>
          </w:rPr>
          <w:t xml:space="preserve">10.1021/acs.est.0c06653</w:t>
        </w:r>
      </w:hyperlink>
      <w:r>
        <w:t xml:space="preserve">.</w:t>
      </w:r>
    </w:p>
    <w:bookmarkEnd w:id="106"/>
    <w:bookmarkStart w:id="108" w:name="ref-carmichael2001human"/>
    <w:p>
      <w:pPr>
        <w:pStyle w:val="Bibliography"/>
      </w:pPr>
      <w:r>
        <w:t xml:space="preserve">(15)</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07">
        <w:r>
          <w:rPr>
            <w:rStyle w:val="Hyperlink"/>
          </w:rPr>
          <w:t xml:space="preserve">10.1289/ehp.01109663</w:t>
        </w:r>
      </w:hyperlink>
      <w:r>
        <w:t xml:space="preserve">.</w:t>
      </w:r>
    </w:p>
    <w:bookmarkEnd w:id="108"/>
    <w:bookmarkStart w:id="110" w:name="ref-merel2013state"/>
    <w:p>
      <w:pPr>
        <w:pStyle w:val="Bibliography"/>
      </w:pPr>
      <w:r>
        <w:t xml:space="preserve">(16)</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09">
        <w:r>
          <w:rPr>
            <w:rStyle w:val="Hyperlink"/>
          </w:rPr>
          <w:t xml:space="preserve">10.1016/j.envint.2013.06.013</w:t>
        </w:r>
      </w:hyperlink>
      <w:r>
        <w:t xml:space="preserve">.</w:t>
      </w:r>
    </w:p>
    <w:bookmarkEnd w:id="110"/>
    <w:bookmarkStart w:id="112" w:name="ref-burlingame2017humans"/>
    <w:p>
      <w:pPr>
        <w:pStyle w:val="Bibliography"/>
      </w:pPr>
      <w:r>
        <w:t xml:space="preserve">(17)</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1">
        <w:r>
          <w:rPr>
            <w:rStyle w:val="Hyperlink"/>
          </w:rPr>
          <w:t xml:space="preserve">10.5942/jawwa.2017.109.0118</w:t>
        </w:r>
      </w:hyperlink>
      <w:r>
        <w:t xml:space="preserve">.</w:t>
      </w:r>
    </w:p>
    <w:bookmarkEnd w:id="112"/>
    <w:bookmarkStart w:id="114" w:name="ref-su2015mib"/>
    <w:p>
      <w:pPr>
        <w:pStyle w:val="Bibliography"/>
      </w:pPr>
      <w:r>
        <w:t xml:space="preserve">(18)</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5" w:name="ref-lin2018taste"/>
    <w:p>
      <w:pPr>
        <w:pStyle w:val="Bibliography"/>
      </w:pPr>
      <w:r>
        <w:t xml:space="preserve">(19)</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15"/>
    <w:bookmarkStart w:id="117" w:name="ref-yang2008taihu"/>
    <w:p>
      <w:pPr>
        <w:pStyle w:val="Bibliography"/>
      </w:pPr>
      <w:r>
        <w:t xml:space="preserve">(20)</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16">
        <w:r>
          <w:rPr>
            <w:rStyle w:val="Hyperlink"/>
          </w:rPr>
          <w:t xml:space="preserve">10.1126/science.319.5860.158a</w:t>
        </w:r>
      </w:hyperlink>
      <w:r>
        <w:t xml:space="preserve">.</w:t>
      </w:r>
    </w:p>
    <w:bookmarkEnd w:id="117"/>
    <w:bookmarkStart w:id="119" w:name="ref-sun2014occurrence"/>
    <w:p>
      <w:pPr>
        <w:pStyle w:val="Bibliography"/>
      </w:pPr>
      <w:r>
        <w:t xml:space="preserve">(21)</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18">
        <w:r>
          <w:rPr>
            <w:rStyle w:val="Hyperlink"/>
          </w:rPr>
          <w:t xml:space="preserve">10.1007/s11783-013-0577-1</w:t>
        </w:r>
      </w:hyperlink>
      <w:r>
        <w:t xml:space="preserve">.</w:t>
      </w:r>
    </w:p>
    <w:bookmarkEnd w:id="119"/>
    <w:bookmarkStart w:id="121" w:name="ref-mehnert2010competitiveness"/>
    <w:p>
      <w:pPr>
        <w:pStyle w:val="Bibliography"/>
      </w:pPr>
      <w:r>
        <w:t xml:space="preserve">(22)</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20">
        <w:r>
          <w:rPr>
            <w:rStyle w:val="Hyperlink"/>
          </w:rPr>
          <w:t xml:space="preserve">10.1093/plankt/fbq033</w:t>
        </w:r>
      </w:hyperlink>
      <w:r>
        <w:t xml:space="preserve">.</w:t>
      </w:r>
    </w:p>
    <w:bookmarkEnd w:id="121"/>
    <w:bookmarkStart w:id="123" w:name="ref-asato2003toward"/>
    <w:p>
      <w:pPr>
        <w:pStyle w:val="Bibliography"/>
      </w:pPr>
      <w:r>
        <w:t xml:space="preserve">(23)</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2">
        <w:r>
          <w:rPr>
            <w:rStyle w:val="Hyperlink"/>
          </w:rPr>
          <w:t xml:space="preserve">10.1007/s00018-003-2079-y</w:t>
        </w:r>
      </w:hyperlink>
      <w:r>
        <w:t xml:space="preserve">.</w:t>
      </w:r>
    </w:p>
    <w:bookmarkEnd w:id="123"/>
    <w:bookmarkStart w:id="125" w:name="ref-ai2025cyanobacterial"/>
    <w:p>
      <w:pPr>
        <w:pStyle w:val="Bibliography"/>
      </w:pPr>
      <w:r>
        <w:t xml:space="preserve">(24)</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4">
        <w:r>
          <w:rPr>
            <w:rStyle w:val="Hyperlink"/>
          </w:rPr>
          <w:t xml:space="preserve">https://doi.org/10.1016/j.jhazmat.2025.140118</w:t>
        </w:r>
      </w:hyperlink>
      <w:r>
        <w:t xml:space="preserve">.</w:t>
      </w:r>
    </w:p>
    <w:bookmarkEnd w:id="125"/>
    <w:bookmarkStart w:id="127" w:name="ref-singh2005bioactive"/>
    <w:p>
      <w:pPr>
        <w:pStyle w:val="Bibliography"/>
      </w:pPr>
      <w:r>
        <w:t xml:space="preserve">(25)</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26">
        <w:r>
          <w:rPr>
            <w:rStyle w:val="Hyperlink"/>
          </w:rPr>
          <w:t xml:space="preserve">10.1080/07388550500248498</w:t>
        </w:r>
      </w:hyperlink>
      <w:r>
        <w:t xml:space="preserve">.</w:t>
      </w:r>
    </w:p>
    <w:bookmarkEnd w:id="127"/>
    <w:bookmarkStart w:id="129" w:name="ref-srinivasan2011treatment"/>
    <w:p>
      <w:pPr>
        <w:pStyle w:val="Bibliography"/>
      </w:pPr>
      <w:r>
        <w:t xml:space="preserve">(26)</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28">
        <w:r>
          <w:rPr>
            <w:rStyle w:val="Hyperlink"/>
          </w:rPr>
          <w:t xml:space="preserve">10.1016/s1001-0742(10)60367-1</w:t>
        </w:r>
      </w:hyperlink>
      <w:r>
        <w:t xml:space="preserve">.</w:t>
      </w:r>
    </w:p>
    <w:bookmarkEnd w:id="129"/>
    <w:bookmarkStart w:id="131" w:name="ref-mustapha2021a"/>
    <w:p>
      <w:pPr>
        <w:pStyle w:val="Bibliography"/>
      </w:pPr>
      <w:r>
        <w:t xml:space="preserve">(27)</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30">
        <w:r>
          <w:rPr>
            <w:rStyle w:val="Hyperlink"/>
          </w:rPr>
          <w:t xml:space="preserve">10.1007/s10661-021-08980-9</w:t>
        </w:r>
      </w:hyperlink>
      <w:r>
        <w:t xml:space="preserve">.</w:t>
      </w:r>
    </w:p>
    <w:bookmarkEnd w:id="131"/>
    <w:bookmarkStart w:id="133" w:name="ref-ceronvivas2022geosmin"/>
    <w:p>
      <w:pPr>
        <w:pStyle w:val="Bibliography"/>
      </w:pPr>
      <w:r>
        <w:t xml:space="preserve">(28)</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2">
        <w:r>
          <w:rPr>
            <w:rStyle w:val="Hyperlink"/>
          </w:rPr>
          <w:t xml:space="preserve">10.2166/wpt.2022.167</w:t>
        </w:r>
      </w:hyperlink>
      <w:r>
        <w:t xml:space="preserve">.</w:t>
      </w:r>
    </w:p>
    <w:bookmarkEnd w:id="133"/>
    <w:bookmarkStart w:id="135" w:name="ref-thornton1984regional"/>
    <w:p>
      <w:pPr>
        <w:pStyle w:val="Bibliography"/>
      </w:pPr>
      <w:r>
        <w:t xml:space="preserve">(29)</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34">
        <w:r>
          <w:rPr>
            <w:rStyle w:val="Hyperlink"/>
          </w:rPr>
          <w:t xml:space="preserve">10.1080/07438148409354521</w:t>
        </w:r>
      </w:hyperlink>
      <w:r>
        <w:t xml:space="preserve">.</w:t>
      </w:r>
    </w:p>
    <w:bookmarkEnd w:id="135"/>
    <w:bookmarkStart w:id="137" w:name="ref-dordoni2023a"/>
    <w:p>
      <w:pPr>
        <w:pStyle w:val="Bibliography"/>
      </w:pPr>
      <w:r>
        <w:t xml:space="preserve">(30)</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36">
        <w:r>
          <w:rPr>
            <w:rStyle w:val="Hyperlink"/>
          </w:rPr>
          <w:t xml:space="preserve">10.3389/frwa.2023.1084050</w:t>
        </w:r>
      </w:hyperlink>
      <w:r>
        <w:t xml:space="preserve">.</w:t>
      </w:r>
    </w:p>
    <w:bookmarkEnd w:id="137"/>
    <w:bookmarkStart w:id="139" w:name="ref-cefali2016life"/>
    <w:p>
      <w:pPr>
        <w:pStyle w:val="Bibliography"/>
      </w:pPr>
      <w:r>
        <w:t xml:space="preserve">(31)</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38">
        <w:r>
          <w:rPr>
            <w:rStyle w:val="Hyperlink"/>
          </w:rPr>
          <w:t xml:space="preserve">10.1016/j.ecss.2016.01.043</w:t>
        </w:r>
      </w:hyperlink>
      <w:r>
        <w:t xml:space="preserve">.</w:t>
      </w:r>
    </w:p>
    <w:bookmarkEnd w:id="139"/>
    <w:bookmarkStart w:id="141" w:name="ref-zohary2014the"/>
    <w:p>
      <w:pPr>
        <w:pStyle w:val="Bibliography"/>
      </w:pPr>
      <w:r>
        <w:t xml:space="preserve">(32)</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40">
        <w:r>
          <w:rPr>
            <w:rStyle w:val="Hyperlink"/>
          </w:rPr>
          <w:t xml:space="preserve">10.1007/978-94-017-8944-8_29</w:t>
        </w:r>
      </w:hyperlink>
      <w:r>
        <w:t xml:space="preserve">.</w:t>
      </w:r>
    </w:p>
    <w:bookmarkEnd w:id="141"/>
    <w:bookmarkStart w:id="143" w:name="ref-juttner2007biochemical"/>
    <w:p>
      <w:pPr>
        <w:pStyle w:val="Bibliography"/>
      </w:pPr>
      <w:r>
        <w:t xml:space="preserve">(33)</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2">
        <w:r>
          <w:rPr>
            <w:rStyle w:val="Hyperlink"/>
          </w:rPr>
          <w:t xml:space="preserve">10.1128/aem.02250-06</w:t>
        </w:r>
      </w:hyperlink>
      <w:r>
        <w:t xml:space="preserve">.</w:t>
      </w:r>
    </w:p>
    <w:bookmarkEnd w:id="143"/>
    <w:bookmarkStart w:id="145" w:name="ref-watson2003cyanobacterial"/>
    <w:p>
      <w:pPr>
        <w:pStyle w:val="Bibliography"/>
      </w:pPr>
      <w:r>
        <w:t xml:space="preserve">(34)</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44">
        <w:r>
          <w:rPr>
            <w:rStyle w:val="Hyperlink"/>
          </w:rPr>
          <w:t xml:space="preserve">10.2216/i0031-8884-42-4-332.1</w:t>
        </w:r>
      </w:hyperlink>
      <w:r>
        <w:t xml:space="preserve">.</w:t>
      </w:r>
    </w:p>
    <w:bookmarkEnd w:id="145"/>
    <w:bookmarkStart w:id="147" w:name="ref-zamyadi2015fate"/>
    <w:p>
      <w:pPr>
        <w:pStyle w:val="Bibliography"/>
      </w:pPr>
      <w:r>
        <w:t xml:space="preserve">(35)</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46">
        <w:r>
          <w:rPr>
            <w:rStyle w:val="Hyperlink"/>
          </w:rPr>
          <w:t xml:space="preserve">10.1016/j.watres.2015.06.038</w:t>
        </w:r>
      </w:hyperlink>
      <w:r>
        <w:t xml:space="preserve">.</w:t>
      </w:r>
    </w:p>
    <w:bookmarkEnd w:id="147"/>
    <w:bookmarkStart w:id="149" w:name="ref-lu2023mibderived"/>
    <w:p>
      <w:pPr>
        <w:pStyle w:val="Bibliography"/>
      </w:pPr>
      <w:r>
        <w:t xml:space="preserve">(36)</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48">
        <w:r>
          <w:rPr>
            <w:rStyle w:val="Hyperlink"/>
          </w:rPr>
          <w:t xml:space="preserve">10.1016/j.watres.2023.120485</w:t>
        </w:r>
      </w:hyperlink>
      <w:r>
        <w:t xml:space="preserve">.</w:t>
      </w:r>
    </w:p>
    <w:bookmarkEnd w:id="149"/>
    <w:bookmarkStart w:id="151" w:name="ref-qiu2023producers"/>
    <w:p>
      <w:pPr>
        <w:pStyle w:val="Bibliography"/>
      </w:pPr>
      <w:r>
        <w:t xml:space="preserve">(37)</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50">
        <w:r>
          <w:rPr>
            <w:rStyle w:val="Hyperlink"/>
          </w:rPr>
          <w:t xml:space="preserve">10.3389/fevo.2023.1216567</w:t>
        </w:r>
      </w:hyperlink>
      <w:r>
        <w:t xml:space="preserve">.</w:t>
      </w:r>
    </w:p>
    <w:bookmarkEnd w:id="151"/>
    <w:bookmarkStart w:id="153" w:name="ref-wu2022seasonal"/>
    <w:p>
      <w:pPr>
        <w:pStyle w:val="Bibliography"/>
      </w:pPr>
      <w:r>
        <w:t xml:space="preserve">(38)</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52">
        <w:r>
          <w:rPr>
            <w:rStyle w:val="Hyperlink"/>
          </w:rPr>
          <w:t xml:space="preserve">10.1016/j.jhazmat.2021.128056</w:t>
        </w:r>
      </w:hyperlink>
      <w:r>
        <w:t xml:space="preserve">.</w:t>
      </w:r>
    </w:p>
    <w:bookmarkEnd w:id="153"/>
    <w:bookmarkStart w:id="154" w:name="ref-american2010algae"/>
    <w:p>
      <w:pPr>
        <w:pStyle w:val="Bibliography"/>
      </w:pPr>
      <w:r>
        <w:t xml:space="preserve">(39)</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54"/>
    <w:bookmarkStart w:id="155" w:name="ref-zhou2024spatial"/>
    <w:p>
      <w:pPr>
        <w:pStyle w:val="Bibliography"/>
      </w:pPr>
      <w:r>
        <w:t xml:space="preserve">(40)</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55"/>
    <w:bookmarkStart w:id="157" w:name="ref-zhai2017disinfection"/>
    <w:p>
      <w:pPr>
        <w:pStyle w:val="Bibliography"/>
      </w:pPr>
      <w:r>
        <w:t xml:space="preserve">(41)</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56">
        <w:r>
          <w:rPr>
            <w:rStyle w:val="Hyperlink"/>
          </w:rPr>
          <w:t xml:space="preserve">10.1016/j.chemosphere.2017.04.028</w:t>
        </w:r>
      </w:hyperlink>
      <w:r>
        <w:t xml:space="preserve">.</w:t>
      </w:r>
    </w:p>
    <w:bookmarkEnd w:id="157"/>
    <w:bookmarkStart w:id="159" w:name="ref-xu2014spatiotemporal"/>
    <w:p>
      <w:pPr>
        <w:pStyle w:val="Bibliography"/>
      </w:pPr>
      <w:r>
        <w:t xml:space="preserve">(42)</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58">
        <w:r>
          <w:rPr>
            <w:rStyle w:val="Hyperlink"/>
          </w:rPr>
          <w:t xml:space="preserve">10.1007/s11783-014-0702-9</w:t>
        </w:r>
      </w:hyperlink>
      <w:r>
        <w:t xml:space="preserve">.</w:t>
      </w:r>
    </w:p>
    <w:bookmarkEnd w:id="159"/>
    <w:bookmarkStart w:id="161" w:name="ref-qiu2021using"/>
    <w:p>
      <w:pPr>
        <w:pStyle w:val="Bibliography"/>
      </w:pPr>
      <w:r>
        <w:t xml:space="preserve">(43)</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60">
        <w:r>
          <w:rPr>
            <w:rStyle w:val="Hyperlink"/>
          </w:rPr>
          <w:t xml:space="preserve">10.1016/j.envpol.2021.117772</w:t>
        </w:r>
      </w:hyperlink>
      <w:r>
        <w:t xml:space="preserve">.</w:t>
      </w:r>
    </w:p>
    <w:bookmarkEnd w:id="161"/>
    <w:bookmarkStart w:id="163" w:name="ref-cai2017geosmin"/>
    <w:p>
      <w:pPr>
        <w:pStyle w:val="Bibliography"/>
      </w:pPr>
      <w:r>
        <w:t xml:space="preserve">(44)</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62">
        <w:r>
          <w:rPr>
            <w:rStyle w:val="Hyperlink"/>
          </w:rPr>
          <w:t xml:space="preserve">10.1016/j.hal.2017.09.006</w:t>
        </w:r>
      </w:hyperlink>
      <w:r>
        <w:t xml:space="preserve">.</w:t>
      </w:r>
    </w:p>
    <w:bookmarkEnd w:id="163"/>
    <w:bookmarkStart w:id="165" w:name="ref-su2013establishment"/>
    <w:p>
      <w:pPr>
        <w:pStyle w:val="Bibliography"/>
      </w:pPr>
      <w:r>
        <w:t xml:space="preserve">(45)</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64">
        <w:r>
          <w:rPr>
            <w:rStyle w:val="Hyperlink"/>
          </w:rPr>
          <w:t xml:space="preserve">10.1016/j.watres.2013.03.043</w:t>
        </w:r>
      </w:hyperlink>
      <w:r>
        <w:t xml:space="preserve">.</w:t>
      </w:r>
    </w:p>
    <w:bookmarkEnd w:id="165"/>
    <w:bookmarkStart w:id="167" w:name="ref-giglio2008isolation"/>
    <w:p>
      <w:pPr>
        <w:pStyle w:val="Bibliography"/>
      </w:pPr>
      <w:r>
        <w:t xml:space="preserve">(46)</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66">
        <w:r>
          <w:rPr>
            <w:rStyle w:val="Hyperlink"/>
          </w:rPr>
          <w:t xml:space="preserve">10.1021/es801465w</w:t>
        </w:r>
      </w:hyperlink>
      <w:r>
        <w:t xml:space="preserve">.</w:t>
      </w:r>
    </w:p>
    <w:bookmarkEnd w:id="167"/>
    <w:bookmarkStart w:id="169" w:name="ref-devi2021quantitative"/>
    <w:p>
      <w:pPr>
        <w:pStyle w:val="Bibliography"/>
      </w:pPr>
      <w:r>
        <w:t xml:space="preserve">(47)</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68">
        <w:r>
          <w:rPr>
            <w:rStyle w:val="Hyperlink"/>
          </w:rPr>
          <w:t xml:space="preserve">10.1016/j.watres.2020.116478</w:t>
        </w:r>
      </w:hyperlink>
      <w:r>
        <w:t xml:space="preserve">.</w:t>
      </w:r>
    </w:p>
    <w:bookmarkEnd w:id="169"/>
    <w:bookmarkStart w:id="171" w:name="ref-cook2001the"/>
    <w:p>
      <w:pPr>
        <w:pStyle w:val="Bibliography"/>
      </w:pPr>
      <w:r>
        <w:t xml:space="preserve">(48)</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70">
        <w:r>
          <w:rPr>
            <w:rStyle w:val="Hyperlink"/>
          </w:rPr>
          <w:t xml:space="preserve">10.1016/S0043-1354(00)00363-8</w:t>
        </w:r>
      </w:hyperlink>
      <w:r>
        <w:t xml:space="preserve">.</w:t>
      </w:r>
    </w:p>
    <w:bookmarkEnd w:id="171"/>
    <w:bookmarkStart w:id="173" w:name="ref-arora2022sustainable"/>
    <w:p>
      <w:pPr>
        <w:pStyle w:val="Bibliography"/>
      </w:pPr>
      <w:r>
        <w:t xml:space="preserve">(49)</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72">
        <w:r>
          <w:rPr>
            <w:rStyle w:val="Hyperlink"/>
          </w:rPr>
          <w:t xml:space="preserve">10.1007/s42398-022-00246-5</w:t>
        </w:r>
      </w:hyperlink>
      <w:r>
        <w:t xml:space="preserve">.</w:t>
      </w:r>
    </w:p>
    <w:bookmarkEnd w:id="173"/>
    <w:bookmarkStart w:id="175" w:name="ref-yuan2022adsorption"/>
    <w:p>
      <w:pPr>
        <w:pStyle w:val="Bibliography"/>
      </w:pPr>
      <w:r>
        <w:t xml:space="preserve">(50)</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74">
        <w:r>
          <w:rPr>
            <w:rStyle w:val="Hyperlink"/>
          </w:rPr>
          <w:t xml:space="preserve">10.1016/j.jhazmat.2022.129838</w:t>
        </w:r>
      </w:hyperlink>
      <w:r>
        <w:t xml:space="preserve">.</w:t>
      </w:r>
    </w:p>
    <w:bookmarkEnd w:id="175"/>
    <w:bookmarkStart w:id="177" w:name="ref-guo2024considerable"/>
    <w:p>
      <w:pPr>
        <w:pStyle w:val="Bibliography"/>
      </w:pPr>
      <w:r>
        <w:t xml:space="preserve">(51)</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76">
        <w:r>
          <w:rPr>
            <w:rStyle w:val="Hyperlink"/>
          </w:rPr>
          <w:t xml:space="preserve">10.1016/j.watres.2024.122767</w:t>
        </w:r>
      </w:hyperlink>
      <w:r>
        <w:t xml:space="preserve">.</w:t>
      </w:r>
    </w:p>
    <w:bookmarkEnd w:id="177"/>
    <w:bookmarkStart w:id="179" w:name="ref-gerber1965geosmin"/>
    <w:p>
      <w:pPr>
        <w:pStyle w:val="Bibliography"/>
      </w:pPr>
      <w:r>
        <w:t xml:space="preserve">(52)</w:t>
      </w:r>
      <w:r>
        <w:t xml:space="preserve"> </w:t>
      </w:r>
      <w:r>
        <w:t xml:space="preserve">	</w:t>
      </w:r>
      <w:r>
        <w:t xml:space="preserve">Gerber, N. N.; Lechevalier, H. A.</w:t>
      </w:r>
      <w:r>
        <w:t xml:space="preserve"> </w:t>
      </w:r>
      <w:hyperlink r:id="rId178">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79"/>
    <w:bookmarkStart w:id="181" w:name="ref-gerber1979volatile"/>
    <w:p>
      <w:pPr>
        <w:pStyle w:val="Bibliography"/>
      </w:pPr>
      <w:r>
        <w:t xml:space="preserve">(53)</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80">
        <w:r>
          <w:rPr>
            <w:rStyle w:val="Hyperlink"/>
          </w:rPr>
          <w:t xml:space="preserve">10.3109/10408417909082014</w:t>
        </w:r>
      </w:hyperlink>
      <w:r>
        <w:t xml:space="preserve">.</w:t>
      </w:r>
    </w:p>
    <w:bookmarkEnd w:id="181"/>
    <w:bookmarkStart w:id="183" w:name="ref-jensen1994actinomycetes"/>
    <w:p>
      <w:pPr>
        <w:pStyle w:val="Bibliography"/>
      </w:pPr>
      <w:r>
        <w:t xml:space="preserve">(54)</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82">
        <w:r>
          <w:rPr>
            <w:rStyle w:val="Hyperlink"/>
          </w:rPr>
          <w:t xml:space="preserve">0043-1354(94)90306-9</w:t>
        </w:r>
      </w:hyperlink>
      <w:r>
        <w:t xml:space="preserve">.</w:t>
      </w:r>
    </w:p>
    <w:bookmarkEnd w:id="183"/>
    <w:bookmarkStart w:id="185" w:name="ref-chislock2021contrasting"/>
    <w:p>
      <w:pPr>
        <w:pStyle w:val="Bibliography"/>
      </w:pPr>
      <w:r>
        <w:t xml:space="preserve">(55)</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84">
        <w:r>
          <w:rPr>
            <w:rStyle w:val="Hyperlink"/>
          </w:rPr>
          <w:t xml:space="preserve">10.1007/s11356-021-12973-z</w:t>
        </w:r>
      </w:hyperlink>
      <w:r>
        <w:t xml:space="preserve">.</w:t>
      </w:r>
    </w:p>
    <w:bookmarkEnd w:id="185"/>
    <w:bookmarkStart w:id="187" w:name="ref-pham2020first"/>
    <w:p>
      <w:pPr>
        <w:pStyle w:val="Bibliography"/>
      </w:pPr>
      <w:r>
        <w:t xml:space="preserve">(56)</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86">
        <w:r>
          <w:rPr>
            <w:rStyle w:val="Hyperlink"/>
          </w:rPr>
          <w:t xml:space="preserve">10.1007/s10201-020-00630-2</w:t>
        </w:r>
      </w:hyperlink>
      <w:r>
        <w:t xml:space="preserve">.</w:t>
      </w:r>
    </w:p>
    <w:bookmarkEnd w:id="187"/>
    <w:bookmarkStart w:id="189" w:name="ref-izaguirre1992a"/>
    <w:p>
      <w:pPr>
        <w:pStyle w:val="Bibliography"/>
      </w:pPr>
      <w:r>
        <w:t xml:space="preserve">(57)</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88">
        <w:r>
          <w:rPr>
            <w:rStyle w:val="Hyperlink"/>
          </w:rPr>
          <w:t xml:space="preserve">10.2166/wst.1992.0055</w:t>
        </w:r>
      </w:hyperlink>
      <w:r>
        <w:t xml:space="preserve">.</w:t>
      </w:r>
    </w:p>
    <w:bookmarkEnd w:id="189"/>
    <w:bookmarkStart w:id="191" w:name="ref-hooper2023the"/>
    <w:p>
      <w:pPr>
        <w:pStyle w:val="Bibliography"/>
      </w:pPr>
      <w:r>
        <w:t xml:space="preserve">(58)</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190">
        <w:r>
          <w:rPr>
            <w:rStyle w:val="Hyperlink"/>
          </w:rPr>
          <w:t xml:space="preserve">10.1016/j.watres.2023.119693</w:t>
        </w:r>
      </w:hyperlink>
      <w:r>
        <w:t xml:space="preserve">.</w:t>
      </w:r>
    </w:p>
    <w:bookmarkEnd w:id="191"/>
    <w:bookmarkStart w:id="193" w:name="ref-suurnakki2015identification"/>
    <w:p>
      <w:pPr>
        <w:pStyle w:val="Bibliography"/>
      </w:pPr>
      <w:r>
        <w:t xml:space="preserve">(59)</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192">
        <w:r>
          <w:rPr>
            <w:rStyle w:val="Hyperlink"/>
          </w:rPr>
          <w:t xml:space="preserve">10.1016/j.watres.2014.09.037</w:t>
        </w:r>
      </w:hyperlink>
      <w:r>
        <w:t xml:space="preserve">.</w:t>
      </w:r>
    </w:p>
    <w:bookmarkEnd w:id="193"/>
    <w:bookmarkStart w:id="195" w:name="ref-giglio2011biosynthesis"/>
    <w:p>
      <w:pPr>
        <w:pStyle w:val="Bibliography"/>
      </w:pPr>
      <w:r>
        <w:t xml:space="preserve">(60)</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94">
        <w:r>
          <w:rPr>
            <w:rStyle w:val="Hyperlink"/>
          </w:rPr>
          <w:t xml:space="preserve">10.1021/es102992p</w:t>
        </w:r>
      </w:hyperlink>
      <w:r>
        <w:t xml:space="preserve">.</w:t>
      </w:r>
    </w:p>
    <w:bookmarkEnd w:id="195"/>
    <w:bookmarkStart w:id="197" w:name="ref-kutovaya2014development"/>
    <w:p>
      <w:pPr>
        <w:pStyle w:val="Bibliography"/>
      </w:pPr>
      <w:r>
        <w:t xml:space="preserve">(61)</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196">
        <w:r>
          <w:rPr>
            <w:rStyle w:val="Hyperlink"/>
          </w:rPr>
          <w:t xml:space="preserve">10.1016/j.jglr.2014.03.016</w:t>
        </w:r>
      </w:hyperlink>
      <w:r>
        <w:t xml:space="preserve">.</w:t>
      </w:r>
    </w:p>
    <w:bookmarkEnd w:id="197"/>
    <w:bookmarkStart w:id="199" w:name="ref-hayashi2019identification"/>
    <w:p>
      <w:pPr>
        <w:pStyle w:val="Bibliography"/>
      </w:pPr>
      <w:r>
        <w:t xml:space="preserve">(62)</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198">
        <w:r>
          <w:rPr>
            <w:rStyle w:val="Hyperlink"/>
          </w:rPr>
          <w:t xml:space="preserve">10.1016/j.hal.2019.01.010</w:t>
        </w:r>
      </w:hyperlink>
      <w:r>
        <w:t xml:space="preserve">.</w:t>
      </w:r>
    </w:p>
    <w:bookmarkEnd w:id="199"/>
    <w:bookmarkStart w:id="201" w:name="ref-john2018an"/>
    <w:p>
      <w:pPr>
        <w:pStyle w:val="Bibliography"/>
      </w:pPr>
      <w:r>
        <w:t xml:space="preserve">(63)</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200">
        <w:r>
          <w:rPr>
            <w:rStyle w:val="Hyperlink"/>
          </w:rPr>
          <w:t xml:space="preserve">10.1016/j.watres.2018.02.041</w:t>
        </w:r>
      </w:hyperlink>
      <w:r>
        <w:t xml:space="preserve">.</w:t>
      </w:r>
    </w:p>
    <w:bookmarkEnd w:id="201"/>
    <w:bookmarkStart w:id="203" w:name="ref-churro2020a"/>
    <w:p>
      <w:pPr>
        <w:pStyle w:val="Bibliography"/>
      </w:pPr>
      <w:r>
        <w:t xml:space="preserve">(64)</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02">
        <w:r>
          <w:rPr>
            <w:rStyle w:val="Hyperlink"/>
          </w:rPr>
          <w:t xml:space="preserve">10.1038/s41598-020-64774-y</w:t>
        </w:r>
      </w:hyperlink>
      <w:r>
        <w:t xml:space="preserve">.</w:t>
      </w:r>
    </w:p>
    <w:bookmarkEnd w:id="203"/>
    <w:bookmarkStart w:id="205" w:name="ref-su2019succession"/>
    <w:p>
      <w:pPr>
        <w:pStyle w:val="Bibliography"/>
      </w:pPr>
      <w:r>
        <w:t xml:space="preserve">(65)</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4">
        <w:r>
          <w:rPr>
            <w:rStyle w:val="Hyperlink"/>
          </w:rPr>
          <w:t xml:space="preserve">J.scitotenv.2018.08.307</w:t>
        </w:r>
      </w:hyperlink>
      <w:r>
        <w:t xml:space="preserve">.</w:t>
      </w:r>
    </w:p>
    <w:bookmarkEnd w:id="205"/>
    <w:bookmarkStart w:id="207" w:name="ref-jia2019light"/>
    <w:p>
      <w:pPr>
        <w:pStyle w:val="Bibliography"/>
      </w:pPr>
      <w:r>
        <w:t xml:space="preserve">(66)</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06">
        <w:r>
          <w:rPr>
            <w:rStyle w:val="Hyperlink"/>
          </w:rPr>
          <w:t xml:space="preserve">10.1016/j.hal.2019.101658</w:t>
        </w:r>
      </w:hyperlink>
      <w:r>
        <w:t xml:space="preserve">.</w:t>
      </w:r>
    </w:p>
    <w:bookmarkEnd w:id="207"/>
    <w:bookmarkStart w:id="209" w:name="ref-cao2025green"/>
    <w:p>
      <w:pPr>
        <w:pStyle w:val="Bibliography"/>
      </w:pPr>
      <w:r>
        <w:t xml:space="preserve">(67)</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08">
        <w:r>
          <w:rPr>
            <w:rStyle w:val="Hyperlink"/>
          </w:rPr>
          <w:t xml:space="preserve">10.1016/j.watres.2025.123336</w:t>
        </w:r>
      </w:hyperlink>
      <w:r>
        <w:t xml:space="preserve">.</w:t>
      </w:r>
    </w:p>
    <w:bookmarkEnd w:id="209"/>
    <w:bookmarkStart w:id="211" w:name="ref-komarek2015filamentous"/>
    <w:p>
      <w:pPr>
        <w:pStyle w:val="Bibliography"/>
      </w:pPr>
      <w:r>
        <w:t xml:space="preserve">(68)</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10">
        <w:r>
          <w:rPr>
            <w:rStyle w:val="Hyperlink"/>
          </w:rPr>
          <w:t xml:space="preserve">10.1016/b978-0-12-385876-4.00004-9</w:t>
        </w:r>
      </w:hyperlink>
      <w:r>
        <w:t xml:space="preserve">.</w:t>
      </w:r>
    </w:p>
    <w:bookmarkEnd w:id="211"/>
    <w:bookmarkStart w:id="213" w:name="ref-scott2012cyanobacteria"/>
    <w:p>
      <w:pPr>
        <w:pStyle w:val="Bibliography"/>
      </w:pPr>
      <w:r>
        <w:t xml:space="preserve">(69)</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12">
        <w:r>
          <w:rPr>
            <w:rStyle w:val="Hyperlink"/>
          </w:rPr>
          <w:t xml:space="preserve">10.1007/978-94-007-3855-3_9</w:t>
        </w:r>
      </w:hyperlink>
      <w:r>
        <w:t xml:space="preserve">.</w:t>
      </w:r>
    </w:p>
    <w:bookmarkEnd w:id="213"/>
    <w:bookmarkStart w:id="214" w:name="ref-mohanty2024challenges"/>
    <w:p>
      <w:pPr>
        <w:pStyle w:val="Bibliography"/>
      </w:pPr>
      <w:r>
        <w:t xml:space="preserve">(70)</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14"/>
    <w:bookmarkStart w:id="216" w:name="ref-su2017reducing"/>
    <w:p>
      <w:pPr>
        <w:pStyle w:val="Bibliography"/>
      </w:pPr>
      <w:r>
        <w:t xml:space="preserve">(71)</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15">
        <w:r>
          <w:rPr>
            <w:rStyle w:val="Hyperlink"/>
          </w:rPr>
          <w:t xml:space="preserve">10.1016/j.scitotenv.2016.08.134</w:t>
        </w:r>
      </w:hyperlink>
      <w:r>
        <w:t xml:space="preserve">.</w:t>
      </w:r>
    </w:p>
    <w:bookmarkEnd w:id="216"/>
    <w:bookmarkStart w:id="218" w:name="ref-fang2024mitigating"/>
    <w:p>
      <w:pPr>
        <w:pStyle w:val="Bibliography"/>
      </w:pPr>
      <w:r>
        <w:t xml:space="preserve">(72)</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17">
        <w:r>
          <w:rPr>
            <w:rStyle w:val="Hyperlink"/>
          </w:rPr>
          <w:t xml:space="preserve">10.1016/j.watres.2024.122509</w:t>
        </w:r>
      </w:hyperlink>
      <w:r>
        <w:t xml:space="preserve">.</w:t>
      </w:r>
    </w:p>
    <w:bookmarkEnd w:id="218"/>
    <w:bookmarkStart w:id="220" w:name="ref-recknagel2017early"/>
    <w:p>
      <w:pPr>
        <w:pStyle w:val="Bibliography"/>
      </w:pPr>
      <w:r>
        <w:t xml:space="preserve">(73)</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19">
        <w:r>
          <w:rPr>
            <w:rStyle w:val="Hyperlink"/>
          </w:rPr>
          <w:t xml:space="preserve">10.1016/j.hal.2017.09.003</w:t>
        </w:r>
      </w:hyperlink>
      <w:r>
        <w:t xml:space="preserve">.</w:t>
      </w:r>
    </w:p>
    <w:bookmarkEnd w:id="220"/>
    <w:bookmarkStart w:id="222" w:name="ref-izaguirre2004a"/>
    <w:p>
      <w:pPr>
        <w:pStyle w:val="Bibliography"/>
      </w:pPr>
      <w:r>
        <w:t xml:space="preserve">(74)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21">
        <w:r>
          <w:rPr>
            <w:rStyle w:val="Hyperlink"/>
          </w:rPr>
          <w:t xml:space="preserve">10.2166/wst.2004.0524</w:t>
        </w:r>
      </w:hyperlink>
      <w:r>
        <w:t xml:space="preserve">.</w:t>
      </w:r>
    </w:p>
    <w:bookmarkEnd w:id="222"/>
    <w:bookmarkStart w:id="224" w:name="ref-choo2025investigating"/>
    <w:p>
      <w:pPr>
        <w:pStyle w:val="Bibliography"/>
      </w:pPr>
      <w:r>
        <w:t xml:space="preserve">(75)</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23">
        <w:r>
          <w:rPr>
            <w:rStyle w:val="Hyperlink"/>
          </w:rPr>
          <w:t xml:space="preserve">10.1016/j.watres.2025.124388</w:t>
        </w:r>
      </w:hyperlink>
      <w:r>
        <w:t xml:space="preserve">.</w:t>
      </w:r>
    </w:p>
    <w:bookmarkEnd w:id="224"/>
    <w:bookmarkEnd w:id="225"/>
    <w:bookmarkEnd w:id="226"/>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Ming Su ID,b,f,*, Jie Yangc, Ziyi Yangb,f, Qi Zhange, Lin Sund, Yufan Aib,f, Jiao Fangb, Yingjie Lib,f, and Min Yangb,f</dc:creator>
  <dc:language>en</dc:language>
  <cp:keywords/>
  <dcterms:created xsi:type="dcterms:W3CDTF">2026-01-03T16:21:39Z</dcterms:created>
  <dcterms:modified xsi:type="dcterms:W3CDTF">2026-01-03T16:21:39Z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