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4.png" ContentType="image/png"/>
  <Override PartName="/word/media/rId49.png" ContentType="image/png"/>
  <Override PartName="/word/media/rId54.png" ContentType="image/png"/>
  <Override PartName="/word/media/rId32.png" ContentType="image/png"/>
  <Override PartName="/word/media/rId62.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Jie Yang</w:t>
      </w:r>
      <w:r>
        <w:rPr>
          <w:vertAlign w:val="superscript"/>
        </w:rPr>
        <w:t xml:space="preserve">c</w:t>
      </w:r>
      <w:r>
        <w:t xml:space="preserve">, Jihui Qin</w:t>
      </w:r>
      <w:r>
        <w:rPr>
          <w:vertAlign w:val="superscript"/>
        </w:rPr>
        <w:t xml:space="preserve">d</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Ziyi Yang</w:t>
      </w:r>
      <w:r>
        <w:rPr>
          <w:vertAlign w:val="superscript"/>
        </w:rPr>
        <w:t xml:space="preserve">b,f</w:t>
      </w:r>
      <w:r>
        <w:t xml:space="preserve">, Qi Zhang</w:t>
      </w:r>
      <w:r>
        <w:rPr>
          <w:vertAlign w:val="superscript"/>
        </w:rPr>
        <w:t xml:space="preserve">e</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Yuanhong Xiao</w:t>
      </w:r>
      <w:r>
        <w:rPr>
          <w:vertAlign w:val="superscript"/>
        </w:rPr>
        <w:t xml:space="preserve">d</w:t>
      </w:r>
      <w:r>
        <w:t xml:space="preserve">, Zhixiang Hao</w:t>
      </w:r>
      <w:r>
        <w:rPr>
          <w:vertAlign w:val="superscript"/>
        </w:rPr>
        <w:t xml:space="preserve">c</w:t>
      </w:r>
      <w:r>
        <w:t xml:space="preserve">, Zhengyan Li</w:t>
      </w:r>
      <w:r>
        <w:rPr>
          <w:vertAlign w:val="superscript"/>
        </w:rPr>
        <w:t xml:space="preserve">a</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Yuqiao Reservoir Authority, Tianjin 301900,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highlights"/>
    <w:p>
      <w:pPr>
        <w:pStyle w:val="Heading1"/>
      </w:pPr>
      <w:r>
        <w:t xml:space="preserve">Highlights</w:t>
      </w:r>
    </w:p>
    <w:p>
      <w:pPr>
        <w:pStyle w:val="Compact"/>
        <w:numPr>
          <w:ilvl w:val="0"/>
          <w:numId w:val="1001"/>
        </w:numPr>
      </w:pPr>
      <w:r>
        <w:t xml:space="preserve">Unveils littoral zone as the critical initiation hotspot for reservoir odor</w:t>
      </w:r>
    </w:p>
    <w:p>
      <w:pPr>
        <w:pStyle w:val="Compact"/>
        <w:numPr>
          <w:ilvl w:val="0"/>
          <w:numId w:val="1001"/>
        </w:numPr>
      </w:pPr>
      <w:r>
        <w:t xml:space="preserve">Develops a dynamic early-warning model integrating multi-source sensing data</w:t>
      </w:r>
    </w:p>
    <w:p>
      <w:pPr>
        <w:pStyle w:val="Compact"/>
        <w:numPr>
          <w:ilvl w:val="0"/>
          <w:numId w:val="1001"/>
        </w:numPr>
      </w:pPr>
      <w:r>
        <w:t xml:space="preserve">Proposes targeted interventions based on odor source-pathway identification</w:t>
      </w:r>
    </w:p>
    <w:p>
      <w:pPr>
        <w:pStyle w:val="Compact"/>
        <w:numPr>
          <w:ilvl w:val="0"/>
          <w:numId w:val="1001"/>
        </w:numPr>
      </w:pPr>
      <w:r>
        <w:t xml:space="preserve">Validates framework via cross-seasonal, multi-reservoir field campaigns</w:t>
      </w:r>
    </w:p>
    <w:p>
      <w:r>
        <w:br w:type="page"/>
      </w:r>
    </w:p>
    <w:bookmarkEnd w:id="22"/>
    <w:bookmarkStart w:id="23"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YQ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p>
      <w:pPr>
        <w:pStyle w:val="BodyText"/>
      </w:pPr>
      <w:r>
        <w:rPr>
          <w:b/>
          <w:bCs/>
        </w:rPr>
        <w:t xml:space="preserve">Keywords</w:t>
      </w:r>
      <w:r>
        <w:t xml:space="preserve">:</w:t>
      </w:r>
      <w:r>
        <w:t xml:space="preserve"> </w:t>
      </w:r>
      <w:r>
        <w:rPr>
          <w:i/>
          <w:iCs/>
        </w:rPr>
        <w:t xml:space="preserve">Geosmin</w:t>
      </w:r>
      <w:r>
        <w:t xml:space="preserve">,</w:t>
      </w:r>
      <w:r>
        <w:t xml:space="preserve"> </w:t>
      </w:r>
      <w:r>
        <w:rPr>
          <w:i/>
          <w:iCs/>
        </w:rPr>
        <w:t xml:space="preserve">taste and odor</w:t>
      </w:r>
      <w:r>
        <w:t xml:space="preserve">,</w:t>
      </w:r>
      <w:r>
        <w:t xml:space="preserve"> </w:t>
      </w:r>
      <w:r>
        <w:rPr>
          <w:i/>
          <w:iCs/>
        </w:rPr>
        <w:t xml:space="preserve">Early warning</w:t>
      </w:r>
      <w:r>
        <w:t xml:space="preserve">,</w:t>
      </w:r>
      <w:r>
        <w:t xml:space="preserve"> </w:t>
      </w:r>
      <w:r>
        <w:rPr>
          <w:i/>
          <w:iCs/>
        </w:rPr>
        <w:t xml:space="preserve">Planktothrix agardhii</w:t>
      </w:r>
      <w:r>
        <w:t xml:space="preserve">,</w:t>
      </w:r>
      <w:r>
        <w:t xml:space="preserve"> </w:t>
      </w:r>
      <w:r>
        <w:rPr>
          <w:i/>
          <w:iCs/>
        </w:rPr>
        <w:t xml:space="preserve">Spatiotemporal decoupling</w:t>
      </w:r>
    </w:p>
    <w:p>
      <w:r>
        <w:br w:type="page"/>
      </w:r>
    </w:p>
    <w:bookmarkEnd w:id="23"/>
    <w:bookmarkStart w:id="24"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t xml:space="preserve"> </w:t>
      </w:r>
      <w:r>
        <w:t xml:space="preserve">(Feng et al., 2021; Heisler et al., 2008; Huisman et al., 2018; O’neil et al., 2012; Paerl et al., 2001; Paerl and Paul, 2012; Woolway et al., 2020)</w:t>
      </w:r>
      <w:r>
        <w:t xml:space="preserve">. While CyanoHABs in eutrophic shallow lakes have been extensively characterized</w:t>
      </w:r>
      <w:r>
        <w:t xml:space="preserve"> </w:t>
      </w:r>
      <w:r>
        <w:t xml:space="preserve">(Kosten et al., 2011; Paerl et al., 2011; Reinl et al., 2022; Rousso et al., 2020; Xu et al., 2009; Zhang et al., 2023)</w:t>
      </w:r>
      <w:r>
        <w:t xml:space="preserve">, research in reservoir systems remains comparatively limited. In these critical drinking water resources, CyanoHABs directly jeopardize water safety through the production of toxins</w:t>
      </w:r>
      <w:r>
        <w:t xml:space="preserve"> </w:t>
      </w:r>
      <w:r>
        <w:t xml:space="preserve">(Carmichael et al., 2001; Merel et al., 2013; Plaas and Paerl, 2020)</w:t>
      </w:r>
      <w:r>
        <w:t xml:space="preserve"> </w:t>
      </w:r>
      <w:r>
        <w:t xml:space="preserve">and taste-and-odor (T&amp;O) compounds</w:t>
      </w:r>
      <w:r>
        <w:t xml:space="preserve"> </w:t>
      </w:r>
      <w:r>
        <w:t xml:space="preserve">(Burlingame et al., 2017; Lin et al., 2018; Su et al., 2015; Yang et al., 2008)</w:t>
      </w:r>
      <w:r>
        <w:t xml:space="preserve">. Approximately half of China’s source-water reservoirs experience recurrent algal-derived T&amp;O episodes</w:t>
      </w:r>
      <w:r>
        <w:t xml:space="preserve"> </w:t>
      </w:r>
      <w:r>
        <w:t xml:space="preserve">(Sun et al., 2014)</w:t>
      </w:r>
      <w:r>
        <w:t xml:space="preserve">. Unlike chemical contaminants, cyanobacterial populations exhibit exponential growth under favorable conditions</w:t>
      </w:r>
      <w:r>
        <w:t xml:space="preserve"> </w:t>
      </w:r>
      <w:r>
        <w:t xml:space="preserve">(Asato, 2003; Mehnert et al., 2010)</w:t>
      </w:r>
      <w:r>
        <w:t xml:space="preserve">, resulting in rapid metabolite release</w:t>
      </w:r>
      <w:r>
        <w:t xml:space="preserve"> </w:t>
      </w:r>
      <w:r>
        <w:t xml:space="preserve">(Ai et al., 2025; Singh et al., 2005)</w:t>
      </w:r>
      <w:r>
        <w:t xml:space="preserve"> </w:t>
      </w:r>
      <w:r>
        <w:t xml:space="preserve">that often exceeds the treatment capacity of conventional water utilities</w:t>
      </w:r>
      <w:r>
        <w:t xml:space="preserve"> </w:t>
      </w:r>
      <w:r>
        <w:t xml:space="preserve">(Cerón-Vivas et al., 2022; Mustapha et al., 2021; Srinivasan and Sorial, 2011)</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t xml:space="preserve"> </w:t>
      </w:r>
      <w:r>
        <w:t xml:space="preserve">(Dordoni et al., 2023; Thornton, 1984)</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w:t>
      </w:r>
      <w:r>
        <w:t xml:space="preserve"> </w:t>
      </w:r>
      <w:r>
        <w:t xml:space="preserve">Littoral zones, with their shallow depth, generally warm earlier in spring and maintain higher light availability throughout the water column compared to deeper offshore areas</w:t>
      </w:r>
      <w:r>
        <w:t xml:space="preserve"> </w:t>
      </w:r>
      <w:r>
        <w:t xml:space="preserve">(BRACCHINI et al., 2009)</w:t>
      </w:r>
      <w:r>
        <w:t xml:space="preserve">. These nearshore regions also exhibit stronger sediment–water coupling, evident in diffusive nutrient fluxes and episodic wind-driven resuspension, which significantly enhance internal nutrient supply</w:t>
      </w:r>
      <w:r>
        <w:t xml:space="preserve"> </w:t>
      </w:r>
      <w:r>
        <w:t xml:space="preserve">(Akbarzadeh et al., 2025; Qin et al., 2006)</w:t>
      </w:r>
      <w:r>
        <w:t xml:space="preserve">.</w:t>
      </w:r>
      <w:r>
        <w:t xml:space="preserve"> </w:t>
      </w:r>
      <w:r>
        <w:t xml:space="preserve">Together, these physicochemical factors</w:t>
      </w:r>
      <w:r>
        <w:t xml:space="preserve"> </w:t>
      </w:r>
      <w:r>
        <w:t xml:space="preserve">(Cefalì et al., 2016; Zohary and Gasith, 2014)</w:t>
      </w:r>
      <w:r>
        <w:t xml:space="preserve"> </w:t>
      </w:r>
      <w:r>
        <w:t xml:space="preserve">create an optimal ecological niche that supports the early proliferation of cyanobacteria.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t xml:space="preserve"> </w:t>
      </w:r>
      <w:r>
        <w:t xml:space="preserve">(Jüttner and Watson, 2007; Watson, 2003)</w:t>
      </w:r>
      <w:r>
        <w:t xml:space="preserve">. Their low molecular weight and chemical stability allow them to penetrate conventional treatment barriers and persist in distribution networks</w:t>
      </w:r>
      <w:r>
        <w:t xml:space="preserve"> </w:t>
      </w:r>
      <w:r>
        <w:t xml:space="preserve">(Lin et al., 2018; Zamyadi et al., 2015)</w:t>
      </w:r>
      <w:r>
        <w:t xml:space="preserve">. While MIB episodes in China have been well studied and managed through hydraulic controls</w:t>
      </w:r>
      <w:r>
        <w:t xml:space="preserve"> </w:t>
      </w:r>
      <w:r>
        <w:t xml:space="preserve">(Lu et al., 2023; Su et al., 2015)</w:t>
      </w:r>
      <w:r>
        <w:t xml:space="preserve">, geosmin episodes are increasing in frequency across Northern Hemisphere reservoirs</w:t>
      </w:r>
      <w:r>
        <w:t xml:space="preserve"> </w:t>
      </w:r>
      <w:r>
        <w:t xml:space="preserve">(Qiu et al., 2023; Wu et al., 2022)</w:t>
      </w:r>
      <w:r>
        <w:t xml:space="preserve">. The high phylogenetic diversity of geosmin-producing taxa</w:t>
      </w:r>
      <w:r>
        <w:t xml:space="preserve"> </w:t>
      </w:r>
      <w:r>
        <w:t xml:space="preserve">(AWWA, 2010)</w:t>
      </w:r>
      <w:r>
        <w:t xml:space="preserve"> </w:t>
      </w:r>
      <w:r>
        <w:t xml:space="preserve">complicates the identification of biological sources and the development of targeted management strategies, emphasizing the need for research into the ecological niches and 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4"/>
    <w:bookmarkStart w:id="31" w:name="materials-and-methods"/>
    <w:p>
      <w:pPr>
        <w:pStyle w:val="Heading1"/>
      </w:pPr>
      <w:r>
        <w:t xml:space="preserve">Materials and methods</w:t>
      </w:r>
    </w:p>
    <w:bookmarkStart w:id="25"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t xml:space="preserve"> </w:t>
      </w:r>
      <w:r>
        <w:t xml:space="preserve">(Zhou et al., 2024)</w:t>
      </w:r>
      <w:r>
        <w:t xml:space="preserve">.</w:t>
      </w:r>
      <w:r>
        <w:t xml:space="preserve"> </w:t>
      </w:r>
      <w:r>
        <w:t xml:space="preserve">To improve data comparability, inclusion criteria were applied such that only quantitative data from raw water samples analyzed via GC-MS-based methods were included. For risk assessment, a consistent exceedance threshold of 10 ng L</w:t>
      </w:r>
      <w:r>
        <w:rPr>
          <w:vertAlign w:val="superscript"/>
        </w:rPr>
        <w:t xml:space="preserve">-1</w:t>
      </w:r>
      <w:r>
        <w:t xml:space="preserve"> </w:t>
      </w:r>
      <w:r>
        <w:t xml:space="preserve">was applied to all sites, and values reported below method detection limits (MDLs) were treated as non-exceedance.</w:t>
      </w:r>
      <w:r>
        <w:t xml:space="preserve"> </w:t>
      </w:r>
      <w:r>
        <w:t xml:space="preserve">In total, geosmin data from 214 distinct sampling sites were analyzed to characterize spatial heterogeneity and nationwide occurrence patterns.</w:t>
      </w:r>
    </w:p>
    <w:p>
      <w:pPr>
        <w:pStyle w:val="BodyText"/>
      </w:pPr>
      <w:r>
        <w:rPr>
          <w:b/>
          <w:bCs/>
        </w:rPr>
        <w:t xml:space="preserve">Intensive monitoring at a reservoir in northern China.</w:t>
      </w:r>
      <w:r>
        <w:t xml:space="preserve"> </w:t>
      </w:r>
      <w:r>
        <w:t xml:space="preserve">YQ Reservoir is a large, river-type reservoir located in northern China, with a total storage capacity of approximately 1.559 billion m</w:t>
      </w:r>
      <w:r>
        <w:rPr>
          <w:vertAlign w:val="superscript"/>
        </w:rPr>
        <w:t xml:space="preserve">3</w:t>
      </w:r>
      <w:r>
        <w:t xml:space="preserve">, and serves as an important drinking water source for a major metropolitan area in northern China</w:t>
      </w:r>
      <w:r>
        <w:t xml:space="preserve"> </w:t>
      </w:r>
      <w:r>
        <w:t xml:space="preserve">(Xu et al., 2014; Zhai et al., 2017)</w:t>
      </w:r>
      <w:r>
        <w:t xml:space="preserve">. In recent years, the reservoir has experienced recurrent seasonal taste-and-odor episodes</w:t>
      </w:r>
      <w:r>
        <w:t xml:space="preserve"> </w:t>
      </w:r>
      <w:r>
        <w:t xml:space="preserve">(Cai et al., 2017; Qiu et al., 2021)</w:t>
      </w:r>
      <w:r>
        <w:t xml:space="preserve">.</w:t>
      </w:r>
      <w:r>
        <w:t xml:space="preserve"> </w:t>
      </w:r>
      <w:r>
        <w:t xml:space="preserve">Based on bathymetric and hydrodynamic gradients, seven sampling sites (YQ01–YQ07) were established along a littoral-to-lacustrine transect. Site YQ01, located in the deep lacustrine zone (maximum depth of approximately 12 m), was monitored using integrated water column sampling. Sites YQ02–YQ07 were situated in shallower littoral and transitional zones (water depth 2–4 m), where surface water samples were collected. High-frequency sampling (2–3 times per week) was conducted during the annual odor season from 2019 to 2024. Samples for geosmin analysis, water chemistry, and phytoplankton assessment were collected concurrently, stored at 4°C in the dark, and processed within 24 hours.</w:t>
      </w:r>
    </w:p>
    <w:bookmarkEnd w:id="25"/>
    <w:bookmarkStart w:id="27"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t xml:space="preserve"> </w:t>
      </w:r>
      <w:r>
        <w:t xml:space="preserve">(Su et al., 2015)</w:t>
      </w:r>
      <w:r>
        <w:t xml:space="preserve">. The method detection limit (MDL) for geosmin was 1 ng L</w:t>
      </w:r>
      <w:r>
        <w:rPr>
          <w:vertAlign w:val="superscript"/>
        </w:rPr>
        <w:t xml:space="preserve">-1</w:t>
      </w:r>
      <w:r>
        <w:t xml:space="preserve">.</w:t>
      </w:r>
    </w:p>
    <w:p>
      <w:pPr>
        <w:pStyle w:val="BodyText"/>
      </w:pPr>
      <w:r>
        <w:rPr>
          <w:b/>
          <w:bCs/>
        </w:rPr>
        <w:t xml:space="preserve">Physicochemical parameters.</w:t>
      </w:r>
      <w:r>
        <w:t xml:space="preserve"> </w:t>
      </w:r>
      <w:r>
        <w:t xml:space="preserve">Water temperature, pH, dissolved oxygen (DO), and turbidity were recorded</w:t>
      </w:r>
      <w:r>
        <w:t xml:space="preserve"> </w:t>
      </w:r>
      <w:r>
        <w:rPr>
          <w:i/>
          <w:iCs/>
        </w:rPr>
        <w:t xml:space="preserve">in-situ</w:t>
      </w:r>
      <w:r>
        <w:t xml:space="preserve"> </w:t>
      </w:r>
      <w:r>
        <w:t xml:space="preserve">using a multiparameter sonde (EXO2, Xylem, USA). Concentrations of ammonium (NH</w:t>
      </w:r>
      <w:r>
        <w:rPr>
          <w:vertAlign w:val="subscript"/>
        </w:rPr>
        <w:t xml:space="preserve">4</w:t>
      </w:r>
      <w:r>
        <w:rPr>
          <w:vertAlign w:val="superscript"/>
        </w:rPr>
        <w:t xml:space="preserve">+</w:t>
      </w:r>
      <w:r>
        <w:t xml:space="preserve">-N), total nitrogen (TN), and total phosphorus (TP) were determined spectrophotometrically following Chinese national standard protocols.</w:t>
      </w:r>
      <w:r>
        <w:t xml:space="preserve"> </w:t>
      </w:r>
      <w:r>
        <w:t xml:space="preserve">Specifically, TN and TP were quantified after alkaline potassium persulfate digestion (HJ 636-2012 and GB/T 11893-1989, respectively). NH</w:t>
      </w:r>
      <w:r>
        <w:rPr>
          <w:vertAlign w:val="subscript"/>
        </w:rPr>
        <w:t xml:space="preserve">4</w:t>
      </w:r>
      <w:r>
        <w:rPr>
          <w:vertAlign w:val="superscript"/>
        </w:rPr>
        <w:t xml:space="preserve">+</w:t>
      </w:r>
      <w:r>
        <w:t xml:space="preserve">-N was measured using the Nessler’s reagent method (HJ 535-2009). The detection limits for TN, TP, and NH</w:t>
      </w:r>
      <w:r>
        <w:rPr>
          <w:vertAlign w:val="subscript"/>
        </w:rPr>
        <w:t xml:space="preserve">4</w:t>
      </w:r>
      <w:r>
        <w:rPr>
          <w:vertAlign w:val="superscript"/>
        </w:rPr>
        <w:t xml:space="preserve">+</w:t>
      </w:r>
      <w:r>
        <w:t xml:space="preserve">-N were 0.05, 0.01, and 0.025 mg L</w:t>
      </w:r>
      <w:r>
        <w:rPr>
          <w:vertAlign w:val="superscript"/>
        </w:rPr>
        <w:t xml:space="preserve">-1</w:t>
      </w:r>
      <w:r>
        <w:t xml:space="preserve">, respectively.</w:t>
      </w:r>
    </w:p>
    <w:p>
      <w:pPr>
        <w:pStyle w:val="BodyText"/>
      </w:pPr>
      <w:r>
        <w:rPr>
          <w:b/>
          <w:bCs/>
        </w:rPr>
        <w:t xml:space="preserve">Phytoplankton analysis.</w:t>
      </w:r>
      <w:r>
        <w:t xml:space="preserve"> </w:t>
      </w:r>
      <w:r>
        <w:t xml:space="preserve">At each sampling station, a 1 L water sample was collected and immediately fixed with Lugol’s iodine solution (1% final concentration). Following 48 h of static sedimentation, these samples were concentrated to a final volume of 50 mL</w:t>
      </w:r>
      <w:r>
        <w:t xml:space="preserve"> </w:t>
      </w:r>
      <w:r>
        <w:t xml:space="preserve">(Hawkins et al., 2005)</w:t>
      </w:r>
      <w:r>
        <w:t xml:space="preserve">. For taxonomic identification and enumeration, a 0.1 mL aliquot of the concentrate was transferred to a Sedgewick-Rafter counting chamber. Phytoplankton cells were analyzed using an upright microscope (Olympus CX23, Tokyo, Japan) at 400× magnification. To ensure statistical reliability, at least 400 units were counted across random fields for each sample. Species identification was based on morphological characteristics according to</w:t>
      </w:r>
      <w:r>
        <w:t xml:space="preserve"> </w:t>
      </w:r>
      <w:r>
        <w:t xml:space="preserve">(Hu and Wei, 2006)</w:t>
      </w:r>
      <w:r>
        <w:t xml:space="preserve">. The phytoplankton cell density (</w:t>
      </w:r>
      <m:oMath>
        <m:r>
          <m:t>C</m:t>
        </m:r>
      </m:oMath>
      <w:r>
        <w:t xml:space="preserve">, cells/L) was determined using the following equation:</w:t>
      </w:r>
    </w:p>
    <w:p>
      <w:pPr>
        <w:pStyle w:val="BodyText"/>
      </w:pPr>
      <w:bookmarkStart w:id="26" w:name="eq-pcd"/>
      <m:oMathPara>
        <m:oMathParaPr>
          <m:jc m:val="center"/>
        </m:oMathParaPr>
        <m:oMath>
          <m:r>
            <m:t>C</m:t>
          </m:r>
          <m:r>
            <m:rPr>
              <m:sty m:val="p"/>
            </m:rPr>
            <m:t>=</m:t>
          </m:r>
          <m:f>
            <m:fPr>
              <m:type m:val="bar"/>
            </m:fPr>
            <m:num>
              <m:r>
                <m:t>n</m:t>
              </m:r>
              <m:r>
                <m:rPr>
                  <m:sty m:val="p"/>
                </m:rPr>
                <m:t>×</m:t>
              </m:r>
              <m:sSub>
                <m:e>
                  <m:r>
                    <m:t>V</m:t>
                  </m:r>
                </m:e>
                <m:sub>
                  <m:r>
                    <m:t>c</m:t>
                  </m:r>
                  <m:r>
                    <m:t>o</m:t>
                  </m:r>
                  <m:r>
                    <m:t>n</m:t>
                  </m:r>
                </m:sub>
              </m:sSub>
            </m:num>
            <m:den>
              <m:sSub>
                <m:e>
                  <m:r>
                    <m:t>V</m:t>
                  </m:r>
                </m:e>
                <m:sub>
                  <m:r>
                    <m:t>c</m:t>
                  </m:r>
                  <m:r>
                    <m:t>o</m:t>
                  </m:r>
                  <m:r>
                    <m:t>u</m:t>
                  </m:r>
                  <m:r>
                    <m:t>n</m:t>
                  </m:r>
                  <m:r>
                    <m:t>t</m:t>
                  </m:r>
                </m:sub>
              </m:sSub>
              <m:r>
                <m:rPr>
                  <m:sty m:val="p"/>
                </m:rPr>
                <m:t>×</m:t>
              </m:r>
              <m:sSub>
                <m:e>
                  <m:r>
                    <m:t>V</m:t>
                  </m:r>
                </m:e>
                <m:sub>
                  <m:r>
                    <m:t>s</m:t>
                  </m:r>
                  <m:r>
                    <m:t>a</m:t>
                  </m:r>
                  <m:r>
                    <m:t>m</m:t>
                  </m:r>
                  <m:r>
                    <m:t>p</m:t>
                  </m:r>
                  <m:r>
                    <m:t>l</m:t>
                  </m:r>
                  <m:r>
                    <m:t>e</m:t>
                  </m:r>
                </m:sub>
              </m:sSub>
            </m:den>
          </m:f>
          <m:r>
            <m:t>  </m:t>
          </m:r>
          <m:d>
            <m:dPr>
              <m:begChr m:val="("/>
              <m:sepChr m:val=""/>
              <m:endChr m:val=")"/>
              <m:grow/>
            </m:dPr>
            <m:e>
              <m:r>
                <m:t>1</m:t>
              </m:r>
            </m:e>
          </m:d>
        </m:oMath>
      </m:oMathPara>
      <w:bookmarkEnd w:id="26"/>
    </w:p>
    <w:p>
      <w:pPr>
        <w:pStyle w:val="BodyText"/>
      </w:pPr>
      <w:r>
        <w:t xml:space="preserve">where</w:t>
      </w:r>
      <w:r>
        <w:t xml:space="preserve"> </w:t>
      </w:r>
      <m:oMath>
        <m:r>
          <m:t>n</m:t>
        </m:r>
      </m:oMath>
      <w:r>
        <w:t xml:space="preserve"> </w:t>
      </w:r>
      <w:r>
        <w:t xml:space="preserve">is the number of cells counted,</w:t>
      </w:r>
      <w:r>
        <w:t xml:space="preserve"> </w:t>
      </w:r>
      <m:oMath>
        <m:sSub>
          <m:e>
            <m:r>
              <m:t>V</m:t>
            </m:r>
          </m:e>
          <m:sub>
            <m:r>
              <m:t>c</m:t>
            </m:r>
            <m:r>
              <m:t>o</m:t>
            </m:r>
            <m:r>
              <m:t>n</m:t>
            </m:r>
          </m:sub>
        </m:sSub>
      </m:oMath>
      <w:r>
        <w:t xml:space="preserve"> </w:t>
      </w:r>
      <w:r>
        <w:t xml:space="preserve">is the concentrated volume (50 mL),</w:t>
      </w:r>
      <w:r>
        <w:t xml:space="preserve"> </w:t>
      </w:r>
      <m:oMath>
        <m:sSub>
          <m:e>
            <m:r>
              <m:t>V</m:t>
            </m:r>
          </m:e>
          <m:sub>
            <m:r>
              <m:t>c</m:t>
            </m:r>
            <m:r>
              <m:t>o</m:t>
            </m:r>
            <m:r>
              <m:t>u</m:t>
            </m:r>
            <m:r>
              <m:t>n</m:t>
            </m:r>
            <m:r>
              <m:t>t</m:t>
            </m:r>
          </m:sub>
        </m:sSub>
      </m:oMath>
      <w:r>
        <w:t xml:space="preserve"> </w:t>
      </w:r>
      <w:r>
        <w:t xml:space="preserve">is the volume of the counting chamber (0.1 mL), and</w:t>
      </w:r>
      <w:r>
        <w:t xml:space="preserve"> </w:t>
      </w:r>
      <m:oMath>
        <m:sSub>
          <m:e>
            <m:r>
              <m:t>V</m:t>
            </m:r>
          </m:e>
          <m:sub>
            <m:r>
              <m:t>s</m:t>
            </m:r>
            <m:r>
              <m:t>a</m:t>
            </m:r>
            <m:r>
              <m:t>m</m:t>
            </m:r>
            <m:r>
              <m:t>p</m:t>
            </m:r>
            <m:r>
              <m:t>l</m:t>
            </m:r>
            <m:r>
              <m:t>e</m:t>
            </m:r>
          </m:sub>
        </m:sSub>
      </m:oMath>
      <w:r>
        <w:t xml:space="preserve"> </w:t>
      </w:r>
      <w:r>
        <w:t xml:space="preserve">is the initial sample volume (1 L).</w:t>
      </w:r>
    </w:p>
    <w:bookmarkEnd w:id="27"/>
    <w:bookmarkStart w:id="28" w:name="X7fc0152d43e570198ecf44571cdb4ee905b59d4"/>
    <w:p>
      <w:pPr>
        <w:pStyle w:val="Heading2"/>
      </w:pPr>
      <w:r>
        <w:t xml:space="preserve">Molecular characterization and bioinformatics</w:t>
      </w:r>
    </w:p>
    <w:p>
      <w:pPr>
        <w:pStyle w:val="BodyText"/>
      </w:pPr>
      <w:r>
        <w:rPr>
          <w:b/>
          <w:bCs/>
        </w:rPr>
        <w:t xml:space="preserve">Molecular identification of geosmin producers.</w:t>
      </w:r>
      <w:r>
        <w:t xml:space="preserve"> </w:t>
      </w:r>
      <w:r>
        <w:t xml:space="preserve">Biomass for molecular analysis was collected on 1.2-μm polycarbonate filters (Millipore) and stored at–80°C. Genomic DNA was extracted using the FastDNA™Spin Kit for Soil (MP Biomedicals).</w:t>
      </w:r>
      <w:r>
        <w:t xml:space="preserve"> </w:t>
      </w:r>
      <w:r>
        <w:t xml:space="preserve">The</w:t>
      </w:r>
      <w:r>
        <w:t xml:space="preserve"> </w:t>
      </w:r>
      <w:r>
        <w:rPr>
          <w:i/>
          <w:iCs/>
        </w:rPr>
        <w:t xml:space="preserve">geoA</w:t>
      </w:r>
      <w:r>
        <w:t xml:space="preserve"> </w:t>
      </w:r>
      <w:r>
        <w:t xml:space="preserve">gene, which encodes geosmin synthase in cyanobacteria, was amplified using functional primers 173AF/173AR</w:t>
      </w:r>
      <w:r>
        <w:t xml:space="preserve"> </w:t>
      </w:r>
      <w:r>
        <w:t xml:space="preserve">(Giglio et al., 2008; Su et al., 2013)</w:t>
      </w:r>
      <w:r>
        <w:t xml:space="preserve">.</w:t>
      </w:r>
      <w:r>
        <w:t xml:space="preserve"> </w:t>
      </w:r>
      <w:r>
        <w:t xml:space="preserve">Taxonomic identification was performed via PCR amplification of the 16S rRNA gene V4 region (primers 515F/806R). Gene fusion was carried out to combine the (</w:t>
      </w:r>
      <w:r>
        <w:rPr>
          <w:i/>
          <w:iCs/>
        </w:rPr>
        <w:t xml:space="preserve">geoA</w:t>
      </w:r>
      <w:r>
        <w:t xml:space="preserve">) and 16S rRNA gene amplicons using the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p>
      <w:pPr>
        <w:pStyle w:val="BodyText"/>
      </w:pPr>
      <w:r>
        <w:rPr>
          <w:b/>
          <w:bCs/>
        </w:rPr>
        <w:t xml:space="preserve">Bioinformatics pipeline.</w:t>
      </w:r>
      <w:r>
        <w:t xml:space="preserve"> </w:t>
      </w:r>
      <w:r>
        <w:t xml:space="preserve">The sequencing was performed on the Illumina MiSeq PE300 platform (Illumina Inc., San Diego, USA)</w:t>
      </w:r>
      <w:r>
        <w:t xml:space="preserve">(Ravi et al., 2018)</w:t>
      </w:r>
      <w:r>
        <w:t xml:space="preserve">. The raw paired-end sequences were first merged using FLASH (v1.2.11) and processed for quality filtering within the QIIME2 pipeline (v2022.2)</w:t>
      </w:r>
      <w:r>
        <w:t xml:space="preserve">(Bolyen et al., 2019)</w:t>
      </w:r>
      <w:r>
        <w:t xml:space="preserve">. The UPARSE algorithm (v7.0.1090) was used to remove singletons and chimeras, and the sequences were clustered into Operational Taxonomic Units (OTUs) at a 97% similarity threshold</w:t>
      </w:r>
      <w:r>
        <w:t xml:space="preserve">(Edgar, 2013)</w:t>
      </w:r>
      <w:r>
        <w:t xml:space="preserve">. For the 16S rRNA gene fragments, representative sequences were taxonomically assigned against the SILVA rRNA reference database (release 138)</w:t>
      </w:r>
      <w:r>
        <w:t xml:space="preserve">(Quast et al., 2012)</w:t>
      </w:r>
      <w:r>
        <w:t xml:space="preserve">.</w:t>
      </w:r>
    </w:p>
    <w:bookmarkEnd w:id="28"/>
    <w:bookmarkStart w:id="30"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9"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2</m:t>
              </m:r>
            </m:e>
          </m:d>
        </m:oMath>
      </m:oMathPara>
      <w:bookmarkEnd w:id="29"/>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w:t>
      </w:r>
      <w:r>
        <w:t xml:space="preserve"> </w:t>
      </w:r>
      <w:r>
        <w:t xml:space="preserve">The coefficient of determination (</w:t>
      </w:r>
      <m:oMath>
        <m:sSup>
          <m:e>
            <m:r>
              <m:t>R</m:t>
            </m:r>
          </m:e>
          <m:sup>
            <m:r>
              <m:t>2</m:t>
            </m:r>
          </m:sup>
        </m:sSup>
      </m:oMath>
      <w:r>
        <w:t xml:space="preserve">) was used to identify the optimal lag period (i.e., the early-warning window reported in the main text),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30"/>
    <w:bookmarkEnd w:id="31"/>
    <w:bookmarkStart w:id="59" w:name="results"/>
    <w:p>
      <w:pPr>
        <w:pStyle w:val="Heading1"/>
      </w:pPr>
      <w:r>
        <w:t xml:space="preserve">Results</w:t>
      </w:r>
    </w:p>
    <w:bookmarkStart w:id="36"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5" w:name="fig-nationalgsm"/>
          <w:p>
            <w:pPr>
              <w:pStyle w:val="Compact"/>
              <w:jc w:val="center"/>
            </w:pPr>
            <w:r>
              <w:drawing>
                <wp:inline>
                  <wp:extent cx="4602480" cy="3835400"/>
                  <wp:effectExtent b="0" l="0" r="0" t="0"/>
                  <wp:docPr descr="" title="" id="33" name="Picture"/>
                  <a:graphic>
                    <a:graphicData uri="http://schemas.openxmlformats.org/drawingml/2006/picture">
                      <pic:pic>
                        <pic:nvPicPr>
                          <pic:cNvPr descr="../figures/nationalgsm.png" id="34" name="Picture"/>
                          <pic:cNvPicPr>
                            <a:picLocks noChangeArrowheads="1" noChangeAspect="1"/>
                          </pic:cNvPicPr>
                        </pic:nvPicPr>
                        <pic:blipFill>
                          <a:blip r:embed="rId32"/>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5"/>
        </w:tc>
      </w:tr>
    </w:tbl>
    <w:bookmarkEnd w:id="36"/>
    <w:bookmarkStart w:id="41" w:name="Xd364c899f72747773135489c797ecd260feaa4f"/>
    <w:p>
      <w:pPr>
        <w:pStyle w:val="Heading2"/>
      </w:pPr>
      <w:r>
        <w:t xml:space="preserve">Seasonal and interannual dynamics in YQ Reservoir</w:t>
      </w:r>
    </w:p>
    <w:p>
      <w:pPr>
        <w:pStyle w:val="BodyText"/>
      </w:pPr>
      <w:r>
        <w:t xml:space="preserve">High-frequency monitoring was conducted at the primary intake (site YQ01) of YQ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40" w:name="fig-yqgsminvest"/>
          <w:p>
            <w:pPr>
              <w:pStyle w:val="Compact"/>
              <w:jc w:val="center"/>
            </w:pPr>
            <w:r>
              <w:drawing>
                <wp:inline>
                  <wp:extent cx="5177790" cy="5695349"/>
                  <wp:effectExtent b="0" l="0" r="0" t="0"/>
                  <wp:docPr descr="" title="" id="38" name="Picture"/>
                  <a:graphic>
                    <a:graphicData uri="http://schemas.openxmlformats.org/drawingml/2006/picture">
                      <pic:pic>
                        <pic:nvPicPr>
                          <pic:cNvPr descr="../figures/yqgsminvest_revised.png" id="39" name="Picture"/>
                          <pic:cNvPicPr>
                            <a:picLocks noChangeArrowheads="1" noChangeAspect="1"/>
                          </pic:cNvPicPr>
                        </pic:nvPicPr>
                        <pic:blipFill>
                          <a:blip r:embed="rId37"/>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YQ Reservoir (2019–2024). (A) Seasonal and interannual variations in geosmin concentrations at the main water intake (site YQ01). (B) Heatmap showing monthly log</w:t>
            </w:r>
            <w:r>
              <w:rPr>
                <w:vertAlign w:val="subscript"/>
              </w:rPr>
              <w:t xml:space="preserve">10</w:t>
            </w:r>
            <w:r>
              <w:t xml:space="preserve">-transformed biomass (log</w:t>
            </w:r>
            <w:r>
              <w:rPr>
                <w:vertAlign w:val="subscript"/>
              </w:rPr>
              <w:t xml:space="preserve">10</w:t>
            </w:r>
            <w:r>
              <w:t xml:space="preserve">(X + 1)) of total phytoplankton, total cyanobacteria, and key geosmin-producing cyanobacterial genera. (C) Temporal patterns of</w:t>
            </w:r>
            <w:r>
              <w:t xml:space="preserve"> </w:t>
            </w:r>
            <w:r>
              <w:rPr>
                <w:i/>
                <w:iCs/>
              </w:rPr>
              <w:t xml:space="preserve">Planktothrix agardhii</w:t>
            </w:r>
            <w:r>
              <w:t xml:space="preserve"> </w:t>
            </w:r>
            <w:r>
              <w:t xml:space="preserve">biomass across sampling sites. (D–F) Microscopic images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40"/>
        </w:tc>
      </w:tr>
    </w:tbl>
    <w:bookmarkEnd w:id="41"/>
    <w:bookmarkStart w:id="42" w:name="Xca0b3c67d89f7639e252e97d2ae3b7ccbae1524"/>
    <w:p>
      <w:pPr>
        <w:pStyle w:val="Heading2"/>
      </w:pPr>
      <w:r>
        <w:t xml:space="preserve">Phytoplankton community dynamics and key cyanobacterial genera</w:t>
      </w:r>
    </w:p>
    <w:p>
      <w:pPr>
        <w:pStyle w:val="BodyText"/>
      </w:pPr>
      <w:r>
        <w:t xml:space="preserve">Phytoplankton composition data from YQ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2"/>
    <w:bookmarkStart w:id="43"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i/>
          <w:iCs/>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YQ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w:t>
      </w:r>
      <w:r>
        <w:t xml:space="preserve"> </w:t>
      </w:r>
      <w:r>
        <w:t xml:space="preserve">However,</w:t>
      </w:r>
      <w:r>
        <w:t xml:space="preserve"> </w:t>
      </w:r>
      <w:r>
        <w:rPr>
          <w:i/>
          <w:iCs/>
        </w:rPr>
        <w:t xml:space="preserve">P. agardhii</w:t>
      </w:r>
      <w:r>
        <w:t xml:space="preserve"> </w:t>
      </w:r>
      <w:r>
        <w:t xml:space="preserve">was selected as the representative taxon for subsequent analysis because it showed a more persistent temporal pattern than other candidate producers across the monitoring period (Fig. 2B–C) and exhibited the strongest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5.6×10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3.9×10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8.7% of littoral samples, compared to 8.6%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3"/>
    <w:bookmarkStart w:id="48" w:name="X28ed212692fa3df3a87ab4b703344660ce0c7e1"/>
    <w:p>
      <w:pPr>
        <w:pStyle w:val="Heading2"/>
      </w:pPr>
      <w:r>
        <w:t xml:space="preserve">Distinct spatiotemporal patterns of two geosmin episodes</w:t>
      </w:r>
    </w:p>
    <w:p>
      <w:pPr>
        <w:pStyle w:val="BodyText"/>
      </w:pPr>
      <w:r>
        <w:t xml:space="preserve">Two distinct odor episodes were identified in YQ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7" w:name="fig-gsmepisodes"/>
          <w:p>
            <w:pPr>
              <w:pStyle w:val="Compact"/>
              <w:jc w:val="center"/>
            </w:pPr>
            <w:r>
              <w:drawing>
                <wp:inline>
                  <wp:extent cx="3451860" cy="3655340"/>
                  <wp:effectExtent b="0" l="0" r="0" t="0"/>
                  <wp:docPr descr="" title="" id="45" name="Picture"/>
                  <a:graphic>
                    <a:graphicData uri="http://schemas.openxmlformats.org/drawingml/2006/picture">
                      <pic:pic>
                        <pic:nvPicPr>
                          <pic:cNvPr descr="../figures/gsmepisodes_revised.png" id="46" name="Picture"/>
                          <pic:cNvPicPr>
                            <a:picLocks noChangeArrowheads="1" noChangeAspect="1"/>
                          </pic:cNvPicPr>
                        </pic:nvPicPr>
                        <pic:blipFill>
                          <a:blip r:embed="rId44"/>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YQ Reservoir.</w:t>
            </w:r>
          </w:p>
          <w:bookmarkEnd w:id="47"/>
        </w:tc>
      </w:tr>
    </w:tbl>
    <w:bookmarkEnd w:id="48"/>
    <w:bookmarkStart w:id="53"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0.244 + 0.288×log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0.558 + 0.196×log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w:t>
      </w:r>
      <w:r>
        <w:t xml:space="preserve"> </w:t>
      </w:r>
      <w:r>
        <w:t xml:space="preserve">Although the lag estimated from the biweekly time series was slightly longer than the 5-week optimal lag identified by the lagged-correlation analysis, both approaches consistently indicated a delay within a comparable time window.</w:t>
      </w:r>
      <w:r>
        <w:t xml:space="preserve"> </w:t>
      </w:r>
      <w:r>
        <w:t xml:space="preserve">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2" w:name="fig-lag"/>
          <w:p>
            <w:pPr>
              <w:pStyle w:val="Compact"/>
              <w:jc w:val="center"/>
            </w:pPr>
            <w:r>
              <w:drawing>
                <wp:inline>
                  <wp:extent cx="3739515" cy="5608282"/>
                  <wp:effectExtent b="0" l="0" r="0" t="0"/>
                  <wp:docPr descr="" title="" id="50" name="Picture"/>
                  <a:graphic>
                    <a:graphicData uri="http://schemas.openxmlformats.org/drawingml/2006/picture">
                      <pic:pic>
                        <pic:nvPicPr>
                          <pic:cNvPr descr="../figures/lag_revised.png" id="51" name="Picture"/>
                          <pic:cNvPicPr>
                            <a:picLocks noChangeArrowheads="1" noChangeAspect="1"/>
                          </pic:cNvPicPr>
                        </pic:nvPicPr>
                        <pic:blipFill>
                          <a:blip r:embed="rId49"/>
                          <a:stretch>
                            <a:fillRect/>
                          </a:stretch>
                        </pic:blipFill>
                        <pic:spPr bwMode="auto">
                          <a:xfrm>
                            <a:off x="0" y="0"/>
                            <a:ext cx="3739515" cy="5608282"/>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w:t>
            </w:r>
            <w:r>
              <w:t xml:space="preserve"> </w:t>
            </w:r>
            <w:r>
              <w:rPr>
                <w:i/>
                <w:iCs/>
              </w:rPr>
              <w:t xml:space="preserve">Planktothrix agardhii</w:t>
            </w:r>
            <w:r>
              <w:t xml:space="preserve"> </w:t>
            </w:r>
            <w:r>
              <w:t xml:space="preserve">biomass and geosmin concentrations at near-littoral and dam sites. (A) Correlation coefficients (R</w:t>
            </w:r>
            <w:r>
              <w:rPr>
                <w:vertAlign w:val="superscript"/>
              </w:rPr>
              <w:t xml:space="preserve">2</w:t>
            </w:r>
            <w:r>
              <w:t xml:space="preserve">) between</w:t>
            </w:r>
            <w:r>
              <w:t xml:space="preserve"> </w:t>
            </w:r>
            <w:r>
              <w:rPr>
                <w:i/>
                <w:iCs/>
              </w:rPr>
              <w:t xml:space="preserve">P. agardhii</w:t>
            </w:r>
            <w:r>
              <w:t xml:space="preserve"> </w:t>
            </w:r>
            <w:r>
              <w:t xml:space="preserve">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w:t>
            </w:r>
            <w:r>
              <w:t xml:space="preserve"> </w:t>
            </w:r>
            <w:r>
              <w:rPr>
                <w:i/>
                <w:iCs/>
              </w:rPr>
              <w:t xml:space="preserve">P. agardhii</w:t>
            </w:r>
            <w:r>
              <w:t xml:space="preserve"> </w:t>
            </w:r>
            <w:r>
              <w:t xml:space="preserve">biomass and geosmin at each site.</w:t>
            </w:r>
          </w:p>
          <w:bookmarkEnd w:id="52"/>
        </w:tc>
      </w:tr>
    </w:tbl>
    <w:bookmarkEnd w:id="53"/>
    <w:bookmarkStart w:id="58"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YQ Reservoir (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7" w:name="fig-mech"/>
          <w:p>
            <w:pPr>
              <w:pStyle w:val="Compact"/>
              <w:jc w:val="center"/>
            </w:pPr>
            <w:r>
              <w:drawing>
                <wp:inline>
                  <wp:extent cx="5177790" cy="3285838"/>
                  <wp:effectExtent b="0" l="0" r="0" t="0"/>
                  <wp:docPr descr="" title="" id="55" name="Picture"/>
                  <a:graphic>
                    <a:graphicData uri="http://schemas.openxmlformats.org/drawingml/2006/picture">
                      <pic:pic>
                        <pic:nvPicPr>
                          <pic:cNvPr descr="../figures/mech_revised2.png" id="56" name="Picture"/>
                          <pic:cNvPicPr>
                            <a:picLocks noChangeArrowheads="1" noChangeAspect="1"/>
                          </pic:cNvPicPr>
                        </pic:nvPicPr>
                        <pic:blipFill>
                          <a:blip r:embed="rId54"/>
                          <a:stretch>
                            <a:fillRect/>
                          </a:stretch>
                        </pic:blipFill>
                        <pic:spPr bwMode="auto">
                          <a:xfrm>
                            <a:off x="0" y="0"/>
                            <a:ext cx="5177790" cy="3285838"/>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YQ Reservoir. (A) Principal component analysis (PCA) biplot showing relationships between geosmin and key environmental variables. (B) Log-log regressions between ammonium concentration and geosmin across littoral, transitional (YQ05), and dam (YQ01) zones. (C) Bathymetric map of YQ Reservoir depicting the proposed transport pathway from littoral production zones to the central water intake.</w:t>
            </w:r>
          </w:p>
          <w:bookmarkEnd w:id="57"/>
        </w:tc>
      </w:tr>
    </w:tbl>
    <w:bookmarkEnd w:id="58"/>
    <w:bookmarkEnd w:id="59"/>
    <w:bookmarkStart w:id="67" w:name="discussion"/>
    <w:p>
      <w:pPr>
        <w:pStyle w:val="Heading1"/>
      </w:pPr>
      <w:r>
        <w:t xml:space="preserve">Discussion</w:t>
      </w:r>
    </w:p>
    <w:bookmarkStart w:id="60"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t xml:space="preserve">(AWWA, 2010)</w:t>
      </w:r>
      <w:r>
        <w:t xml:space="preserve">). These results identify geosmin as a pervasive water quality challenge, consistent with observations in other climatological regions</w:t>
      </w:r>
      <w:r>
        <w:t xml:space="preserve"> </w:t>
      </w:r>
      <w:r>
        <w:t xml:space="preserve">(Devi et al., 2021; Lin et al., 2018)</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t xml:space="preserve"> </w:t>
      </w:r>
      <w:r>
        <w:t xml:space="preserve">(Cook et al., 2001; Mustapha et al., 2021; Zamyadi et al., 2015)</w:t>
      </w:r>
      <w:r>
        <w:t xml:space="preserve">, geosmin poses significant operational challenges for water utilities</w:t>
      </w:r>
      <w:r>
        <w:t xml:space="preserve"> </w:t>
      </w:r>
      <w:r>
        <w:t xml:space="preserve">(Srinivasan and Sorial, 2011)</w:t>
      </w:r>
      <w:r>
        <w:t xml:space="preserve"> </w:t>
      </w:r>
      <w:r>
        <w:t xml:space="preserve">and impacts compliance with water safety objectives such as Sustainable Development Goal 6</w:t>
      </w:r>
      <w:r>
        <w:t xml:space="preserve"> </w:t>
      </w:r>
      <w:r>
        <w:t xml:space="preserve">(Arora and Mishra, 2022)</w:t>
      </w:r>
      <w:r>
        <w:t xml:space="preserve">. Consequently, these risks drive substantial investment in advanced treatment technologies and proactive source management</w:t>
      </w:r>
      <w:r>
        <w:t xml:space="preserve"> </w:t>
      </w:r>
      <w:r>
        <w:t xml:space="preserve">(Yuan and Hofmann, 2022)</w:t>
      </w:r>
      <w:r>
        <w:t xml:space="preserve">.</w:t>
      </w:r>
    </w:p>
    <w:bookmarkEnd w:id="60"/>
    <w:bookmarkStart w:id="61"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t xml:space="preserve"> </w:t>
      </w:r>
      <w:r>
        <w:t xml:space="preserve">(Gerber, 1979; Gerber and Lechevalier, 1965; Guo et al., 2024; Jensen et al., 1994)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YQ Reservoir. This supports the consensus that cyanobacteria are the primary biotic source of odorants in well-oxygenated reservoir water columns</w:t>
      </w:r>
      <w:r>
        <w:t xml:space="preserve"> </w:t>
      </w:r>
      <w:r>
        <w:t xml:space="preserve">(Chislock et al., 2021; Hooper et al., 2023; Izaguirre, 1992; Pham et al., 2020; Su et al., 2013; Suurnäkki et al., 2015)</w:t>
      </w:r>
      <w:r>
        <w:t xml:space="preserve">. Detection of</w:t>
      </w:r>
      <w:r>
        <w:t xml:space="preserve"> </w:t>
      </w:r>
      <w:r>
        <w:rPr>
          <w:i/>
          <w:iCs/>
        </w:rPr>
        <w:t xml:space="preserve">geoA</w:t>
      </w:r>
      <w:r>
        <w:t xml:space="preserve">-harboring cyanobacteria</w:t>
      </w:r>
      <w:r>
        <w:t xml:space="preserve"> </w:t>
      </w:r>
      <w:r>
        <w:t xml:space="preserve">(Giglio et al., 2011; Giglio et al., 2008; Kutovaya and Watson, 2014)</w:t>
      </w:r>
      <w:r>
        <w:t xml:space="preserve"> </w:t>
      </w:r>
      <w:r>
        <w:t xml:space="preserve">in this oxygenated environment indicates that geosmin is primarily derived from cyanobacterial activity, aligning with studies linking specific blooms to odor episodes globally</w:t>
      </w:r>
      <w:r>
        <w:t xml:space="preserve"> </w:t>
      </w:r>
      <w:r>
        <w:t xml:space="preserve">(Churro et al., 2020; Hayashi et al., 2019; John et al., 2018)</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t xml:space="preserve"> </w:t>
      </w:r>
      <w:r>
        <w:t xml:space="preserve">(Cao et al., 2025; Jia et al., 2019; Komárek and Johansen, 2015; Su et al., 2019)</w:t>
      </w:r>
      <w:r>
        <w:t xml:space="preserve">. These traits allow for optimal light harvesting under the variable regimes typical of nearshore areas</w:t>
      </w:r>
      <w:r>
        <w:t xml:space="preserve"> </w:t>
      </w:r>
      <w:r>
        <w:t xml:space="preserve">(Scott and Marcarelli, 2012; Zohary and Gasith, 2014)</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w:t>
      </w:r>
      <w:r>
        <w:t xml:space="preserve"> </w:t>
      </w:r>
      <w:r>
        <w:t xml:space="preserve">The positive correlation observed in situ in the reservoir is supported by experimental evidence from physiological studies on geosmin-producing cyanobacteria, which have demonstrated that elevated ammonium concentrations can stimulate algal growth and thereby enhance overall geosmin production capacity</w:t>
      </w:r>
      <w:r>
        <w:t xml:space="preserve"> </w:t>
      </w:r>
      <w:r>
        <w:t xml:space="preserve">(Canizales et al., 2021; Flores and Herrero, 2005; Saadoun et al., 2001; Yang et al., 2023)</w:t>
      </w:r>
      <w:r>
        <w:t xml:space="preserve">. Thus, these findings collectively suggest that ammonium availability may act as a key factor regulating geosmin production potential.</w:t>
      </w:r>
      <w:r>
        <w:t xml:space="preserve"> </w:t>
      </w:r>
      <w:r>
        <w:t xml:space="preserve">Together, these results support the view that littoral zones act as the primary production centers for geosmin in YQ Reservoir.</w:t>
      </w:r>
    </w:p>
    <w:p>
      <w:pPr>
        <w:pStyle w:val="BodyText"/>
      </w:pPr>
      <w:r>
        <w:t xml:space="preserve">The geosmin concentration patterns observed at the lacustrine intake are not governed by littoral production alone; instead, they reflect the combined effects of advective transport and concurrent attenuation processes.</w:t>
      </w:r>
      <w:r>
        <w:t xml:space="preserve"> </w:t>
      </w:r>
      <w:r>
        <w:t xml:space="preserve">The subsequent weakening of this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r>
        <w:t xml:space="preserve"> </w:t>
      </w:r>
      <w:r>
        <w:t xml:space="preserve">Beyond active production in littoral zones, the observed delay at the intake may also partly reflect the passive release of intracellular geosmin resulting from cell lysis during downstream transport. As</w:t>
      </w:r>
      <w:r>
        <w:t xml:space="preserve"> </w:t>
      </w:r>
      <w:r>
        <w:rPr>
          <w:i/>
          <w:iCs/>
        </w:rPr>
        <w:t xml:space="preserve">P. agardhii</w:t>
      </w:r>
      <w:r>
        <w:t xml:space="preserve"> </w:t>
      </w:r>
      <w:r>
        <w:t xml:space="preserve">cells advect toward the deeper lacustrine regions—where conditions are less favorable for growth—some cells may undergo lysis, releasing intracellular geosmin into the water column</w:t>
      </w:r>
      <w:r>
        <w:t xml:space="preserve"> </w:t>
      </w:r>
      <w:r>
        <w:t xml:space="preserve">(Dubourg et al., 2015; Jia et al., 2019)</w:t>
      </w:r>
      <w:r>
        <w:t xml:space="preserve">.</w:t>
      </w:r>
      <w:r>
        <w:t xml:space="preserve"> </w:t>
      </w:r>
      <w:r>
        <w:t xml:space="preserve">At the same time, the geosmin concentration observed at the intake is shaped by multiple physical and biogeochemical attenuation processes, including dilution through mixing with geosmin-poor water, microbial degradation</w:t>
      </w:r>
      <w:r>
        <w:t xml:space="preserve"> </w:t>
      </w:r>
      <w:r>
        <w:t xml:space="preserve">(Clercin et al., 2021; Hammond et al., 2021; Hoefel et al., 2009)</w:t>
      </w:r>
      <w:r>
        <w:t xml:space="preserve">, volatilization across the air-water interface</w:t>
      </w:r>
      <w:r>
        <w:t xml:space="preserve"> </w:t>
      </w:r>
      <w:r>
        <w:t xml:space="preserve">(Soyluoglu et al., 2022)</w:t>
      </w:r>
      <w:r>
        <w:t xml:space="preserve">, and photochemical transformation (e.g., UV degradation)</w:t>
      </w:r>
      <w:r>
        <w:t xml:space="preserve"> </w:t>
      </w:r>
      <w:r>
        <w:t xml:space="preserve">(Kim et al., 2016; Mustapha et al., 2021)</w:t>
      </w:r>
      <w:r>
        <w:t xml:space="preserve">. Consequently, the delayed geosmin peaks at the intake reflect the combined effects of continued passive release from transported biomass and attenuation processes along the spatial gradient.</w:t>
      </w:r>
      <w:r>
        <w:t xml:space="preserve"> </w:t>
      </w:r>
      <w:r>
        <w:t xml:space="preserve">It is worth noting that, although different sampling strategies were used at YQ01 and the littoral sites, their influence on littoral</w:t>
      </w:r>
      <w:r>
        <w:t xml:space="preserve"> </w:t>
      </w:r>
      <w:r>
        <w:rPr>
          <w:i/>
          <w:iCs/>
        </w:rPr>
        <w:t xml:space="preserve">P. agardhii</w:t>
      </w:r>
      <w:r>
        <w:t xml:space="preserve"> </w:t>
      </w:r>
      <w:r>
        <w:t xml:space="preserve">biomass estimation was likely very limited because of the shallow depth and frequent mixing in littoral zones.</w:t>
      </w:r>
    </w:p>
    <w:bookmarkEnd w:id="61"/>
    <w:bookmarkStart w:id="66" w:name="X9f1a4b84dab921227fe119c33bb084269d04e84"/>
    <w:p>
      <w:pPr>
        <w:pStyle w:val="Heading2"/>
      </w:pPr>
      <w:r>
        <w:t xml:space="preserve">Implications for monitoring and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t xml:space="preserve"> </w:t>
      </w:r>
      <w:r>
        <w:t xml:space="preserve">(Mohanty et al., 2024; Zamyadi et al., 2015)</w:t>
      </w:r>
      <w:r>
        <w:t xml:space="preserve">. The identified 4–6 week lag between littoral proliferation and lacustrine contamination establishes a quantifiable window for risk mitigation. By deploying littoral sentinel sites, utilities can move beyond reactive crisis management—such as emergency high-dose activated carbon application—toward preventive catchment-based strategies.</w:t>
      </w:r>
    </w:p>
    <w:tbl>
      <w:tblPr>
        <w:tblStyle w:val="Table"/>
        <w:tblW w:type="pct" w:w="5000"/>
        <w:tblLayout w:type="fixed"/>
        <w:tblLook w:firstRow="0" w:lastRow="0" w:firstColumn="0" w:lastColumn="0" w:noHBand="0" w:noVBand="0" w:val="0000"/>
      </w:tblPr>
      <w:tblGrid>
        <w:gridCol w:w="7920"/>
      </w:tblGrid>
      <w:tr>
        <w:tc>
          <w:tcPr/>
          <w:bookmarkStart w:id="65" w:name="fig-sketch"/>
          <w:p>
            <w:pPr>
              <w:pStyle w:val="Compact"/>
              <w:jc w:val="center"/>
            </w:pPr>
            <w:r>
              <w:drawing>
                <wp:inline>
                  <wp:extent cx="4602480" cy="1890488"/>
                  <wp:effectExtent b="0" l="0" r="0" t="0"/>
                  <wp:docPr descr="" title="" id="63" name="Picture"/>
                  <a:graphic>
                    <a:graphicData uri="http://schemas.openxmlformats.org/drawingml/2006/picture">
                      <pic:pic>
                        <pic:nvPicPr>
                          <pic:cNvPr descr="../figures/sketch_revised.png" id="64" name="Picture"/>
                          <pic:cNvPicPr>
                            <a:picLocks noChangeArrowheads="1" noChangeAspect="1"/>
                          </pic:cNvPicPr>
                        </pic:nvPicPr>
                        <pic:blipFill>
                          <a:blip r:embed="rId62"/>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5"/>
        </w:tc>
      </w:tr>
    </w:tbl>
    <w:p>
      <w:pPr>
        <w:pStyle w:val="BodyText"/>
      </w:pPr>
      <w:r>
        <w:t xml:space="preserve">For example, if the biomass of</w:t>
      </w:r>
      <w:r>
        <w:t xml:space="preserve"> </w:t>
      </w:r>
      <w:r>
        <w:rPr>
          <w:i/>
          <w:iCs/>
        </w:rPr>
        <w:t xml:space="preserve">Planktothrix agardhii</w:t>
      </w:r>
      <w:r>
        <w:t xml:space="preserve"> </w:t>
      </w:r>
      <w:r>
        <w:t xml:space="preserve">at littoral sentinel stations exceeds the threshold, reservoir operations, including selective withdrawal or hydrodynamic controls, can be adjusted to disrupt the transport of geosmin-rich water masses before they reach critical intake depths</w:t>
      </w:r>
      <w:r>
        <w:t xml:space="preserve"> </w:t>
      </w:r>
      <w:r>
        <w:t xml:space="preserve">(Fang et al., 2024; Lu et al., 2023; Su et al., 2017)</w:t>
      </w:r>
      <w:r>
        <w:t xml:space="preserve">. Focusing surveillance on littoral production zones provides a 4–6 week lead time—supported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t xml:space="preserve"> </w:t>
      </w:r>
      <w:r>
        <w:t xml:space="preserve">(Recknagel et al., 2017)</w:t>
      </w:r>
      <w:r>
        <w:t xml:space="preserve">.</w:t>
      </w:r>
      <w:r>
        <w:t xml:space="preserve"> </w:t>
      </w:r>
      <w:r>
        <w:t xml:space="preserve">This monitoring framework was developed from observational data and spatiotemporal analyses in YQ Reservoir. It may also be applicable to other reservoirs in which odor production is dominated by littoral zones, although the specific spatiotemporal patterns, including the 4–6 week lag observed in YQ Reservoir, may vary among systems.</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t xml:space="preserve"> </w:t>
      </w:r>
      <w:r>
        <w:t xml:space="preserve">(Choo et al., 2025; Izaguirre and Taylor, 2004; Su et al., 2013)</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6"/>
    <w:bookmarkEnd w:id="67"/>
    <w:bookmarkStart w:id="68" w:name="conclusions"/>
    <w:p>
      <w:pPr>
        <w:pStyle w:val="Heading1"/>
      </w:pPr>
      <w:r>
        <w:t xml:space="preserve">Conclusions</w:t>
      </w:r>
    </w:p>
    <w:p>
      <w:pPr>
        <w:pStyle w:val="BodyText"/>
      </w:pPr>
      <w:r>
        <w:t xml:space="preserve">This study outlines a coherent spatiotemporal mechanism for geosmin episodes in YQ Reservoir. Littoral zones function as critical production hotspots, where</w:t>
      </w:r>
      <w:r>
        <w:t xml:space="preserve"> </w:t>
      </w:r>
      <w:r>
        <w:rPr>
          <w:i/>
          <w:iCs/>
        </w:rPr>
        <w:t xml:space="preserve">Planktothrix agardhii</w:t>
      </w:r>
      <w:r>
        <w:t xml:space="preserve">—identified as the dominant producer—proliferates in response to local nutrient conditions, particularly ammonium. The subsequent advective transport of biomass and metabolites creates a systematic spatiotemporal decoupling, manifested as a consistent 4–6 week lag between littoral proliferation and geosmin peaks at the dam intake. This mechanistic understanding enables a paradigm shift from reactive to proactive management. The established quantitative relationship, whereby littoral</w:t>
      </w:r>
      <w:r>
        <w:t xml:space="preserve"> </w:t>
      </w:r>
      <w:r>
        <w:rPr>
          <w:i/>
          <w:iCs/>
        </w:rPr>
        <w:t xml:space="preserve">P. agardhii</w:t>
      </w:r>
      <w:r>
        <w:t xml:space="preserve"> </w:t>
      </w:r>
      <w:r>
        <w:t xml:space="preserve">biomass serves as a leading indicator, provides an operational early-warning window. By shifting the monitoring focus upstream to littoral sentinel sites, water utilities can implement timely interventions, thereby enhancing the security and reliability of drinking water supplies against this persistent olfactory threat.</w:t>
      </w:r>
    </w:p>
    <w:p>
      <w:r>
        <w:br w:type="page"/>
      </w:r>
    </w:p>
    <w:bookmarkEnd w:id="68"/>
    <w:bookmarkStart w:id="69" w:name="acknowledgements"/>
    <w:p>
      <w:pPr>
        <w:pStyle w:val="Heading1"/>
      </w:pPr>
      <w:r>
        <w:t xml:space="preserve">Acknowledgements</w:t>
      </w:r>
    </w:p>
    <w:p>
      <w:pPr>
        <w:pStyle w:val="BodyText"/>
      </w:pPr>
      <w:r>
        <w:t xml:space="preserve">This work was financially supported by the National Natural Science Foundation of China (W2412156, 52030002), and Science and Technology Plan Project of Tianjin Water Bureau (JSGJ202031).</w:t>
      </w:r>
    </w:p>
    <w:bookmarkEnd w:id="69"/>
    <w:bookmarkStart w:id="254" w:name="references"/>
    <w:p>
      <w:pPr>
        <w:pStyle w:val="Heading1"/>
      </w:pPr>
      <w:r>
        <w:t xml:space="preserve">References</w:t>
      </w:r>
    </w:p>
    <w:bookmarkStart w:id="253" w:name="refs"/>
    <w:bookmarkStart w:id="71"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w:t>
      </w:r>
      <w:r>
        <w:t xml:space="preserve"> </w:t>
      </w:r>
      <w:hyperlink r:id="rId70">
        <w:r>
          <w:rPr>
            <w:rStyle w:val="Hyperlink"/>
          </w:rPr>
          <w:t xml:space="preserve">https://doi.org/10.1016/j.jhazmat.2025.140118</w:t>
        </w:r>
      </w:hyperlink>
    </w:p>
    <w:bookmarkEnd w:id="71"/>
    <w:bookmarkStart w:id="73" w:name="ref-akbarzadeh2025mass"/>
    <w:p>
      <w:pPr>
        <w:pStyle w:val="Bibliography"/>
      </w:pPr>
      <w:r>
        <w:t xml:space="preserve">Akbarzadeh, Z., Bocaniov, S.A., Powley, H., Lamb, K.G., Cappellen, P.V., 2025. Mass balance modeling highlights the role of the littoral zone in modulating the cycling of phosphorus in a large, multi-basin lake (lake erie). Journal of Great Lakes Research 51, 102695.</w:t>
      </w:r>
      <w:r>
        <w:t xml:space="preserve"> </w:t>
      </w:r>
      <w:hyperlink r:id="rId72">
        <w:r>
          <w:rPr>
            <w:rStyle w:val="Hyperlink"/>
          </w:rPr>
          <w:t xml:space="preserve">https://doi.org/10.1016/j.jglr.2025.102695</w:t>
        </w:r>
      </w:hyperlink>
    </w:p>
    <w:bookmarkEnd w:id="73"/>
    <w:bookmarkStart w:id="75" w:name="ref-arora2022sustainable"/>
    <w:p>
      <w:pPr>
        <w:pStyle w:val="Bibliography"/>
      </w:pPr>
      <w:r>
        <w:t xml:space="preserve">Arora, N.K., Mishra, I., 2022. Sustainable development goal 6: Global water security. Environmental Sustainability 5, 271–275.</w:t>
      </w:r>
      <w:r>
        <w:t xml:space="preserve"> </w:t>
      </w:r>
      <w:hyperlink r:id="rId74">
        <w:r>
          <w:rPr>
            <w:rStyle w:val="Hyperlink"/>
          </w:rPr>
          <w:t xml:space="preserve">https://doi.org/10.1007/s42398-022-00246-5</w:t>
        </w:r>
      </w:hyperlink>
    </w:p>
    <w:bookmarkEnd w:id="75"/>
    <w:bookmarkStart w:id="77"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6">
        <w:r>
          <w:rPr>
            <w:rStyle w:val="Hyperlink"/>
          </w:rPr>
          <w:t xml:space="preserve">https://doi.org/10.1007/s00018-003-2079-y</w:t>
        </w:r>
      </w:hyperlink>
    </w:p>
    <w:bookmarkEnd w:id="77"/>
    <w:bookmarkStart w:id="78" w:name="ref-american2010algae"/>
    <w:p>
      <w:pPr>
        <w:pStyle w:val="Bibliography"/>
      </w:pPr>
      <w:r>
        <w:t xml:space="preserve">AWWA, A.W.W.A., 2010. Algae: Source to treatment. American Water Works Association.</w:t>
      </w:r>
    </w:p>
    <w:bookmarkEnd w:id="78"/>
    <w:bookmarkStart w:id="80" w:name="ref-bolyen2019Reproducible"/>
    <w:p>
      <w:pPr>
        <w:pStyle w:val="Bibliography"/>
      </w:pPr>
      <w:r>
        <w:t xml:space="preserve">Bolyen, E., Rideout, J.R., Dillon, M.R., Bokulich, N.A., Abnet, C.C., Al-Ghalith, G.A., Alexander, H., Alm, E.J., Arumugam, M., Asnicar, F., Bai, Y., Bisanz, J.E., Bittinger, K., Brejnrod, A., Brislawn, C.J., Brown, C.T., Callahan, B.J., Caraballo-Rodríguez, A.M., Chase, J., Cope, E.K., Da Silva, R., Diener, C., Dorrestein, P.C., Douglas, G.M., Durall, D.M., Duvallet, C., Edwardson, C.F., Ernst, M., Estaki, M., Fouquier, J., Gauglitz, J.M., Gibbons, S.M., Gibson, D.L., Gonzalez, A., Gorlick, K., Guo, J., Hillmann, B., Holmes, S., Holste, H., Huttenhower, C., Huttley, G.A., Janssen, S., Jarmusch, A.K., Jiang, L., Kaehler, B.D., Kang, K.B., Keefe, C.R., Keim, P., Kelley, S.T., Knights, D., Koester, I., Kosciolek, T., Kreps, J., Langille, M.G.I., Lee, J., Ley, R., Liu, Y.-X., Loftfield, E., Lozupone, C., Maher, M., Marotz, C., Martin, B.D., McDonald, D., McIver, L.J., Melnik, A.V., Metcalf, J.L., Morgan, S.C., Morton, J.T., Naimey, A.T., Navas-Molina, J.A., Nothias, L.F., Orchanian, S.B., Pearson, T., Peoples, S.L., Petras, D., Preuss, M.L., Pruesse, E., Rasmussen, L.B., Rivers, A., Robeson, M.S., Rosenthal, P., Segata, N., Shaffer, M., Shiffer, A., Sinha, R., Song, S.J., Spear, J.R., Swafford, A.D., Thompson, L.R., Torres, P.J., Trinh, P., Tripathi, A., Turnbaugh, P.J., Ul-Hasan, S., Hooft, J.J.J. van der, Vargas, F., Vázquez-Baeza, Y., Vogtmann, E., Hippel, M. von, Walters, W., Wan, Y., Wang, M., Warren, J., Weber, K.C., Williamson, C.H.D., Willis, A.D., Xu, Z.Z., Zaneveld, J.R., Zhang, Y., Zhu, Q., Knight, R., Caporaso, J.G., 2019. Reproducible, interactive, scalable and extensible microbiome data science using QIIME 2. Nature Biotechnology 37, 1091–1091.</w:t>
      </w:r>
      <w:r>
        <w:t xml:space="preserve"> </w:t>
      </w:r>
      <w:hyperlink r:id="rId79">
        <w:r>
          <w:rPr>
            <w:rStyle w:val="Hyperlink"/>
          </w:rPr>
          <w:t xml:space="preserve">https://doi.org/10.1038/s41587-019-0252-6</w:t>
        </w:r>
      </w:hyperlink>
    </w:p>
    <w:bookmarkEnd w:id="80"/>
    <w:bookmarkStart w:id="82" w:name="ref-bracchini2009modelling"/>
    <w:p>
      <w:pPr>
        <w:pStyle w:val="Bibliography"/>
      </w:pPr>
      <w:r>
        <w:t xml:space="preserve">BRACCHINI, L., DATTILO, A.M., HULL, V., LOISELLE, S.A., TOGNAZZI, A., ROSSI, C., 2009. Modelling upwelling irradiance using secchi disk depth in lake ecosystems. Journal of Limnology 68, 83.</w:t>
      </w:r>
      <w:r>
        <w:t xml:space="preserve"> </w:t>
      </w:r>
      <w:hyperlink r:id="rId81">
        <w:r>
          <w:rPr>
            <w:rStyle w:val="Hyperlink"/>
          </w:rPr>
          <w:t xml:space="preserve">https://doi.org/10.4081/jlimnol.2009.83</w:t>
        </w:r>
      </w:hyperlink>
    </w:p>
    <w:bookmarkEnd w:id="82"/>
    <w:bookmarkStart w:id="84" w:name="ref-burlingame2017humans"/>
    <w:p>
      <w:pPr>
        <w:pStyle w:val="Bibliography"/>
      </w:pPr>
      <w:r>
        <w:t xml:space="preserve">Burlingame, G.A., Doty, R.L., Dietrich, A.M., 2017. Humans as sensors to evaluate drinking water taste and odor: A review. Journal AWWA 109, 13–24.</w:t>
      </w:r>
      <w:r>
        <w:t xml:space="preserve"> </w:t>
      </w:r>
      <w:hyperlink r:id="rId83">
        <w:r>
          <w:rPr>
            <w:rStyle w:val="Hyperlink"/>
          </w:rPr>
          <w:t xml:space="preserve">https://doi.org/10.5942/jawwa.2017.109.0118</w:t>
        </w:r>
      </w:hyperlink>
    </w:p>
    <w:bookmarkEnd w:id="84"/>
    <w:bookmarkStart w:id="86" w:name="ref-cai2017geosmin"/>
    <w:p>
      <w:pPr>
        <w:pStyle w:val="Bibliography"/>
      </w:pPr>
      <w:r>
        <w:t xml:space="preserve">Cai, F., Yu, G., Zhang, K., Chen, Y., Li, Q., Yang, Y., Xie, J., Wang, Y., Li, R., 2017.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 Harmful Algae 69, 28–37.</w:t>
      </w:r>
      <w:r>
        <w:t xml:space="preserve"> </w:t>
      </w:r>
      <w:hyperlink r:id="rId85">
        <w:r>
          <w:rPr>
            <w:rStyle w:val="Hyperlink"/>
          </w:rPr>
          <w:t xml:space="preserve">https://doi.org/10.1016/j.hal.2017.09.006</w:t>
        </w:r>
      </w:hyperlink>
    </w:p>
    <w:bookmarkEnd w:id="86"/>
    <w:bookmarkStart w:id="88" w:name="ref-canizales2021cyanobacterial"/>
    <w:p>
      <w:pPr>
        <w:pStyle w:val="Bibliography"/>
      </w:pPr>
      <w:r>
        <w:t xml:space="preserve">Canizales, S., Sliwszcinka, M., Russo, A., Bentvelzen, S., Temmink, H., Verschoor, A.M., Wijffels, R.H., Janssen, M., 2021. Cyanobacterial growth and cyanophycin production with urea and ammonium as nitrogen source. Journal of Applied Phycology 33, 3565–3577.</w:t>
      </w:r>
      <w:r>
        <w:t xml:space="preserve"> </w:t>
      </w:r>
      <w:hyperlink r:id="rId87">
        <w:r>
          <w:rPr>
            <w:rStyle w:val="Hyperlink"/>
          </w:rPr>
          <w:t xml:space="preserve">https://doi.org/10.1007/s10811-021-02575-0</w:t>
        </w:r>
      </w:hyperlink>
    </w:p>
    <w:bookmarkEnd w:id="88"/>
    <w:bookmarkStart w:id="90" w:name="ref-cao2025green"/>
    <w:p>
      <w:pPr>
        <w:pStyle w:val="Bibliography"/>
      </w:pPr>
      <w:r>
        <w:t xml:space="preserve">Cao, T., Su, M., Ai, Y., Yang, Z., Zhao, J., Yang, M., 2025. Green light suppresses cell growth but enhances photosynthetic rate and MIB biosynthesis in PE-containing pseudanabaena. Water Research 123336.</w:t>
      </w:r>
      <w:r>
        <w:t xml:space="preserve"> </w:t>
      </w:r>
      <w:hyperlink r:id="rId89">
        <w:r>
          <w:rPr>
            <w:rStyle w:val="Hyperlink"/>
          </w:rPr>
          <w:t xml:space="preserve">https://doi.org/10.1016/j.watres.2025.123336</w:t>
        </w:r>
      </w:hyperlink>
    </w:p>
    <w:bookmarkEnd w:id="90"/>
    <w:bookmarkStart w:id="92"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91">
        <w:r>
          <w:rPr>
            <w:rStyle w:val="Hyperlink"/>
          </w:rPr>
          <w:t xml:space="preserve">https://doi.org/10.1289/ehp.01109663</w:t>
        </w:r>
      </w:hyperlink>
    </w:p>
    <w:bookmarkEnd w:id="92"/>
    <w:bookmarkStart w:id="94"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93">
        <w:r>
          <w:rPr>
            <w:rStyle w:val="Hyperlink"/>
          </w:rPr>
          <w:t xml:space="preserve">https://doi.org/10.1016/j.ecss.2016.01.043</w:t>
        </w:r>
      </w:hyperlink>
    </w:p>
    <w:bookmarkEnd w:id="94"/>
    <w:bookmarkStart w:id="96"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95">
        <w:r>
          <w:rPr>
            <w:rStyle w:val="Hyperlink"/>
          </w:rPr>
          <w:t xml:space="preserve">https://doi.org/10.2166/wpt.2022.167</w:t>
        </w:r>
      </w:hyperlink>
    </w:p>
    <w:bookmarkEnd w:id="96"/>
    <w:bookmarkStart w:id="98" w:name="ref-chislock2021contrasting"/>
    <w:p>
      <w:pPr>
        <w:pStyle w:val="Bibliography"/>
      </w:pPr>
      <w:r>
        <w:t xml:space="preserve">Chislock, M.F., Olsen, B.K., Choi, J., Abebe, A., Bleier, T.L., Wilson, A.E., 2021. Contrasting patterns of 2-methylisoborneol (</w:t>
      </w:r>
      <w:r>
        <w:t xml:space="preserve">MIB</w:t>
      </w:r>
      <w:r>
        <w:t xml:space="preserve">) vs. Geosmin across depth in a drinking water reservoir are mediated by cyanobacteria and actinobacteria. Environmental Science and Pollution Research.</w:t>
      </w:r>
      <w:r>
        <w:t xml:space="preserve"> </w:t>
      </w:r>
      <w:hyperlink r:id="rId97">
        <w:r>
          <w:rPr>
            <w:rStyle w:val="Hyperlink"/>
          </w:rPr>
          <w:t xml:space="preserve">https://doi.org/10.1007/s11356-021-12973-z</w:t>
        </w:r>
      </w:hyperlink>
    </w:p>
    <w:bookmarkEnd w:id="98"/>
    <w:bookmarkStart w:id="100" w:name="ref-choo2025investigating"/>
    <w:p>
      <w:pPr>
        <w:pStyle w:val="Bibliography"/>
      </w:pPr>
      <w:r>
        <w:t xml:space="preserve">Choo, F., Cook, D., Hobson, P., 2025. Investigating the physicochemical parameters that drive geosmin production in benthic cyanobacterial systems. Water Research 287, 124388.</w:t>
      </w:r>
      <w:r>
        <w:t xml:space="preserve"> </w:t>
      </w:r>
      <w:hyperlink r:id="rId99">
        <w:r>
          <w:rPr>
            <w:rStyle w:val="Hyperlink"/>
          </w:rPr>
          <w:t xml:space="preserve">https://doi.org/10.1016/j.watres.2025.124388</w:t>
        </w:r>
      </w:hyperlink>
    </w:p>
    <w:bookmarkEnd w:id="100"/>
    <w:bookmarkStart w:id="102" w:name="ref-churro2020a"/>
    <w:p>
      <w:pPr>
        <w:pStyle w:val="Bibliography"/>
      </w:pPr>
      <w:r>
        <w:t xml:space="preserve">Churro, C., Semedo-Aguiar, A.P., Silva, A.D., Pereira-Leal, J.B., Leite, R.B., 2020. A novel cyanobacterial geosmin producer, revising</w:t>
      </w:r>
      <w:r>
        <w:t xml:space="preserve"> </w:t>
      </w:r>
      <w:r>
        <w:t xml:space="preserve">GeoA</w:t>
      </w:r>
      <w:r>
        <w:t xml:space="preserve"> </w:t>
      </w:r>
      <w:r>
        <w:t xml:space="preserve">distribution and dispersion patterns in bacteria. Scientific Reports 10.</w:t>
      </w:r>
      <w:r>
        <w:t xml:space="preserve"> </w:t>
      </w:r>
      <w:hyperlink r:id="rId101">
        <w:r>
          <w:rPr>
            <w:rStyle w:val="Hyperlink"/>
          </w:rPr>
          <w:t xml:space="preserve">https://doi.org/10.1038/s41598-020-64774-y</w:t>
        </w:r>
      </w:hyperlink>
    </w:p>
    <w:bookmarkEnd w:id="102"/>
    <w:bookmarkStart w:id="104" w:name="ref-clercin2021occurrences"/>
    <w:p>
      <w:pPr>
        <w:pStyle w:val="Bibliography"/>
      </w:pPr>
      <w:r>
        <w:t xml:space="preserve">Clercin, N.A., Druschel, G.K., Gray, M., 2021. Occurrences of 2-methylisoborneol and geosmin –degrading bacteria in a eutrophic reservoir and the role of cell-bound versus dissolved fractions. Journal of Environmental Management 297, 113304.</w:t>
      </w:r>
      <w:r>
        <w:t xml:space="preserve"> </w:t>
      </w:r>
      <w:hyperlink r:id="rId103">
        <w:r>
          <w:rPr>
            <w:rStyle w:val="Hyperlink"/>
          </w:rPr>
          <w:t xml:space="preserve">https://doi.org/10.1016/j.jenvman.2021.113304</w:t>
        </w:r>
      </w:hyperlink>
    </w:p>
    <w:bookmarkEnd w:id="104"/>
    <w:bookmarkStart w:id="106" w:name="ref-cook2001the"/>
    <w:p>
      <w:pPr>
        <w:pStyle w:val="Bibliography"/>
      </w:pP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05">
        <w:r>
          <w:rPr>
            <w:rStyle w:val="Hyperlink"/>
          </w:rPr>
          <w:t xml:space="preserve">https://doi.org/10.1016/S0043-1354(00)00363-8</w:t>
        </w:r>
      </w:hyperlink>
    </w:p>
    <w:bookmarkEnd w:id="106"/>
    <w:bookmarkStart w:id="108"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107">
        <w:r>
          <w:rPr>
            <w:rStyle w:val="Hyperlink"/>
          </w:rPr>
          <w:t xml:space="preserve">https://doi.org/10.1016/j.watres.2020.116478</w:t>
        </w:r>
      </w:hyperlink>
    </w:p>
    <w:bookmarkEnd w:id="108"/>
    <w:bookmarkStart w:id="110" w:name="ref-dordoni2023a"/>
    <w:p>
      <w:pPr>
        <w:pStyle w:val="Bibliography"/>
      </w:pPr>
      <w:r>
        <w:t xml:space="preserve">Dordoni, M., Zappalà, P., Barth, J.A.C., 2023. A preliminary global hydrochemical comparison of lakes and reservoirs. Frontiers in Water 5.</w:t>
      </w:r>
      <w:r>
        <w:t xml:space="preserve"> </w:t>
      </w:r>
      <w:hyperlink r:id="rId109">
        <w:r>
          <w:rPr>
            <w:rStyle w:val="Hyperlink"/>
          </w:rPr>
          <w:t xml:space="preserve">https://doi.org/10.3389/frwa.2023.1084050</w:t>
        </w:r>
      </w:hyperlink>
    </w:p>
    <w:bookmarkEnd w:id="110"/>
    <w:bookmarkStart w:id="112" w:name="ref-dubourg2015light"/>
    <w:p>
      <w:pPr>
        <w:pStyle w:val="Bibliography"/>
      </w:pPr>
      <w:r>
        <w:t xml:space="preserve">Dubourg, P., North, R.L., Hunter, K., Vandergucht, D.M., Abirhire, O., Silsbe, G.M., Guildford, S.J., Hudson, J.J., 2015. Light and nutrient co-limitation of phytoplankton communities in a large reservoir: Lake diefenbaker, saskatchewan, canada. Journal of Great Lakes Research 41, 129–143.</w:t>
      </w:r>
      <w:r>
        <w:t xml:space="preserve"> </w:t>
      </w:r>
      <w:hyperlink r:id="rId111">
        <w:r>
          <w:rPr>
            <w:rStyle w:val="Hyperlink"/>
          </w:rPr>
          <w:t xml:space="preserve">https://doi.org/10.1016/j.jglr.2015.10.001</w:t>
        </w:r>
      </w:hyperlink>
    </w:p>
    <w:bookmarkEnd w:id="112"/>
    <w:bookmarkStart w:id="114" w:name="ref-edgar2013uparse"/>
    <w:p>
      <w:pPr>
        <w:pStyle w:val="Bibliography"/>
      </w:pPr>
      <w:r>
        <w:t xml:space="preserve">Edgar, R.C., 2013. UPARSE: Highly accurate OTU sequences from microbial amplicon reads. Nature Methods 10, 996–998.</w:t>
      </w:r>
      <w:r>
        <w:t xml:space="preserve"> </w:t>
      </w:r>
      <w:hyperlink r:id="rId113">
        <w:r>
          <w:rPr>
            <w:rStyle w:val="Hyperlink"/>
          </w:rPr>
          <w:t xml:space="preserve">https://doi.org/10.1038/nmeth.2604</w:t>
        </w:r>
      </w:hyperlink>
    </w:p>
    <w:bookmarkEnd w:id="114"/>
    <w:bookmarkStart w:id="116" w:name="ref-fang2024mitigating"/>
    <w:p>
      <w:pPr>
        <w:pStyle w:val="Bibliography"/>
      </w:pPr>
      <w:r>
        <w:t xml:space="preserve">Fang, J., Li, Y., Su, M., Cao, T., Sun, X., Ai, Y., Qin, J., Yu, J., Yang, M., 2024. Mitigating harmful cyanobacterial blooms in drinking water reservoirs through in-situ sediment resuspension. Water Research 267, 122509.</w:t>
      </w:r>
      <w:r>
        <w:t xml:space="preserve"> </w:t>
      </w:r>
      <w:hyperlink r:id="rId115">
        <w:r>
          <w:rPr>
            <w:rStyle w:val="Hyperlink"/>
          </w:rPr>
          <w:t xml:space="preserve">https://doi.org/10.1016/j.watres.2024.122509</w:t>
        </w:r>
      </w:hyperlink>
    </w:p>
    <w:bookmarkEnd w:id="116"/>
    <w:bookmarkStart w:id="118" w:name="ref-feng2021concerns"/>
    <w:p>
      <w:pPr>
        <w:pStyle w:val="Bibliography"/>
      </w:pPr>
      <w:r>
        <w:t xml:space="preserve">Feng, L., Dai, Y., Hou, X., Xu, Y., Liu, J., Zheng, C., 2021. Concerns about phytoplankton bloom trends in global lakes. Nature 590, E35–E47.</w:t>
      </w:r>
      <w:r>
        <w:t xml:space="preserve"> </w:t>
      </w:r>
      <w:hyperlink r:id="rId117">
        <w:r>
          <w:rPr>
            <w:rStyle w:val="Hyperlink"/>
          </w:rPr>
          <w:t xml:space="preserve">https://doi.org/10.1038/s41586-021-03254-3</w:t>
        </w:r>
      </w:hyperlink>
    </w:p>
    <w:bookmarkEnd w:id="118"/>
    <w:bookmarkStart w:id="120" w:name="ref-flores2005nitrogen"/>
    <w:p>
      <w:pPr>
        <w:pStyle w:val="Bibliography"/>
      </w:pPr>
      <w:r>
        <w:t xml:space="preserve">Flores, E., Herrero, A., 2005. Nitrogen assimilation and nitrogen control in cyanobacteria. Biochemical Society Transactions 33, 164–167.</w:t>
      </w:r>
      <w:r>
        <w:t xml:space="preserve"> </w:t>
      </w:r>
      <w:hyperlink r:id="rId119">
        <w:r>
          <w:rPr>
            <w:rStyle w:val="Hyperlink"/>
          </w:rPr>
          <w:t xml:space="preserve">https://doi.org/10.1042/bst0330164</w:t>
        </w:r>
      </w:hyperlink>
    </w:p>
    <w:bookmarkEnd w:id="120"/>
    <w:bookmarkStart w:id="122" w:name="ref-gerber1979volatile"/>
    <w:p>
      <w:pPr>
        <w:pStyle w:val="Bibliography"/>
      </w:pPr>
      <w:r>
        <w:t xml:space="preserve">Gerber, N.N., 1979.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 CRC Critical Reviews in Microbiology 7, 191–214.</w:t>
      </w:r>
      <w:r>
        <w:t xml:space="preserve"> </w:t>
      </w:r>
      <w:hyperlink r:id="rId121">
        <w:r>
          <w:rPr>
            <w:rStyle w:val="Hyperlink"/>
          </w:rPr>
          <w:t xml:space="preserve">https://doi.org/10.3109/10408417909082014</w:t>
        </w:r>
      </w:hyperlink>
    </w:p>
    <w:bookmarkEnd w:id="122"/>
    <w:bookmarkStart w:id="124" w:name="ref-gerber1965geosmin"/>
    <w:p>
      <w:pPr>
        <w:pStyle w:val="Bibliography"/>
      </w:pPr>
      <w:r>
        <w:t xml:space="preserve">Gerber, N.N., Lechevalier, H.A., 1965.</w:t>
      </w:r>
      <w:r>
        <w:t xml:space="preserve"> </w:t>
      </w:r>
      <w:hyperlink r:id="rId123">
        <w:r>
          <w:rPr>
            <w:rStyle w:val="Hyperlink"/>
          </w:rPr>
          <w:t xml:space="preserve">Geosmin, an earthy-smelling substance isolated from actinomycetes</w:t>
        </w:r>
      </w:hyperlink>
      <w:r>
        <w:t xml:space="preserve">. Applied Microbiology 13, 935–938.</w:t>
      </w:r>
    </w:p>
    <w:bookmarkEnd w:id="124"/>
    <w:bookmarkStart w:id="126"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25">
        <w:r>
          <w:rPr>
            <w:rStyle w:val="Hyperlink"/>
          </w:rPr>
          <w:t xml:space="preserve">https://doi.org/10.1021/es102992p</w:t>
        </w:r>
      </w:hyperlink>
    </w:p>
    <w:bookmarkEnd w:id="126"/>
    <w:bookmarkStart w:id="128"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127">
        <w:r>
          <w:rPr>
            <w:rStyle w:val="Hyperlink"/>
          </w:rPr>
          <w:t xml:space="preserve">https://doi.org/10.1021/es801465w</w:t>
        </w:r>
      </w:hyperlink>
    </w:p>
    <w:bookmarkEnd w:id="128"/>
    <w:bookmarkStart w:id="130" w:name="ref-guo2024considerable"/>
    <w:p>
      <w:pPr>
        <w:pStyle w:val="Bibliography"/>
      </w:pPr>
      <w:r>
        <w:t xml:space="preserve">Guo, H., Li, R., Xue, S., Zhangsun, X., Huang, D., Li, Y., Li, N., Su, Y., Zhang, H., Huang, T., 2024. Considerable declines in odor in a drinking water reservoir: Variations of odorous community, precursor enzymes abundance, distribution, and environmental dominant factors. Water Research 122767.</w:t>
      </w:r>
      <w:r>
        <w:t xml:space="preserve"> </w:t>
      </w:r>
      <w:hyperlink r:id="rId129">
        <w:r>
          <w:rPr>
            <w:rStyle w:val="Hyperlink"/>
          </w:rPr>
          <w:t xml:space="preserve">https://doi.org/10.1016/j.watres.2024.122767</w:t>
        </w:r>
      </w:hyperlink>
    </w:p>
    <w:bookmarkEnd w:id="130"/>
    <w:bookmarkStart w:id="132" w:name="ref-hammond2021geosmin"/>
    <w:p>
      <w:pPr>
        <w:pStyle w:val="Bibliography"/>
      </w:pPr>
      <w:r>
        <w:t xml:space="preserve">Hammond, D., Murri, A., Mastitsky, S., Yang, Z., Foster, R., Schweitzer, L., 2021. Geosmin reduction by algaecide application to drinking water: Field scale efficacy and mechanistic insights. Heliyon 7, e07706.</w:t>
      </w:r>
      <w:r>
        <w:t xml:space="preserve"> </w:t>
      </w:r>
      <w:hyperlink r:id="rId131">
        <w:r>
          <w:rPr>
            <w:rStyle w:val="Hyperlink"/>
          </w:rPr>
          <w:t xml:space="preserve">https://doi.org/10.1016/j.heliyon.2021.e07706</w:t>
        </w:r>
      </w:hyperlink>
    </w:p>
    <w:bookmarkEnd w:id="132"/>
    <w:bookmarkStart w:id="134" w:name="ref-hawkins2005change"/>
    <w:p>
      <w:pPr>
        <w:pStyle w:val="Bibliography"/>
      </w:pPr>
      <w:r>
        <w:t xml:space="preserve">Hawkins, P.R., Holliday, J., Kathuria, A., Bowling, L., 2005. Change in cyanobacterial biovolume due to preservation by lugol’s iodine. Harmful Algae 4, 1033–1043.</w:t>
      </w:r>
      <w:r>
        <w:t xml:space="preserve"> </w:t>
      </w:r>
      <w:hyperlink r:id="rId133">
        <w:r>
          <w:rPr>
            <w:rStyle w:val="Hyperlink"/>
          </w:rPr>
          <w:t xml:space="preserve">https://doi.org/10.1016/j.hal.2005.03.001</w:t>
        </w:r>
      </w:hyperlink>
    </w:p>
    <w:bookmarkEnd w:id="134"/>
    <w:bookmarkStart w:id="136" w:name="ref-hayashi2019identification"/>
    <w:p>
      <w:pPr>
        <w:pStyle w:val="Bibliography"/>
      </w:pPr>
      <w:r>
        <w:t xml:space="preserve">Hayashi, S., Ohtani, S., Godo, T., Nojiri, Y., Saki, Y., Esumi, T., Kamiya, H., 2019. Identification of geosmin biosynthetic gene in geosmin-producing colonial cyanobacteria coelosphaerium sp. And isolation of geosmin non-producing coelosphaerium sp. From brackish lake shinji in japan. Harmful Algae 84, 19–26.</w:t>
      </w:r>
      <w:r>
        <w:t xml:space="preserve"> </w:t>
      </w:r>
      <w:hyperlink r:id="rId135">
        <w:r>
          <w:rPr>
            <w:rStyle w:val="Hyperlink"/>
          </w:rPr>
          <w:t xml:space="preserve">https://doi.org/10.1016/j.hal.2019.01.010</w:t>
        </w:r>
      </w:hyperlink>
    </w:p>
    <w:bookmarkEnd w:id="136"/>
    <w:bookmarkStart w:id="138"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137">
        <w:r>
          <w:rPr>
            <w:rStyle w:val="Hyperlink"/>
          </w:rPr>
          <w:t xml:space="preserve">https://doi.org/10.1016/j.hal.2008.08.006</w:t>
        </w:r>
      </w:hyperlink>
    </w:p>
    <w:bookmarkEnd w:id="138"/>
    <w:bookmarkStart w:id="140" w:name="ref-hoefel2009biodegradation"/>
    <w:p>
      <w:pPr>
        <w:pStyle w:val="Bibliography"/>
      </w:pPr>
      <w:r>
        <w:t xml:space="preserve">Hoefel, D., Ho, L., Monis, P.T., Newcombe, G., Saint, C.P., 2009. Biodegradation of geosmin by a novel gram-negative bacterium; isolation, phylogenetic characterisation and degradation rate determination. Water Research 43, 2927–2935.</w:t>
      </w:r>
      <w:r>
        <w:t xml:space="preserve"> </w:t>
      </w:r>
      <w:hyperlink r:id="rId139">
        <w:r>
          <w:rPr>
            <w:rStyle w:val="Hyperlink"/>
          </w:rPr>
          <w:t xml:space="preserve">https://doi.org/10.1016/j.watres.2009.04.005</w:t>
        </w:r>
      </w:hyperlink>
    </w:p>
    <w:bookmarkEnd w:id="140"/>
    <w:bookmarkStart w:id="142" w:name="ref-hooper2023the"/>
    <w:p>
      <w:pPr>
        <w:pStyle w:val="Bibliography"/>
      </w:pPr>
      <w:r>
        <w:t xml:space="preserve">Hooper, A.S., Kille, P., Watson, S.E., Christofides, S.R., Perkins, R.G., 2023.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 Water Research 119693.</w:t>
      </w:r>
      <w:r>
        <w:t xml:space="preserve"> </w:t>
      </w:r>
      <w:hyperlink r:id="rId141">
        <w:r>
          <w:rPr>
            <w:rStyle w:val="Hyperlink"/>
          </w:rPr>
          <w:t xml:space="preserve">https://doi.org/10.1016/j.watres.2023.119693</w:t>
        </w:r>
      </w:hyperlink>
    </w:p>
    <w:bookmarkEnd w:id="142"/>
    <w:bookmarkStart w:id="143" w:name="ref-hu2006freshwater"/>
    <w:p>
      <w:pPr>
        <w:pStyle w:val="Bibliography"/>
      </w:pPr>
      <w:r>
        <w:t xml:space="preserve">Hu, H.J., Wei, Y.X., 2006. The freshwater algae of china-systematics, taxonomy and ecology. Science Press, Beijing, China.</w:t>
      </w:r>
    </w:p>
    <w:bookmarkEnd w:id="143"/>
    <w:bookmarkStart w:id="145" w:name="ref-huisman2018cyanobacterial"/>
    <w:p>
      <w:pPr>
        <w:pStyle w:val="Bibliography"/>
      </w:pPr>
      <w:r>
        <w:t xml:space="preserve">Huisman, J., Codd, G.A., Paerl, H.W., Ibelings, B.W., Verspagen, J.M.H., Visser, P.M., 2018. Cyanobacterial blooms. Nature Reviews Microbiology 16, 471–483.</w:t>
      </w:r>
      <w:r>
        <w:t xml:space="preserve"> </w:t>
      </w:r>
      <w:hyperlink r:id="rId144">
        <w:r>
          <w:rPr>
            <w:rStyle w:val="Hyperlink"/>
          </w:rPr>
          <w:t xml:space="preserve">https://doi.org/10.1038/s41579-018-0040-1</w:t>
        </w:r>
      </w:hyperlink>
    </w:p>
    <w:bookmarkEnd w:id="145"/>
    <w:bookmarkStart w:id="147" w:name="ref-izaguirre1992a"/>
    <w:p>
      <w:pPr>
        <w:pStyle w:val="Bibliography"/>
      </w:pPr>
      <w:r>
        <w:t xml:space="preserve">Izaguirre, G., 1992. A copper-tolerant phormidium species from lake mathews, california, that produces 2-methylisoborneol and geosmin. Water Science and Technology 25, 217–223.</w:t>
      </w:r>
      <w:r>
        <w:t xml:space="preserve"> </w:t>
      </w:r>
      <w:hyperlink r:id="rId146">
        <w:r>
          <w:rPr>
            <w:rStyle w:val="Hyperlink"/>
          </w:rPr>
          <w:t xml:space="preserve">https://doi.org/10.2166/wst.1992.0055</w:t>
        </w:r>
      </w:hyperlink>
    </w:p>
    <w:bookmarkEnd w:id="147"/>
    <w:bookmarkStart w:id="149" w:name="ref-izaguirre2004a"/>
    <w:p>
      <w:pPr>
        <w:pStyle w:val="Bibliography"/>
      </w:pPr>
      <w:r>
        <w:t xml:space="preserve">Izaguirre, G., Taylor, W.D., 2004. A guide to geosmin- and MIB-producing cyanobacteria in the united states. Water Science and Technology 49, 19–24.</w:t>
      </w:r>
      <w:r>
        <w:t xml:space="preserve"> </w:t>
      </w:r>
      <w:hyperlink r:id="rId148">
        <w:r>
          <w:rPr>
            <w:rStyle w:val="Hyperlink"/>
          </w:rPr>
          <w:t xml:space="preserve">https://doi.org/10.2166/wst.2004.0524</w:t>
        </w:r>
      </w:hyperlink>
    </w:p>
    <w:bookmarkEnd w:id="149"/>
    <w:bookmarkStart w:id="151" w:name="ref-jensen1994actinomycetes"/>
    <w:p>
      <w:pPr>
        <w:pStyle w:val="Bibliography"/>
      </w:pPr>
      <w:r>
        <w:t xml:space="preserve">Jensen, S., Anders, C., Goatcher, L., Perley, T., Kenefick, S., Hrudey, S., 1994. Actinomycetes as a factor in odour problems affecting drinking water from the north saskatchewan river. Water Research 28, 1393–1401.</w:t>
      </w:r>
      <w:r>
        <w:t xml:space="preserve"> </w:t>
      </w:r>
      <w:hyperlink r:id="rId150">
        <w:r>
          <w:rPr>
            <w:rStyle w:val="Hyperlink"/>
          </w:rPr>
          <w:t xml:space="preserve">https://doi.org/0043-1354(94)90306-9</w:t>
        </w:r>
      </w:hyperlink>
    </w:p>
    <w:bookmarkEnd w:id="151"/>
    <w:bookmarkStart w:id="153" w:name="ref-jia2019light"/>
    <w:p>
      <w:pPr>
        <w:pStyle w:val="Bibliography"/>
      </w:pPr>
      <w:r>
        <w:t xml:space="preserve">Jia, Z., Su, M., Liu, T., Guo, Q., Wang, Q., Burch, M., Yu, J., Yang, M., 2019. Light as a possible regulator of MIB-producing planktothrix in source water reservoir, mechanism and in-situ verification. Harmful Algae 88, 101658.</w:t>
      </w:r>
      <w:r>
        <w:t xml:space="preserve"> </w:t>
      </w:r>
      <w:hyperlink r:id="rId152">
        <w:r>
          <w:rPr>
            <w:rStyle w:val="Hyperlink"/>
          </w:rPr>
          <w:t xml:space="preserve">https://doi.org/10.1016/j.hal.2019.101658</w:t>
        </w:r>
      </w:hyperlink>
    </w:p>
    <w:bookmarkEnd w:id="153"/>
    <w:bookmarkStart w:id="155" w:name="ref-john2018an"/>
    <w:p>
      <w:pPr>
        <w:pStyle w:val="Bibliography"/>
      </w:pPr>
      <w:r>
        <w:t xml:space="preserve">John, N., Koehler, A.V., Ansell, B.R.E., Baker, L., Crosbie, N.D., Jex, A.R., 2018. An improved method for PCR-based detection and routine monitoring of geosmin-producing cyanobacterial blooms. Water Research 136, 34–40.</w:t>
      </w:r>
      <w:r>
        <w:t xml:space="preserve"> </w:t>
      </w:r>
      <w:hyperlink r:id="rId154">
        <w:r>
          <w:rPr>
            <w:rStyle w:val="Hyperlink"/>
          </w:rPr>
          <w:t xml:space="preserve">https://doi.org/10.1016/j.watres.2018.02.041</w:t>
        </w:r>
      </w:hyperlink>
    </w:p>
    <w:bookmarkEnd w:id="155"/>
    <w:bookmarkStart w:id="157"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156">
        <w:r>
          <w:rPr>
            <w:rStyle w:val="Hyperlink"/>
          </w:rPr>
          <w:t xml:space="preserve">https://doi.org/10.1128/aem.02250-06</w:t>
        </w:r>
      </w:hyperlink>
    </w:p>
    <w:bookmarkEnd w:id="157"/>
    <w:bookmarkStart w:id="159" w:name="ref-kim2016degradation"/>
    <w:p>
      <w:pPr>
        <w:pStyle w:val="Bibliography"/>
      </w:pPr>
      <w:r>
        <w:t xml:space="preserve">Kim, T.-K., Moon, B.-R., Kim, T., Kim, M.-K., Zoh, K.-D., 2016. Degradation mechanisms of geosmin and 2-MIB during UV photolysis and UV/chlorine reactions. Chemosphere 162, 157–164.</w:t>
      </w:r>
      <w:r>
        <w:t xml:space="preserve"> </w:t>
      </w:r>
      <w:hyperlink r:id="rId158">
        <w:r>
          <w:rPr>
            <w:rStyle w:val="Hyperlink"/>
          </w:rPr>
          <w:t xml:space="preserve">https://doi.org/10.1016/j.chemosphere.2016.07.079</w:t>
        </w:r>
      </w:hyperlink>
    </w:p>
    <w:bookmarkEnd w:id="159"/>
    <w:bookmarkStart w:id="161" w:name="ref-komarek2015filamentous"/>
    <w:p>
      <w:pPr>
        <w:pStyle w:val="Bibliography"/>
      </w:pPr>
      <w:r>
        <w:t xml:space="preserve">Komárek, J., Johansen, J.R., 2015. Chapter 4 - filamentous cyanobacteria, in: Freshwater Algae of North America (Second Edition). Academic Press, Boston, pp. 135–235.</w:t>
      </w:r>
      <w:r>
        <w:t xml:space="preserve"> </w:t>
      </w:r>
      <w:hyperlink r:id="rId160">
        <w:r>
          <w:rPr>
            <w:rStyle w:val="Hyperlink"/>
          </w:rPr>
          <w:t xml:space="preserve">https://doi.org/10.1016/b978-0-12-385876-4.00004-9</w:t>
        </w:r>
      </w:hyperlink>
    </w:p>
    <w:bookmarkEnd w:id="161"/>
    <w:bookmarkStart w:id="163"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162">
        <w:r>
          <w:rPr>
            <w:rStyle w:val="Hyperlink"/>
          </w:rPr>
          <w:t xml:space="preserve">https://doi.org/10.1111/j.1365-2486.2011.02488.x</w:t>
        </w:r>
      </w:hyperlink>
    </w:p>
    <w:bookmarkEnd w:id="163"/>
    <w:bookmarkStart w:id="165" w:name="ref-kutovaya2014development"/>
    <w:p>
      <w:pPr>
        <w:pStyle w:val="Bibliography"/>
      </w:pPr>
      <w:r>
        <w:t xml:space="preserve">Kutovaya, O.A., Watson, S.B., 2014. Development and application of a molecular assay to detect and monitor geosmin-producing cyanobacteria and actinomycetes in the great lakes. Journal of Great Lakes Research 40, 404–414.</w:t>
      </w:r>
      <w:r>
        <w:t xml:space="preserve"> </w:t>
      </w:r>
      <w:hyperlink r:id="rId164">
        <w:r>
          <w:rPr>
            <w:rStyle w:val="Hyperlink"/>
          </w:rPr>
          <w:t xml:space="preserve">https://doi.org/10.1016/j.jglr.2014.03.016</w:t>
        </w:r>
      </w:hyperlink>
    </w:p>
    <w:bookmarkEnd w:id="165"/>
    <w:bookmarkStart w:id="166" w:name="ref-lin2018taste"/>
    <w:p>
      <w:pPr>
        <w:pStyle w:val="Bibliography"/>
      </w:pPr>
      <w:r>
        <w:t xml:space="preserve">Lin, T.-F., Watson, S., Suffet, I.H.M., 2018. Taste and odour in source and drinking water: Causes, controls, and consequences. IWA Publishing.</w:t>
      </w:r>
    </w:p>
    <w:bookmarkEnd w:id="166"/>
    <w:bookmarkStart w:id="168"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67">
        <w:r>
          <w:rPr>
            <w:rStyle w:val="Hyperlink"/>
          </w:rPr>
          <w:t xml:space="preserve">https://doi.org/10.1016/j.watres.2023.120485</w:t>
        </w:r>
      </w:hyperlink>
    </w:p>
    <w:bookmarkEnd w:id="168"/>
    <w:bookmarkStart w:id="170"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69">
        <w:r>
          <w:rPr>
            <w:rStyle w:val="Hyperlink"/>
          </w:rPr>
          <w:t xml:space="preserve">https://doi.org/10.1093/plankt/fbq033</w:t>
        </w:r>
      </w:hyperlink>
    </w:p>
    <w:bookmarkEnd w:id="170"/>
    <w:bookmarkStart w:id="172"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71">
        <w:r>
          <w:rPr>
            <w:rStyle w:val="Hyperlink"/>
          </w:rPr>
          <w:t xml:space="preserve">https://doi.org/10.1016/j.envint.2013.06.013</w:t>
        </w:r>
      </w:hyperlink>
    </w:p>
    <w:bookmarkEnd w:id="172"/>
    <w:bookmarkStart w:id="173" w:name="ref-mohanty2024challenges"/>
    <w:p>
      <w:pPr>
        <w:pStyle w:val="Bibliography"/>
      </w:pPr>
      <w:r>
        <w:t xml:space="preserve">Mohanty, S., Pandey, P.C., Srivastava, P.K., Srivastava, S.K., 2024. Challenges and future implications in monitoring and assessment of aquatic ecosystems, in: Aquatic Ecosystems Monitoring. CRC Press, pp. 297–318.</w:t>
      </w:r>
    </w:p>
    <w:bookmarkEnd w:id="173"/>
    <w:bookmarkStart w:id="175" w:name="ref-mustapha2021a"/>
    <w:p>
      <w:pPr>
        <w:pStyle w:val="Bibliography"/>
      </w:pPr>
      <w:r>
        <w:t xml:space="preserve">Mustapha, S., Tijani, J.O., Ndamitso, M., Abdulkareem, A.S., Shuaib, D.T., Mohammed, A.K., 2021. A critical review on geosmin and 2-methylisoborneol in water: Sources, effects, detection, and removal techniques. Environmental Monitoring and Assessment 193.</w:t>
      </w:r>
      <w:r>
        <w:t xml:space="preserve"> </w:t>
      </w:r>
      <w:hyperlink r:id="rId174">
        <w:r>
          <w:rPr>
            <w:rStyle w:val="Hyperlink"/>
          </w:rPr>
          <w:t xml:space="preserve">https://doi.org/10.1007/s10661-021-08980-9</w:t>
        </w:r>
      </w:hyperlink>
    </w:p>
    <w:bookmarkEnd w:id="175"/>
    <w:bookmarkStart w:id="177"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76">
        <w:r>
          <w:rPr>
            <w:rStyle w:val="Hyperlink"/>
          </w:rPr>
          <w:t xml:space="preserve">https://doi.org/10.1016/j.hal.2011.10.027</w:t>
        </w:r>
      </w:hyperlink>
    </w:p>
    <w:bookmarkEnd w:id="177"/>
    <w:bookmarkStart w:id="179"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78">
        <w:r>
          <w:rPr>
            <w:rStyle w:val="Hyperlink"/>
          </w:rPr>
          <w:t xml:space="preserve">https://doi.org/10.1100/tsw.2001.16</w:t>
        </w:r>
      </w:hyperlink>
    </w:p>
    <w:bookmarkEnd w:id="179"/>
    <w:bookmarkStart w:id="181" w:name="ref-paerl2012climate"/>
    <w:p>
      <w:pPr>
        <w:pStyle w:val="Bibliography"/>
      </w:pPr>
      <w:r>
        <w:t xml:space="preserve">Paerl, H.W., Paul, V.J., 2012. Climate change: Links to global expansion of harmful cyanobacteria. Water Research 46, 1349–1363.</w:t>
      </w:r>
      <w:r>
        <w:t xml:space="preserve"> </w:t>
      </w:r>
      <w:hyperlink r:id="rId180">
        <w:r>
          <w:rPr>
            <w:rStyle w:val="Hyperlink"/>
          </w:rPr>
          <w:t xml:space="preserve">https://doi.org/10.1016/j.watres.2011.08.002</w:t>
        </w:r>
      </w:hyperlink>
    </w:p>
    <w:bookmarkEnd w:id="181"/>
    <w:bookmarkStart w:id="183"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82">
        <w:r>
          <w:rPr>
            <w:rStyle w:val="Hyperlink"/>
          </w:rPr>
          <w:t xml:space="preserve">https://doi.org/10.1016/j.watres.2010.09.018</w:t>
        </w:r>
      </w:hyperlink>
    </w:p>
    <w:bookmarkEnd w:id="183"/>
    <w:bookmarkStart w:id="185" w:name="ref-pham2020first"/>
    <w:p>
      <w:pPr>
        <w:pStyle w:val="Bibliography"/>
      </w:pPr>
      <w:r>
        <w:t xml:space="preserve">Pham, T.-L., Bui, M.H., Driscoll, M., Shimizu, K., Motoo, U., 2020.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 Limnology 22, 43–56.</w:t>
      </w:r>
      <w:r>
        <w:t xml:space="preserve"> </w:t>
      </w:r>
      <w:hyperlink r:id="rId184">
        <w:r>
          <w:rPr>
            <w:rStyle w:val="Hyperlink"/>
          </w:rPr>
          <w:t xml:space="preserve">https://doi.org/10.1007/s10201-020-00630-2</w:t>
        </w:r>
      </w:hyperlink>
    </w:p>
    <w:bookmarkEnd w:id="185"/>
    <w:bookmarkStart w:id="187" w:name="ref-plaas2020toxic"/>
    <w:p>
      <w:pPr>
        <w:pStyle w:val="Bibliography"/>
      </w:pPr>
      <w:r>
        <w:t xml:space="preserve">Plaas, H.E., Paerl, H.W., 2020. Toxic cyanobacteria: A growing threat to water and air quality. Environmental Science &amp; Technology 55, 44–64.</w:t>
      </w:r>
      <w:r>
        <w:t xml:space="preserve"> </w:t>
      </w:r>
      <w:hyperlink r:id="rId186">
        <w:r>
          <w:rPr>
            <w:rStyle w:val="Hyperlink"/>
          </w:rPr>
          <w:t xml:space="preserve">https://doi.org/10.1021/acs.est.0c06653</w:t>
        </w:r>
      </w:hyperlink>
    </w:p>
    <w:bookmarkEnd w:id="187"/>
    <w:bookmarkStart w:id="189" w:name="ref-qin2006mechanism"/>
    <w:p>
      <w:pPr>
        <w:pStyle w:val="Bibliography"/>
      </w:pPr>
      <w:r>
        <w:t xml:space="preserve">Qin, B., Yang, L., Chen, F., Zhu, G., Zhang, L., Chen, Y., 2006. Mechanism and control of lake eutrophication. Chinese Science Bulletin 51, 2401–2412.</w:t>
      </w:r>
      <w:r>
        <w:t xml:space="preserve"> </w:t>
      </w:r>
      <w:hyperlink r:id="rId188">
        <w:r>
          <w:rPr>
            <w:rStyle w:val="Hyperlink"/>
          </w:rPr>
          <w:t xml:space="preserve">https://doi.org/10.1007/s11434-006-2096-y</w:t>
        </w:r>
      </w:hyperlink>
    </w:p>
    <w:bookmarkEnd w:id="189"/>
    <w:bookmarkStart w:id="191" w:name="ref-qiu2021using"/>
    <w:p>
      <w:pPr>
        <w:pStyle w:val="Bibliography"/>
      </w:pPr>
      <w:r>
        <w:t xml:space="preserve">Qiu, P., Chen, Y., Li, C., Huo, D., Bi, Y., Wang, J., Li, Y., Li, R., Yu, G., 2021. Using molecular detection for the diversity and occurrence of cyanobacteria and 2-methylisoborneol-producing cyanobacteria in an eutrophicated reservoir in</w:t>
      </w:r>
      <w:r>
        <w:t xml:space="preserve"> </w:t>
      </w:r>
      <w:r>
        <w:t xml:space="preserve">Northern China</w:t>
      </w:r>
      <w:r>
        <w:t xml:space="preserve">. Environmental Pollution 288, 117772.</w:t>
      </w:r>
      <w:r>
        <w:t xml:space="preserve"> </w:t>
      </w:r>
      <w:hyperlink r:id="rId190">
        <w:r>
          <w:rPr>
            <w:rStyle w:val="Hyperlink"/>
          </w:rPr>
          <w:t xml:space="preserve">https://doi.org/10.1016/j.envpol.2021.117772</w:t>
        </w:r>
      </w:hyperlink>
    </w:p>
    <w:bookmarkEnd w:id="191"/>
    <w:bookmarkStart w:id="193"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192">
        <w:r>
          <w:rPr>
            <w:rStyle w:val="Hyperlink"/>
          </w:rPr>
          <w:t xml:space="preserve">https://doi.org/10.3389/fevo.2023.1216567</w:t>
        </w:r>
      </w:hyperlink>
    </w:p>
    <w:bookmarkEnd w:id="193"/>
    <w:bookmarkStart w:id="195" w:name="ref-quast2012the"/>
    <w:p>
      <w:pPr>
        <w:pStyle w:val="Bibliography"/>
      </w:pPr>
      <w:r>
        <w:t xml:space="preserve">Quast, C., Pruesse, E., Yilmaz, P., Gerken, J., Schweer, T., Yarza, P., Peplies, J., Glöckner, F.O., 2012. The SILVA ribosomal RNA gene database project: Improved data processing and web-based tools. Nucleic Acids Research 41, D590–D596.</w:t>
      </w:r>
      <w:r>
        <w:t xml:space="preserve"> </w:t>
      </w:r>
      <w:hyperlink r:id="rId194">
        <w:r>
          <w:rPr>
            <w:rStyle w:val="Hyperlink"/>
          </w:rPr>
          <w:t xml:space="preserve">https://doi.org/10.1093/nar/gks1219</w:t>
        </w:r>
      </w:hyperlink>
    </w:p>
    <w:bookmarkEnd w:id="195"/>
    <w:bookmarkStart w:id="197" w:name="ref-ravi2018miseq"/>
    <w:p>
      <w:pPr>
        <w:pStyle w:val="Bibliography"/>
      </w:pPr>
      <w:r>
        <w:t xml:space="preserve">Ravi, R.K., Walton, K., Khosroheidari, M., 2018. MiSeq: A next generation sequencing platform for genomic analysis, in: Disease Gene Identification. Springer New York, pp. 223–232.</w:t>
      </w:r>
      <w:r>
        <w:t xml:space="preserve"> </w:t>
      </w:r>
      <w:hyperlink r:id="rId196">
        <w:r>
          <w:rPr>
            <w:rStyle w:val="Hyperlink"/>
          </w:rPr>
          <w:t xml:space="preserve">https://doi.org/10.1007/978-1-4939-7471-9_12</w:t>
        </w:r>
      </w:hyperlink>
    </w:p>
    <w:bookmarkEnd w:id="197"/>
    <w:bookmarkStart w:id="199" w:name="ref-recknagel2017early"/>
    <w:p>
      <w:pPr>
        <w:pStyle w:val="Bibliography"/>
      </w:pPr>
      <w:r>
        <w:t xml:space="preserve">Recknagel, F., Orr, P.T., Bartkow, M., Swanepoel, A., Cao, H., 2017. Early warning of limit-exceeding concentrations of cyanobacteria and cyanotoxins in drinking water reservoirs by inferential modelling. Harmful Algae 69, 18–27.</w:t>
      </w:r>
      <w:r>
        <w:t xml:space="preserve"> </w:t>
      </w:r>
      <w:hyperlink r:id="rId198">
        <w:r>
          <w:rPr>
            <w:rStyle w:val="Hyperlink"/>
          </w:rPr>
          <w:t xml:space="preserve">https://doi.org/10.1016/j.hal.2017.09.003</w:t>
        </w:r>
      </w:hyperlink>
    </w:p>
    <w:bookmarkEnd w:id="199"/>
    <w:bookmarkStart w:id="201"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200">
        <w:r>
          <w:rPr>
            <w:rStyle w:val="Hyperlink"/>
          </w:rPr>
          <w:t xml:space="preserve">https://doi.org/10.1016/j.watres.2022.118573</w:t>
        </w:r>
      </w:hyperlink>
    </w:p>
    <w:bookmarkEnd w:id="201"/>
    <w:bookmarkStart w:id="203"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202">
        <w:r>
          <w:rPr>
            <w:rStyle w:val="Hyperlink"/>
          </w:rPr>
          <w:t xml:space="preserve">https://doi.org/10.1016/j.watres.2020.115959</w:t>
        </w:r>
      </w:hyperlink>
    </w:p>
    <w:bookmarkEnd w:id="203"/>
    <w:bookmarkStart w:id="205" w:name="ref-saadoun2001environmental"/>
    <w:p>
      <w:pPr>
        <w:pStyle w:val="Bibliography"/>
      </w:pPr>
      <w:r>
        <w:t xml:space="preserve">Saadoun, I.M.K., Schrader, K.K., Blevins, W.T., 2001. Environmental and nutritional factors affecting geosmin synthesis by</w:t>
      </w:r>
      <w:r>
        <w:t xml:space="preserve"> </w:t>
      </w:r>
      <w:r>
        <w:t xml:space="preserve">Anabaena</w:t>
      </w:r>
      <w:r>
        <w:t xml:space="preserve"> </w:t>
      </w:r>
      <w:r>
        <w:t xml:space="preserve">sp. Water Research 35, 1209–1218.</w:t>
      </w:r>
      <w:r>
        <w:t xml:space="preserve"> </w:t>
      </w:r>
      <w:hyperlink r:id="rId204">
        <w:r>
          <w:rPr>
            <w:rStyle w:val="Hyperlink"/>
          </w:rPr>
          <w:t xml:space="preserve">https://doi.org/10.1016/S0043-1354(00)00381-X</w:t>
        </w:r>
      </w:hyperlink>
    </w:p>
    <w:bookmarkEnd w:id="205"/>
    <w:bookmarkStart w:id="207" w:name="ref-scott2012cyanobacteria"/>
    <w:p>
      <w:pPr>
        <w:pStyle w:val="Bibliography"/>
      </w:pPr>
      <w:r>
        <w:t xml:space="preserve">Scott, J.T., Marcarelli, A.M., 2012. Cyanobacteria in freshwater benthic environments, in: Ecology of Cyanobacteria Ii. Springer Netherlands, pp. 271–289.</w:t>
      </w:r>
      <w:r>
        <w:t xml:space="preserve"> </w:t>
      </w:r>
      <w:hyperlink r:id="rId206">
        <w:r>
          <w:rPr>
            <w:rStyle w:val="Hyperlink"/>
          </w:rPr>
          <w:t xml:space="preserve">https://doi.org/10.1007/978-94-007-3855-3_9</w:t>
        </w:r>
      </w:hyperlink>
    </w:p>
    <w:bookmarkEnd w:id="207"/>
    <w:bookmarkStart w:id="209"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208">
        <w:r>
          <w:rPr>
            <w:rStyle w:val="Hyperlink"/>
          </w:rPr>
          <w:t xml:space="preserve">https://doi.org/10.1080/07388550500248498</w:t>
        </w:r>
      </w:hyperlink>
    </w:p>
    <w:bookmarkEnd w:id="209"/>
    <w:bookmarkStart w:id="211" w:name="ref-soyluoglu2022removal"/>
    <w:p>
      <w:pPr>
        <w:pStyle w:val="Bibliography"/>
      </w:pPr>
      <w:r>
        <w:t xml:space="preserve">Soyluoglu, M., Kim, D., Zaker, Y., Karanfil, T., 2022. Removal mechanisms of geosmin and MIB by oxygen nanobubbles during water treatment. Chemical Engineering Journal 443, 136535.</w:t>
      </w:r>
      <w:r>
        <w:t xml:space="preserve"> </w:t>
      </w:r>
      <w:hyperlink r:id="rId210">
        <w:r>
          <w:rPr>
            <w:rStyle w:val="Hyperlink"/>
          </w:rPr>
          <w:t xml:space="preserve">https://doi.org/10.1016/j.cej.2022.136535</w:t>
        </w:r>
      </w:hyperlink>
    </w:p>
    <w:bookmarkEnd w:id="211"/>
    <w:bookmarkStart w:id="213"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212">
        <w:r>
          <w:rPr>
            <w:rStyle w:val="Hyperlink"/>
          </w:rPr>
          <w:t xml:space="preserve">https://doi.org/10.1016/s1001-0742(10)60367-1</w:t>
        </w:r>
      </w:hyperlink>
    </w:p>
    <w:bookmarkEnd w:id="213"/>
    <w:bookmarkStart w:id="215"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14">
        <w:r>
          <w:rPr>
            <w:rStyle w:val="Hyperlink"/>
          </w:rPr>
          <w:t xml:space="preserve">https://doi.org/J.scitotenv.2018.08.307</w:t>
        </w:r>
      </w:hyperlink>
    </w:p>
    <w:bookmarkEnd w:id="215"/>
    <w:bookmarkStart w:id="217" w:name="ref-su2013establishment"/>
    <w:p>
      <w:pPr>
        <w:pStyle w:val="Bibliography"/>
      </w:pPr>
      <w:r>
        <w:t xml:space="preserve">Su, M., Gaget, V., Giglio, S., Burch, M., An, W., Yang, M., 2013. Establishment of quantitative PCR methods for the quantification of geosmin-producing potential and</w:t>
      </w:r>
      <w:r>
        <w:t xml:space="preserve"> </w:t>
      </w:r>
      <w:r>
        <w:rPr>
          <w:i/>
          <w:iCs/>
        </w:rPr>
        <w:t xml:space="preserve">Anabaena</w:t>
      </w:r>
      <w:r>
        <w:t xml:space="preserve"> </w:t>
      </w:r>
      <w:r>
        <w:t xml:space="preserve">sp. In freshwater systems. Water Research 47, 3444–3454.</w:t>
      </w:r>
      <w:r>
        <w:t xml:space="preserve"> </w:t>
      </w:r>
      <w:hyperlink r:id="rId216">
        <w:r>
          <w:rPr>
            <w:rStyle w:val="Hyperlink"/>
          </w:rPr>
          <w:t xml:space="preserve">https://doi.org/10.1016/j.watres.2013.03.043</w:t>
        </w:r>
      </w:hyperlink>
    </w:p>
    <w:bookmarkEnd w:id="217"/>
    <w:bookmarkStart w:id="219" w:name="ref-su2017reducing"/>
    <w:p>
      <w:pPr>
        <w:pStyle w:val="Bibliography"/>
      </w:pPr>
      <w:r>
        <w:t xml:space="preserve">Su, M., Jia, D., Yu, J., Vogt, R.D., Wang, J., An, W., Yang, M., 2017. Reducing production of taste and odor by deep-living cyanobacteria in drinking water reservoirs by regulation of water level. Science of the Total Environment 574, 1477–1483.</w:t>
      </w:r>
      <w:r>
        <w:t xml:space="preserve"> </w:t>
      </w:r>
      <w:hyperlink r:id="rId218">
        <w:r>
          <w:rPr>
            <w:rStyle w:val="Hyperlink"/>
          </w:rPr>
          <w:t xml:space="preserve">https://doi.org/10.1016/j.scitotenv.2016.08.134</w:t>
        </w:r>
      </w:hyperlink>
    </w:p>
    <w:bookmarkEnd w:id="219"/>
    <w:bookmarkStart w:id="221"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220">
        <w:r>
          <w:rPr>
            <w:rStyle w:val="Hyperlink"/>
          </w:rPr>
          <w:t xml:space="preserve">https://doi.org/10.1016/j.watres.2014.09.038</w:t>
        </w:r>
      </w:hyperlink>
    </w:p>
    <w:bookmarkEnd w:id="221"/>
    <w:bookmarkStart w:id="223"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222">
        <w:r>
          <w:rPr>
            <w:rStyle w:val="Hyperlink"/>
          </w:rPr>
          <w:t xml:space="preserve">https://doi.org/10.1007/s11783-013-0577-1</w:t>
        </w:r>
      </w:hyperlink>
    </w:p>
    <w:bookmarkEnd w:id="223"/>
    <w:bookmarkStart w:id="225"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224">
        <w:r>
          <w:rPr>
            <w:rStyle w:val="Hyperlink"/>
          </w:rPr>
          <w:t xml:space="preserve">https://doi.org/10.1016/j.watres.2014.09.037</w:t>
        </w:r>
      </w:hyperlink>
    </w:p>
    <w:bookmarkEnd w:id="225"/>
    <w:bookmarkStart w:id="227" w:name="ref-thornton1984regional"/>
    <w:p>
      <w:pPr>
        <w:pStyle w:val="Bibliography"/>
      </w:pPr>
      <w:r>
        <w:t xml:space="preserve">Thornton, K.W., 1984. REGIONAL COMPARISONS OF LAKES AND RESERVOIRS: GEOLOGY, CLIMATOLOGY, AND MORPHOLOGY. Lake and Reservoir Management 1, 261–265.</w:t>
      </w:r>
      <w:r>
        <w:t xml:space="preserve"> </w:t>
      </w:r>
      <w:hyperlink r:id="rId226">
        <w:r>
          <w:rPr>
            <w:rStyle w:val="Hyperlink"/>
          </w:rPr>
          <w:t xml:space="preserve">https://doi.org/10.1080/07438148409354521</w:t>
        </w:r>
      </w:hyperlink>
    </w:p>
    <w:bookmarkEnd w:id="227"/>
    <w:bookmarkStart w:id="229"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228">
        <w:r>
          <w:rPr>
            <w:rStyle w:val="Hyperlink"/>
          </w:rPr>
          <w:t xml:space="preserve">https://doi.org/10.2216/i0031-8884-42-4-332.1</w:t>
        </w:r>
      </w:hyperlink>
    </w:p>
    <w:bookmarkEnd w:id="229"/>
    <w:bookmarkStart w:id="231" w:name="ref-woolway2020global"/>
    <w:p>
      <w:pPr>
        <w:pStyle w:val="Bibliography"/>
      </w:pPr>
      <w:r>
        <w:t xml:space="preserve">Woolway, R.I., Kraemer, B.M., Lenters, J.D., Merchant, C.J., O’Reilly, C.M., Sharma, S., 2020. Global lake responses to climate change. Nature Reviews Earth &amp; Environment 1, 388–403.</w:t>
      </w:r>
      <w:r>
        <w:t xml:space="preserve"> </w:t>
      </w:r>
      <w:hyperlink r:id="rId230">
        <w:r>
          <w:rPr>
            <w:rStyle w:val="Hyperlink"/>
          </w:rPr>
          <w:t xml:space="preserve">https://doi.org/10.1038/s43017-020-0067-5</w:t>
        </w:r>
      </w:hyperlink>
    </w:p>
    <w:bookmarkEnd w:id="231"/>
    <w:bookmarkStart w:id="233"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232">
        <w:r>
          <w:rPr>
            <w:rStyle w:val="Hyperlink"/>
          </w:rPr>
          <w:t xml:space="preserve">https://doi.org/10.1016/j.jhazmat.2021.128056</w:t>
        </w:r>
      </w:hyperlink>
    </w:p>
    <w:bookmarkEnd w:id="233"/>
    <w:bookmarkStart w:id="235"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234">
        <w:r>
          <w:rPr>
            <w:rStyle w:val="Hyperlink"/>
          </w:rPr>
          <w:t xml:space="preserve">https://doi.org/10.4319/lo.2010.55.1.0420</w:t>
        </w:r>
      </w:hyperlink>
    </w:p>
    <w:bookmarkEnd w:id="235"/>
    <w:bookmarkStart w:id="237" w:name="ref-xu2014spatiotemporal"/>
    <w:p>
      <w:pPr>
        <w:pStyle w:val="Bibliography"/>
      </w:pPr>
      <w:r>
        <w:t xml:space="preserve">Xu, Y., Xie, R., Wang, Y., Sha, J., 2014. Spatio-temporal variations of water quality in yuqiao reservoir basin, north china. Frontiers of Environmental Science &amp; Engineering 9, 649–664.</w:t>
      </w:r>
      <w:r>
        <w:t xml:space="preserve"> </w:t>
      </w:r>
      <w:hyperlink r:id="rId236">
        <w:r>
          <w:rPr>
            <w:rStyle w:val="Hyperlink"/>
          </w:rPr>
          <w:t xml:space="preserve">https://doi.org/10.1007/s11783-014-0702-9</w:t>
        </w:r>
      </w:hyperlink>
    </w:p>
    <w:bookmarkEnd w:id="237"/>
    <w:bookmarkStart w:id="239"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238">
        <w:r>
          <w:rPr>
            <w:rStyle w:val="Hyperlink"/>
          </w:rPr>
          <w:t xml:space="preserve">https://doi.org/10.1126/science.319.5860.158a</w:t>
        </w:r>
      </w:hyperlink>
    </w:p>
    <w:bookmarkEnd w:id="239"/>
    <w:bookmarkStart w:id="241" w:name="ref-yang2023uncovering"/>
    <w:p>
      <w:pPr>
        <w:pStyle w:val="Bibliography"/>
      </w:pPr>
      <w:r>
        <w:t xml:space="preserve">Yang, X., Dong, W., Liu, L., Bi, Y., Xu, W., Wang, X., 2023. Uncovering the differential growth of microcystis aeruginosa cultivated under nitrate and ammonium from a photophysiological perspective. ACS ES&amp;amp;T Water 3, 1161–1171.</w:t>
      </w:r>
      <w:r>
        <w:t xml:space="preserve"> </w:t>
      </w:r>
      <w:hyperlink r:id="rId240">
        <w:r>
          <w:rPr>
            <w:rStyle w:val="Hyperlink"/>
          </w:rPr>
          <w:t xml:space="preserve">https://doi.org/10.1021/acsestwater.2c00624</w:t>
        </w:r>
      </w:hyperlink>
    </w:p>
    <w:bookmarkEnd w:id="241"/>
    <w:bookmarkStart w:id="243" w:name="ref-yuan2022adsorption"/>
    <w:p>
      <w:pPr>
        <w:pStyle w:val="Bibliography"/>
      </w:pPr>
      <w:r>
        <w:t xml:space="preserve">Yuan, J., Hofmann, R., 2022. Adsorption and biodegradation of 2-methylisoborneol and geosmin in drinking water granular activated carbon filters: A review and meta-analysis. Journal of Hazardous Materials 440, 129838.</w:t>
      </w:r>
      <w:r>
        <w:t xml:space="preserve"> </w:t>
      </w:r>
      <w:hyperlink r:id="rId242">
        <w:r>
          <w:rPr>
            <w:rStyle w:val="Hyperlink"/>
          </w:rPr>
          <w:t xml:space="preserve">https://doi.org/10.1016/j.jhazmat.2022.129838</w:t>
        </w:r>
      </w:hyperlink>
    </w:p>
    <w:bookmarkEnd w:id="243"/>
    <w:bookmarkStart w:id="245"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44">
        <w:r>
          <w:rPr>
            <w:rStyle w:val="Hyperlink"/>
          </w:rPr>
          <w:t xml:space="preserve">https://doi.org/10.1016/j.watres.2015.06.038</w:t>
        </w:r>
      </w:hyperlink>
    </w:p>
    <w:bookmarkEnd w:id="245"/>
    <w:bookmarkStart w:id="247" w:name="ref-zhai2017disinfection"/>
    <w:p>
      <w:pPr>
        <w:pStyle w:val="Bibliography"/>
      </w:pPr>
      <w:r>
        <w:t xml:space="preserve">Zhai, H., He, X., Zhang, Y., Du, T., Adeleye, A.S., Li, Y., 2017. Disinfection byproduct formation in drinking water sources: A case study of yuqiao reservoir. Chemosphere 181, 224–231.</w:t>
      </w:r>
      <w:r>
        <w:t xml:space="preserve"> </w:t>
      </w:r>
      <w:hyperlink r:id="rId246">
        <w:r>
          <w:rPr>
            <w:rStyle w:val="Hyperlink"/>
          </w:rPr>
          <w:t xml:space="preserve">https://doi.org/10.1016/j.chemosphere.2017.04.028</w:t>
        </w:r>
      </w:hyperlink>
    </w:p>
    <w:bookmarkEnd w:id="247"/>
    <w:bookmarkStart w:id="249"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248">
        <w:r>
          <w:rPr>
            <w:rStyle w:val="Hyperlink"/>
          </w:rPr>
          <w:t xml:space="preserve">https://doi.org/10.1016/j.watres.2023.119807</w:t>
        </w:r>
      </w:hyperlink>
    </w:p>
    <w:bookmarkEnd w:id="249"/>
    <w:bookmarkStart w:id="250" w:name="ref-zhou2024spatial"/>
    <w:p>
      <w:pPr>
        <w:pStyle w:val="Bibliography"/>
      </w:pPr>
      <w:r>
        <w:t xml:space="preserve">Zhou, S., Qiu, D., Xiao, L., 2024. Spatial distribution and influencing factors of organic odorants 2-methylisoborneol and geosmin in reservoirs of guangdong province. Guangdong Chemical Industry (In Chinese) 51, 117–119, 122.</w:t>
      </w:r>
    </w:p>
    <w:bookmarkEnd w:id="250"/>
    <w:bookmarkStart w:id="252" w:name="ref-zohary2014the"/>
    <w:p>
      <w:pPr>
        <w:pStyle w:val="Bibliography"/>
      </w:pPr>
      <w:r>
        <w:t xml:space="preserve">Zohary, T., Gasith, A., 2014. The littoral zone, in: Lake Kinneret. Springer Netherlands, pp. 517–532.</w:t>
      </w:r>
      <w:r>
        <w:t xml:space="preserve"> </w:t>
      </w:r>
      <w:hyperlink r:id="rId251">
        <w:r>
          <w:rPr>
            <w:rStyle w:val="Hyperlink"/>
          </w:rPr>
          <w:t xml:space="preserve">https://doi.org/10.1007/978-94-017-8944-8_29</w:t>
        </w:r>
      </w:hyperlink>
    </w:p>
    <w:bookmarkEnd w:id="252"/>
    <w:bookmarkEnd w:id="253"/>
    <w:bookmarkEnd w:id="254"/>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32" Target="media/rId32.png" /><Relationship Type="http://schemas.openxmlformats.org/officeDocument/2006/relationships/image" Id="rId62" Target="media/rId62.png" /><Relationship Type="http://schemas.openxmlformats.org/officeDocument/2006/relationships/image" Id="rId37" Target="media/rId37.png" /><Relationship Type="http://schemas.openxmlformats.org/officeDocument/2006/relationships/hyperlink" Id="rId123" Target="http://aem.asm.org/content/13/6/935.abstract" TargetMode="External" /><Relationship Type="http://schemas.openxmlformats.org/officeDocument/2006/relationships/hyperlink" Id="rId150" Target="https://doi.org/0043-1354(94)90306-9" TargetMode="External" /><Relationship Type="http://schemas.openxmlformats.org/officeDocument/2006/relationships/hyperlink" Id="rId196" Target="https://doi.org/10.1007/978-1-4939-7471-9_12" TargetMode="External" /><Relationship Type="http://schemas.openxmlformats.org/officeDocument/2006/relationships/hyperlink" Id="rId206" Target="https://doi.org/10.1007/978-94-007-3855-3_9" TargetMode="External" /><Relationship Type="http://schemas.openxmlformats.org/officeDocument/2006/relationships/hyperlink" Id="rId251" Target="https://doi.org/10.1007/978-94-017-8944-8_29" TargetMode="External" /><Relationship Type="http://schemas.openxmlformats.org/officeDocument/2006/relationships/hyperlink" Id="rId76" Target="https://doi.org/10.1007/s00018-003-2079-y" TargetMode="External" /><Relationship Type="http://schemas.openxmlformats.org/officeDocument/2006/relationships/hyperlink" Id="rId184" Target="https://doi.org/10.1007/s10201-020-00630-2" TargetMode="External" /><Relationship Type="http://schemas.openxmlformats.org/officeDocument/2006/relationships/hyperlink" Id="rId174" Target="https://doi.org/10.1007/s10661-021-08980-9" TargetMode="External" /><Relationship Type="http://schemas.openxmlformats.org/officeDocument/2006/relationships/hyperlink" Id="rId87" Target="https://doi.org/10.1007/s10811-021-02575-0" TargetMode="External" /><Relationship Type="http://schemas.openxmlformats.org/officeDocument/2006/relationships/hyperlink" Id="rId97" Target="https://doi.org/10.1007/s11356-021-12973-z" TargetMode="External" /><Relationship Type="http://schemas.openxmlformats.org/officeDocument/2006/relationships/hyperlink" Id="rId188" Target="https://doi.org/10.1007/s11434-006-2096-y" TargetMode="External" /><Relationship Type="http://schemas.openxmlformats.org/officeDocument/2006/relationships/hyperlink" Id="rId222" Target="https://doi.org/10.1007/s11783-013-0577-1" TargetMode="External" /><Relationship Type="http://schemas.openxmlformats.org/officeDocument/2006/relationships/hyperlink" Id="rId236" Target="https://doi.org/10.1007/s11783-014-0702-9" TargetMode="External" /><Relationship Type="http://schemas.openxmlformats.org/officeDocument/2006/relationships/hyperlink" Id="rId74" Target="https://doi.org/10.1007/s42398-022-00246-5" TargetMode="External" /><Relationship Type="http://schemas.openxmlformats.org/officeDocument/2006/relationships/hyperlink" Id="rId105" Target="https://doi.org/10.1016/S0043-1354(00)00363-8" TargetMode="External" /><Relationship Type="http://schemas.openxmlformats.org/officeDocument/2006/relationships/hyperlink" Id="rId204" Target="https://doi.org/10.1016/S0043-1354(00)00381-X" TargetMode="External" /><Relationship Type="http://schemas.openxmlformats.org/officeDocument/2006/relationships/hyperlink" Id="rId160" Target="https://doi.org/10.1016/b978-0-12-385876-4.00004-9" TargetMode="External" /><Relationship Type="http://schemas.openxmlformats.org/officeDocument/2006/relationships/hyperlink" Id="rId210" Target="https://doi.org/10.1016/j.cej.2022.136535" TargetMode="External" /><Relationship Type="http://schemas.openxmlformats.org/officeDocument/2006/relationships/hyperlink" Id="rId158" Target="https://doi.org/10.1016/j.chemosphere.2016.07.079" TargetMode="External" /><Relationship Type="http://schemas.openxmlformats.org/officeDocument/2006/relationships/hyperlink" Id="rId246" Target="https://doi.org/10.1016/j.chemosphere.2017.04.028" TargetMode="External" /><Relationship Type="http://schemas.openxmlformats.org/officeDocument/2006/relationships/hyperlink" Id="rId93" Target="https://doi.org/10.1016/j.ecss.2016.01.043" TargetMode="External" /><Relationship Type="http://schemas.openxmlformats.org/officeDocument/2006/relationships/hyperlink" Id="rId171" Target="https://doi.org/10.1016/j.envint.2013.06.013" TargetMode="External" /><Relationship Type="http://schemas.openxmlformats.org/officeDocument/2006/relationships/hyperlink" Id="rId190" Target="https://doi.org/10.1016/j.envpol.2021.117772" TargetMode="External" /><Relationship Type="http://schemas.openxmlformats.org/officeDocument/2006/relationships/hyperlink" Id="rId133" Target="https://doi.org/10.1016/j.hal.2005.03.001" TargetMode="External" /><Relationship Type="http://schemas.openxmlformats.org/officeDocument/2006/relationships/hyperlink" Id="rId137" Target="https://doi.org/10.1016/j.hal.2008.08.006" TargetMode="External" /><Relationship Type="http://schemas.openxmlformats.org/officeDocument/2006/relationships/hyperlink" Id="rId176" Target="https://doi.org/10.1016/j.hal.2011.10.027" TargetMode="External" /><Relationship Type="http://schemas.openxmlformats.org/officeDocument/2006/relationships/hyperlink" Id="rId198" Target="https://doi.org/10.1016/j.hal.2017.09.003" TargetMode="External" /><Relationship Type="http://schemas.openxmlformats.org/officeDocument/2006/relationships/hyperlink" Id="rId85" Target="https://doi.org/10.1016/j.hal.2017.09.006" TargetMode="External" /><Relationship Type="http://schemas.openxmlformats.org/officeDocument/2006/relationships/hyperlink" Id="rId135" Target="https://doi.org/10.1016/j.hal.2019.01.010" TargetMode="External" /><Relationship Type="http://schemas.openxmlformats.org/officeDocument/2006/relationships/hyperlink" Id="rId152" Target="https://doi.org/10.1016/j.hal.2019.101658" TargetMode="External" /><Relationship Type="http://schemas.openxmlformats.org/officeDocument/2006/relationships/hyperlink" Id="rId131" Target="https://doi.org/10.1016/j.heliyon.2021.e07706" TargetMode="External" /><Relationship Type="http://schemas.openxmlformats.org/officeDocument/2006/relationships/hyperlink" Id="rId103" Target="https://doi.org/10.1016/j.jenvman.2021.113304" TargetMode="External" /><Relationship Type="http://schemas.openxmlformats.org/officeDocument/2006/relationships/hyperlink" Id="rId164" Target="https://doi.org/10.1016/j.jglr.2014.03.016" TargetMode="External" /><Relationship Type="http://schemas.openxmlformats.org/officeDocument/2006/relationships/hyperlink" Id="rId111" Target="https://doi.org/10.1016/j.jglr.2015.10.001" TargetMode="External" /><Relationship Type="http://schemas.openxmlformats.org/officeDocument/2006/relationships/hyperlink" Id="rId72" Target="https://doi.org/10.1016/j.jglr.2025.102695" TargetMode="External" /><Relationship Type="http://schemas.openxmlformats.org/officeDocument/2006/relationships/hyperlink" Id="rId232" Target="https://doi.org/10.1016/j.jhazmat.2021.128056" TargetMode="External" /><Relationship Type="http://schemas.openxmlformats.org/officeDocument/2006/relationships/hyperlink" Id="rId242" Target="https://doi.org/10.1016/j.jhazmat.2022.129838" TargetMode="External" /><Relationship Type="http://schemas.openxmlformats.org/officeDocument/2006/relationships/hyperlink" Id="rId70" Target="https://doi.org/10.1016/j.jhazmat.2025.140118" TargetMode="External" /><Relationship Type="http://schemas.openxmlformats.org/officeDocument/2006/relationships/hyperlink" Id="rId218" Target="https://doi.org/10.1016/j.scitotenv.2016.08.134" TargetMode="External" /><Relationship Type="http://schemas.openxmlformats.org/officeDocument/2006/relationships/hyperlink" Id="rId139" Target="https://doi.org/10.1016/j.watres.2009.04.005" TargetMode="External" /><Relationship Type="http://schemas.openxmlformats.org/officeDocument/2006/relationships/hyperlink" Id="rId182" Target="https://doi.org/10.1016/j.watres.2010.09.018" TargetMode="External" /><Relationship Type="http://schemas.openxmlformats.org/officeDocument/2006/relationships/hyperlink" Id="rId180" Target="https://doi.org/10.1016/j.watres.2011.08.002" TargetMode="External" /><Relationship Type="http://schemas.openxmlformats.org/officeDocument/2006/relationships/hyperlink" Id="rId216" Target="https://doi.org/10.1016/j.watres.2013.03.043" TargetMode="External" /><Relationship Type="http://schemas.openxmlformats.org/officeDocument/2006/relationships/hyperlink" Id="rId224" Target="https://doi.org/10.1016/j.watres.2014.09.037" TargetMode="External" /><Relationship Type="http://schemas.openxmlformats.org/officeDocument/2006/relationships/hyperlink" Id="rId220" Target="https://doi.org/10.1016/j.watres.2014.09.038" TargetMode="External" /><Relationship Type="http://schemas.openxmlformats.org/officeDocument/2006/relationships/hyperlink" Id="rId244" Target="https://doi.org/10.1016/j.watres.2015.06.038" TargetMode="External" /><Relationship Type="http://schemas.openxmlformats.org/officeDocument/2006/relationships/hyperlink" Id="rId154" Target="https://doi.org/10.1016/j.watres.2018.02.041" TargetMode="External" /><Relationship Type="http://schemas.openxmlformats.org/officeDocument/2006/relationships/hyperlink" Id="rId202" Target="https://doi.org/10.1016/j.watres.2020.115959" TargetMode="External" /><Relationship Type="http://schemas.openxmlformats.org/officeDocument/2006/relationships/hyperlink" Id="rId107" Target="https://doi.org/10.1016/j.watres.2020.116478" TargetMode="External" /><Relationship Type="http://schemas.openxmlformats.org/officeDocument/2006/relationships/hyperlink" Id="rId200" Target="https://doi.org/10.1016/j.watres.2022.118573" TargetMode="External" /><Relationship Type="http://schemas.openxmlformats.org/officeDocument/2006/relationships/hyperlink" Id="rId141" Target="https://doi.org/10.1016/j.watres.2023.119693" TargetMode="External" /><Relationship Type="http://schemas.openxmlformats.org/officeDocument/2006/relationships/hyperlink" Id="rId248" Target="https://doi.org/10.1016/j.watres.2023.119807" TargetMode="External" /><Relationship Type="http://schemas.openxmlformats.org/officeDocument/2006/relationships/hyperlink" Id="rId167" Target="https://doi.org/10.1016/j.watres.2023.120485" TargetMode="External" /><Relationship Type="http://schemas.openxmlformats.org/officeDocument/2006/relationships/hyperlink" Id="rId115" Target="https://doi.org/10.1016/j.watres.2024.122509" TargetMode="External" /><Relationship Type="http://schemas.openxmlformats.org/officeDocument/2006/relationships/hyperlink" Id="rId129" Target="https://doi.org/10.1016/j.watres.2024.122767" TargetMode="External" /><Relationship Type="http://schemas.openxmlformats.org/officeDocument/2006/relationships/hyperlink" Id="rId89" Target="https://doi.org/10.1016/j.watres.2025.123336" TargetMode="External" /><Relationship Type="http://schemas.openxmlformats.org/officeDocument/2006/relationships/hyperlink" Id="rId99" Target="https://doi.org/10.1016/j.watres.2025.124388" TargetMode="External" /><Relationship Type="http://schemas.openxmlformats.org/officeDocument/2006/relationships/hyperlink" Id="rId212" Target="https://doi.org/10.1016/s1001-0742(10)60367-1" TargetMode="External" /><Relationship Type="http://schemas.openxmlformats.org/officeDocument/2006/relationships/hyperlink" Id="rId186" Target="https://doi.org/10.1021/acs.est.0c06653" TargetMode="External" /><Relationship Type="http://schemas.openxmlformats.org/officeDocument/2006/relationships/hyperlink" Id="rId240" Target="https://doi.org/10.1021/acsestwater.2c00624" TargetMode="External" /><Relationship Type="http://schemas.openxmlformats.org/officeDocument/2006/relationships/hyperlink" Id="rId125" Target="https://doi.org/10.1021/es102992p" TargetMode="External" /><Relationship Type="http://schemas.openxmlformats.org/officeDocument/2006/relationships/hyperlink" Id="rId127" Target="https://doi.org/10.1021/es801465w" TargetMode="External" /><Relationship Type="http://schemas.openxmlformats.org/officeDocument/2006/relationships/hyperlink" Id="rId113" Target="https://doi.org/10.1038/nmeth.2604" TargetMode="External" /><Relationship Type="http://schemas.openxmlformats.org/officeDocument/2006/relationships/hyperlink" Id="rId144" Target="https://doi.org/10.1038/s41579-018-0040-1" TargetMode="External" /><Relationship Type="http://schemas.openxmlformats.org/officeDocument/2006/relationships/hyperlink" Id="rId117" Target="https://doi.org/10.1038/s41586-021-03254-3" TargetMode="External" /><Relationship Type="http://schemas.openxmlformats.org/officeDocument/2006/relationships/hyperlink" Id="rId79" Target="https://doi.org/10.1038/s41587-019-0252-6" TargetMode="External" /><Relationship Type="http://schemas.openxmlformats.org/officeDocument/2006/relationships/hyperlink" Id="rId101" Target="https://doi.org/10.1038/s41598-020-64774-y" TargetMode="External" /><Relationship Type="http://schemas.openxmlformats.org/officeDocument/2006/relationships/hyperlink" Id="rId230" Target="https://doi.org/10.1038/s43017-020-0067-5" TargetMode="External" /><Relationship Type="http://schemas.openxmlformats.org/officeDocument/2006/relationships/hyperlink" Id="rId119" Target="https://doi.org/10.1042/bst0330164" TargetMode="External" /><Relationship Type="http://schemas.openxmlformats.org/officeDocument/2006/relationships/hyperlink" Id="rId208" Target="https://doi.org/10.1080/07388550500248498" TargetMode="External" /><Relationship Type="http://schemas.openxmlformats.org/officeDocument/2006/relationships/hyperlink" Id="rId226" Target="https://doi.org/10.1080/07438148409354521" TargetMode="External" /><Relationship Type="http://schemas.openxmlformats.org/officeDocument/2006/relationships/hyperlink" Id="rId194" Target="https://doi.org/10.1093/nar/gks1219" TargetMode="External" /><Relationship Type="http://schemas.openxmlformats.org/officeDocument/2006/relationships/hyperlink" Id="rId169" Target="https://doi.org/10.1093/plankt/fbq033" TargetMode="External" /><Relationship Type="http://schemas.openxmlformats.org/officeDocument/2006/relationships/hyperlink" Id="rId178" Target="https://doi.org/10.1100/tsw.2001.16" TargetMode="External" /><Relationship Type="http://schemas.openxmlformats.org/officeDocument/2006/relationships/hyperlink" Id="rId162" Target="https://doi.org/10.1111/j.1365-2486.2011.02488.x" TargetMode="External" /><Relationship Type="http://schemas.openxmlformats.org/officeDocument/2006/relationships/hyperlink" Id="rId238" Target="https://doi.org/10.1126/science.319.5860.158a" TargetMode="External" /><Relationship Type="http://schemas.openxmlformats.org/officeDocument/2006/relationships/hyperlink" Id="rId156" Target="https://doi.org/10.1128/aem.02250-06" TargetMode="External" /><Relationship Type="http://schemas.openxmlformats.org/officeDocument/2006/relationships/hyperlink" Id="rId91" Target="https://doi.org/10.1289/ehp.01109663" TargetMode="External" /><Relationship Type="http://schemas.openxmlformats.org/officeDocument/2006/relationships/hyperlink" Id="rId95" Target="https://doi.org/10.2166/wpt.2022.167" TargetMode="External" /><Relationship Type="http://schemas.openxmlformats.org/officeDocument/2006/relationships/hyperlink" Id="rId146" Target="https://doi.org/10.2166/wst.1992.0055" TargetMode="External" /><Relationship Type="http://schemas.openxmlformats.org/officeDocument/2006/relationships/hyperlink" Id="rId148" Target="https://doi.org/10.2166/wst.2004.0524" TargetMode="External" /><Relationship Type="http://schemas.openxmlformats.org/officeDocument/2006/relationships/hyperlink" Id="rId228" Target="https://doi.org/10.2216/i0031-8884-42-4-332.1" TargetMode="External" /><Relationship Type="http://schemas.openxmlformats.org/officeDocument/2006/relationships/hyperlink" Id="rId121" Target="https://doi.org/10.3109/10408417909082014" TargetMode="External" /><Relationship Type="http://schemas.openxmlformats.org/officeDocument/2006/relationships/hyperlink" Id="rId192" Target="https://doi.org/10.3389/fevo.2023.1216567" TargetMode="External" /><Relationship Type="http://schemas.openxmlformats.org/officeDocument/2006/relationships/hyperlink" Id="rId109" Target="https://doi.org/10.3389/frwa.2023.1084050" TargetMode="External" /><Relationship Type="http://schemas.openxmlformats.org/officeDocument/2006/relationships/hyperlink" Id="rId81" Target="https://doi.org/10.4081/jlimnol.2009.83" TargetMode="External" /><Relationship Type="http://schemas.openxmlformats.org/officeDocument/2006/relationships/hyperlink" Id="rId234" Target="https://doi.org/10.4319/lo.2010.55.1.0420" TargetMode="External" /><Relationship Type="http://schemas.openxmlformats.org/officeDocument/2006/relationships/hyperlink" Id="rId83" Target="https://doi.org/10.5942/jawwa.2017.109.0118" TargetMode="External" /><Relationship Type="http://schemas.openxmlformats.org/officeDocument/2006/relationships/hyperlink" Id="rId214"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23" Target="http://aem.asm.org/content/13/6/935.abstract" TargetMode="External" /><Relationship Type="http://schemas.openxmlformats.org/officeDocument/2006/relationships/hyperlink" Id="rId150" Target="https://doi.org/0043-1354(94)90306-9" TargetMode="External" /><Relationship Type="http://schemas.openxmlformats.org/officeDocument/2006/relationships/hyperlink" Id="rId196" Target="https://doi.org/10.1007/978-1-4939-7471-9_12" TargetMode="External" /><Relationship Type="http://schemas.openxmlformats.org/officeDocument/2006/relationships/hyperlink" Id="rId206" Target="https://doi.org/10.1007/978-94-007-3855-3_9" TargetMode="External" /><Relationship Type="http://schemas.openxmlformats.org/officeDocument/2006/relationships/hyperlink" Id="rId251" Target="https://doi.org/10.1007/978-94-017-8944-8_29" TargetMode="External" /><Relationship Type="http://schemas.openxmlformats.org/officeDocument/2006/relationships/hyperlink" Id="rId76" Target="https://doi.org/10.1007/s00018-003-2079-y" TargetMode="External" /><Relationship Type="http://schemas.openxmlformats.org/officeDocument/2006/relationships/hyperlink" Id="rId184" Target="https://doi.org/10.1007/s10201-020-00630-2" TargetMode="External" /><Relationship Type="http://schemas.openxmlformats.org/officeDocument/2006/relationships/hyperlink" Id="rId174" Target="https://doi.org/10.1007/s10661-021-08980-9" TargetMode="External" /><Relationship Type="http://schemas.openxmlformats.org/officeDocument/2006/relationships/hyperlink" Id="rId87" Target="https://doi.org/10.1007/s10811-021-02575-0" TargetMode="External" /><Relationship Type="http://schemas.openxmlformats.org/officeDocument/2006/relationships/hyperlink" Id="rId97" Target="https://doi.org/10.1007/s11356-021-12973-z" TargetMode="External" /><Relationship Type="http://schemas.openxmlformats.org/officeDocument/2006/relationships/hyperlink" Id="rId188" Target="https://doi.org/10.1007/s11434-006-2096-y" TargetMode="External" /><Relationship Type="http://schemas.openxmlformats.org/officeDocument/2006/relationships/hyperlink" Id="rId222" Target="https://doi.org/10.1007/s11783-013-0577-1" TargetMode="External" /><Relationship Type="http://schemas.openxmlformats.org/officeDocument/2006/relationships/hyperlink" Id="rId236" Target="https://doi.org/10.1007/s11783-014-0702-9" TargetMode="External" /><Relationship Type="http://schemas.openxmlformats.org/officeDocument/2006/relationships/hyperlink" Id="rId74" Target="https://doi.org/10.1007/s42398-022-00246-5" TargetMode="External" /><Relationship Type="http://schemas.openxmlformats.org/officeDocument/2006/relationships/hyperlink" Id="rId105" Target="https://doi.org/10.1016/S0043-1354(00)00363-8" TargetMode="External" /><Relationship Type="http://schemas.openxmlformats.org/officeDocument/2006/relationships/hyperlink" Id="rId204" Target="https://doi.org/10.1016/S0043-1354(00)00381-X" TargetMode="External" /><Relationship Type="http://schemas.openxmlformats.org/officeDocument/2006/relationships/hyperlink" Id="rId160" Target="https://doi.org/10.1016/b978-0-12-385876-4.00004-9" TargetMode="External" /><Relationship Type="http://schemas.openxmlformats.org/officeDocument/2006/relationships/hyperlink" Id="rId210" Target="https://doi.org/10.1016/j.cej.2022.136535" TargetMode="External" /><Relationship Type="http://schemas.openxmlformats.org/officeDocument/2006/relationships/hyperlink" Id="rId158" Target="https://doi.org/10.1016/j.chemosphere.2016.07.079" TargetMode="External" /><Relationship Type="http://schemas.openxmlformats.org/officeDocument/2006/relationships/hyperlink" Id="rId246" Target="https://doi.org/10.1016/j.chemosphere.2017.04.028" TargetMode="External" /><Relationship Type="http://schemas.openxmlformats.org/officeDocument/2006/relationships/hyperlink" Id="rId93" Target="https://doi.org/10.1016/j.ecss.2016.01.043" TargetMode="External" /><Relationship Type="http://schemas.openxmlformats.org/officeDocument/2006/relationships/hyperlink" Id="rId171" Target="https://doi.org/10.1016/j.envint.2013.06.013" TargetMode="External" /><Relationship Type="http://schemas.openxmlformats.org/officeDocument/2006/relationships/hyperlink" Id="rId190" Target="https://doi.org/10.1016/j.envpol.2021.117772" TargetMode="External" /><Relationship Type="http://schemas.openxmlformats.org/officeDocument/2006/relationships/hyperlink" Id="rId133" Target="https://doi.org/10.1016/j.hal.2005.03.001" TargetMode="External" /><Relationship Type="http://schemas.openxmlformats.org/officeDocument/2006/relationships/hyperlink" Id="rId137" Target="https://doi.org/10.1016/j.hal.2008.08.006" TargetMode="External" /><Relationship Type="http://schemas.openxmlformats.org/officeDocument/2006/relationships/hyperlink" Id="rId176" Target="https://doi.org/10.1016/j.hal.2011.10.027" TargetMode="External" /><Relationship Type="http://schemas.openxmlformats.org/officeDocument/2006/relationships/hyperlink" Id="rId198" Target="https://doi.org/10.1016/j.hal.2017.09.003" TargetMode="External" /><Relationship Type="http://schemas.openxmlformats.org/officeDocument/2006/relationships/hyperlink" Id="rId85" Target="https://doi.org/10.1016/j.hal.2017.09.006" TargetMode="External" /><Relationship Type="http://schemas.openxmlformats.org/officeDocument/2006/relationships/hyperlink" Id="rId135" Target="https://doi.org/10.1016/j.hal.2019.01.010" TargetMode="External" /><Relationship Type="http://schemas.openxmlformats.org/officeDocument/2006/relationships/hyperlink" Id="rId152" Target="https://doi.org/10.1016/j.hal.2019.101658" TargetMode="External" /><Relationship Type="http://schemas.openxmlformats.org/officeDocument/2006/relationships/hyperlink" Id="rId131" Target="https://doi.org/10.1016/j.heliyon.2021.e07706" TargetMode="External" /><Relationship Type="http://schemas.openxmlformats.org/officeDocument/2006/relationships/hyperlink" Id="rId103" Target="https://doi.org/10.1016/j.jenvman.2021.113304" TargetMode="External" /><Relationship Type="http://schemas.openxmlformats.org/officeDocument/2006/relationships/hyperlink" Id="rId164" Target="https://doi.org/10.1016/j.jglr.2014.03.016" TargetMode="External" /><Relationship Type="http://schemas.openxmlformats.org/officeDocument/2006/relationships/hyperlink" Id="rId111" Target="https://doi.org/10.1016/j.jglr.2015.10.001" TargetMode="External" /><Relationship Type="http://schemas.openxmlformats.org/officeDocument/2006/relationships/hyperlink" Id="rId72" Target="https://doi.org/10.1016/j.jglr.2025.102695" TargetMode="External" /><Relationship Type="http://schemas.openxmlformats.org/officeDocument/2006/relationships/hyperlink" Id="rId232" Target="https://doi.org/10.1016/j.jhazmat.2021.128056" TargetMode="External" /><Relationship Type="http://schemas.openxmlformats.org/officeDocument/2006/relationships/hyperlink" Id="rId242" Target="https://doi.org/10.1016/j.jhazmat.2022.129838" TargetMode="External" /><Relationship Type="http://schemas.openxmlformats.org/officeDocument/2006/relationships/hyperlink" Id="rId70" Target="https://doi.org/10.1016/j.jhazmat.2025.140118" TargetMode="External" /><Relationship Type="http://schemas.openxmlformats.org/officeDocument/2006/relationships/hyperlink" Id="rId218" Target="https://doi.org/10.1016/j.scitotenv.2016.08.134" TargetMode="External" /><Relationship Type="http://schemas.openxmlformats.org/officeDocument/2006/relationships/hyperlink" Id="rId139" Target="https://doi.org/10.1016/j.watres.2009.04.005" TargetMode="External" /><Relationship Type="http://schemas.openxmlformats.org/officeDocument/2006/relationships/hyperlink" Id="rId182" Target="https://doi.org/10.1016/j.watres.2010.09.018" TargetMode="External" /><Relationship Type="http://schemas.openxmlformats.org/officeDocument/2006/relationships/hyperlink" Id="rId180" Target="https://doi.org/10.1016/j.watres.2011.08.002" TargetMode="External" /><Relationship Type="http://schemas.openxmlformats.org/officeDocument/2006/relationships/hyperlink" Id="rId216" Target="https://doi.org/10.1016/j.watres.2013.03.043" TargetMode="External" /><Relationship Type="http://schemas.openxmlformats.org/officeDocument/2006/relationships/hyperlink" Id="rId224" Target="https://doi.org/10.1016/j.watres.2014.09.037" TargetMode="External" /><Relationship Type="http://schemas.openxmlformats.org/officeDocument/2006/relationships/hyperlink" Id="rId220" Target="https://doi.org/10.1016/j.watres.2014.09.038" TargetMode="External" /><Relationship Type="http://schemas.openxmlformats.org/officeDocument/2006/relationships/hyperlink" Id="rId244" Target="https://doi.org/10.1016/j.watres.2015.06.038" TargetMode="External" /><Relationship Type="http://schemas.openxmlformats.org/officeDocument/2006/relationships/hyperlink" Id="rId154" Target="https://doi.org/10.1016/j.watres.2018.02.041" TargetMode="External" /><Relationship Type="http://schemas.openxmlformats.org/officeDocument/2006/relationships/hyperlink" Id="rId202" Target="https://doi.org/10.1016/j.watres.2020.115959" TargetMode="External" /><Relationship Type="http://schemas.openxmlformats.org/officeDocument/2006/relationships/hyperlink" Id="rId107" Target="https://doi.org/10.1016/j.watres.2020.116478" TargetMode="External" /><Relationship Type="http://schemas.openxmlformats.org/officeDocument/2006/relationships/hyperlink" Id="rId200" Target="https://doi.org/10.1016/j.watres.2022.118573" TargetMode="External" /><Relationship Type="http://schemas.openxmlformats.org/officeDocument/2006/relationships/hyperlink" Id="rId141" Target="https://doi.org/10.1016/j.watres.2023.119693" TargetMode="External" /><Relationship Type="http://schemas.openxmlformats.org/officeDocument/2006/relationships/hyperlink" Id="rId248" Target="https://doi.org/10.1016/j.watres.2023.119807" TargetMode="External" /><Relationship Type="http://schemas.openxmlformats.org/officeDocument/2006/relationships/hyperlink" Id="rId167" Target="https://doi.org/10.1016/j.watres.2023.120485" TargetMode="External" /><Relationship Type="http://schemas.openxmlformats.org/officeDocument/2006/relationships/hyperlink" Id="rId115" Target="https://doi.org/10.1016/j.watres.2024.122509" TargetMode="External" /><Relationship Type="http://schemas.openxmlformats.org/officeDocument/2006/relationships/hyperlink" Id="rId129" Target="https://doi.org/10.1016/j.watres.2024.122767" TargetMode="External" /><Relationship Type="http://schemas.openxmlformats.org/officeDocument/2006/relationships/hyperlink" Id="rId89" Target="https://doi.org/10.1016/j.watres.2025.123336" TargetMode="External" /><Relationship Type="http://schemas.openxmlformats.org/officeDocument/2006/relationships/hyperlink" Id="rId99" Target="https://doi.org/10.1016/j.watres.2025.124388" TargetMode="External" /><Relationship Type="http://schemas.openxmlformats.org/officeDocument/2006/relationships/hyperlink" Id="rId212" Target="https://doi.org/10.1016/s1001-0742(10)60367-1" TargetMode="External" /><Relationship Type="http://schemas.openxmlformats.org/officeDocument/2006/relationships/hyperlink" Id="rId186" Target="https://doi.org/10.1021/acs.est.0c06653" TargetMode="External" /><Relationship Type="http://schemas.openxmlformats.org/officeDocument/2006/relationships/hyperlink" Id="rId240" Target="https://doi.org/10.1021/acsestwater.2c00624" TargetMode="External" /><Relationship Type="http://schemas.openxmlformats.org/officeDocument/2006/relationships/hyperlink" Id="rId125" Target="https://doi.org/10.1021/es102992p" TargetMode="External" /><Relationship Type="http://schemas.openxmlformats.org/officeDocument/2006/relationships/hyperlink" Id="rId127" Target="https://doi.org/10.1021/es801465w" TargetMode="External" /><Relationship Type="http://schemas.openxmlformats.org/officeDocument/2006/relationships/hyperlink" Id="rId113" Target="https://doi.org/10.1038/nmeth.2604" TargetMode="External" /><Relationship Type="http://schemas.openxmlformats.org/officeDocument/2006/relationships/hyperlink" Id="rId144" Target="https://doi.org/10.1038/s41579-018-0040-1" TargetMode="External" /><Relationship Type="http://schemas.openxmlformats.org/officeDocument/2006/relationships/hyperlink" Id="rId117" Target="https://doi.org/10.1038/s41586-021-03254-3" TargetMode="External" /><Relationship Type="http://schemas.openxmlformats.org/officeDocument/2006/relationships/hyperlink" Id="rId79" Target="https://doi.org/10.1038/s41587-019-0252-6" TargetMode="External" /><Relationship Type="http://schemas.openxmlformats.org/officeDocument/2006/relationships/hyperlink" Id="rId101" Target="https://doi.org/10.1038/s41598-020-64774-y" TargetMode="External" /><Relationship Type="http://schemas.openxmlformats.org/officeDocument/2006/relationships/hyperlink" Id="rId230" Target="https://doi.org/10.1038/s43017-020-0067-5" TargetMode="External" /><Relationship Type="http://schemas.openxmlformats.org/officeDocument/2006/relationships/hyperlink" Id="rId119" Target="https://doi.org/10.1042/bst0330164" TargetMode="External" /><Relationship Type="http://schemas.openxmlformats.org/officeDocument/2006/relationships/hyperlink" Id="rId208" Target="https://doi.org/10.1080/07388550500248498" TargetMode="External" /><Relationship Type="http://schemas.openxmlformats.org/officeDocument/2006/relationships/hyperlink" Id="rId226" Target="https://doi.org/10.1080/07438148409354521" TargetMode="External" /><Relationship Type="http://schemas.openxmlformats.org/officeDocument/2006/relationships/hyperlink" Id="rId194" Target="https://doi.org/10.1093/nar/gks1219" TargetMode="External" /><Relationship Type="http://schemas.openxmlformats.org/officeDocument/2006/relationships/hyperlink" Id="rId169" Target="https://doi.org/10.1093/plankt/fbq033" TargetMode="External" /><Relationship Type="http://schemas.openxmlformats.org/officeDocument/2006/relationships/hyperlink" Id="rId178" Target="https://doi.org/10.1100/tsw.2001.16" TargetMode="External" /><Relationship Type="http://schemas.openxmlformats.org/officeDocument/2006/relationships/hyperlink" Id="rId162" Target="https://doi.org/10.1111/j.1365-2486.2011.02488.x" TargetMode="External" /><Relationship Type="http://schemas.openxmlformats.org/officeDocument/2006/relationships/hyperlink" Id="rId238" Target="https://doi.org/10.1126/science.319.5860.158a" TargetMode="External" /><Relationship Type="http://schemas.openxmlformats.org/officeDocument/2006/relationships/hyperlink" Id="rId156" Target="https://doi.org/10.1128/aem.02250-06" TargetMode="External" /><Relationship Type="http://schemas.openxmlformats.org/officeDocument/2006/relationships/hyperlink" Id="rId91" Target="https://doi.org/10.1289/ehp.01109663" TargetMode="External" /><Relationship Type="http://schemas.openxmlformats.org/officeDocument/2006/relationships/hyperlink" Id="rId95" Target="https://doi.org/10.2166/wpt.2022.167" TargetMode="External" /><Relationship Type="http://schemas.openxmlformats.org/officeDocument/2006/relationships/hyperlink" Id="rId146" Target="https://doi.org/10.2166/wst.1992.0055" TargetMode="External" /><Relationship Type="http://schemas.openxmlformats.org/officeDocument/2006/relationships/hyperlink" Id="rId148" Target="https://doi.org/10.2166/wst.2004.0524" TargetMode="External" /><Relationship Type="http://schemas.openxmlformats.org/officeDocument/2006/relationships/hyperlink" Id="rId228" Target="https://doi.org/10.2216/i0031-8884-42-4-332.1" TargetMode="External" /><Relationship Type="http://schemas.openxmlformats.org/officeDocument/2006/relationships/hyperlink" Id="rId121" Target="https://doi.org/10.3109/10408417909082014" TargetMode="External" /><Relationship Type="http://schemas.openxmlformats.org/officeDocument/2006/relationships/hyperlink" Id="rId192" Target="https://doi.org/10.3389/fevo.2023.1216567" TargetMode="External" /><Relationship Type="http://schemas.openxmlformats.org/officeDocument/2006/relationships/hyperlink" Id="rId109" Target="https://doi.org/10.3389/frwa.2023.1084050" TargetMode="External" /><Relationship Type="http://schemas.openxmlformats.org/officeDocument/2006/relationships/hyperlink" Id="rId81" Target="https://doi.org/10.4081/jlimnol.2009.83" TargetMode="External" /><Relationship Type="http://schemas.openxmlformats.org/officeDocument/2006/relationships/hyperlink" Id="rId234" Target="https://doi.org/10.4319/lo.2010.55.1.0420" TargetMode="External" /><Relationship Type="http://schemas.openxmlformats.org/officeDocument/2006/relationships/hyperlink" Id="rId83" Target="https://doi.org/10.5942/jawwa.2017.109.0118" TargetMode="External" /><Relationship Type="http://schemas.openxmlformats.org/officeDocument/2006/relationships/hyperlink" Id="rId214"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Jie Yangc, Jihui Qind, Ming Su ID,b,f,*, Ziyi Yangb,f, Qi Zhange, Yufan Aib,f, Jiao Fangb, Yingjie Lib,f, Yuanhong Xiaod, Zhixiang Haoc, Zhengyan Lia, and Min Yangb,f</dc:creator>
  <dc:language>en</dc:language>
  <cp:keywords/>
  <dcterms:created xsi:type="dcterms:W3CDTF">2026-03-15T08:27:24Z</dcterms:created>
  <dcterms:modified xsi:type="dcterms:W3CDTF">2026-03-15T08:27:24Z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True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