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 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 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 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 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 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 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 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 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 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 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This estimate is supported by both the 5-week optimal lag identified from weekly lagged-correlation analysis and the 6.7-week delay inferred from the observed time-series pattern, which together indicate a comparable multi-week early-warning interval despite differences in method. 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 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 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852–857.</w:t>
      </w:r>
      <w:r>
        <w:t xml:space="preserve"> </w:t>
      </w:r>
      <w:hyperlink r:id="rId80">
        <w:r>
          <w:rPr>
            <w:rStyle w:val="Hyperlink"/>
          </w:rPr>
          <w:t xml:space="preserve">https://doi.org/10.1038/s41587-019-0209-9</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2026-03-20T00:33:42Z</dcterms:created>
  <dcterms:modified xsi:type="dcterms:W3CDTF">2026-03-20T00:33:42Z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