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3.png" ContentType="image/png"/>
  <Override PartName="/word/media/rId41.png" ContentType="image/png"/>
  <Override PartName="/word/media/rId37.png" ContentType="image/png"/>
  <Override PartName="/word/media/rId45.png" ContentType="image/png"/>
  <Override PartName="/word/media/rId49.png" ContentType="image/png"/>
  <Override PartName="/word/media/rId29.png" ContentType="image/png"/>
  <Override PartName="/word/media/rId57.png" ContentType="image/png"/>
  <Override PartName="/word/media/rId53.png" ContentType="image/png"/>
  <Override PartName="/word/media/rId21.png" ContentType="image/png"/>
  <Override PartName="/word/media/rId2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MIB-derived odor management based upon hydraulic regulation in small drinking water reservoirs: principle and application</w:t>
      </w:r>
    </w:p>
    <w:p>
      <w:pPr>
        <w:pStyle w:val="Date"/>
      </w:pPr>
      <w:r>
        <w:t xml:space="preserve">2024-12-19</w:t>
      </w:r>
    </w:p>
    <w:p>
      <w:pPr>
        <w:pStyle w:val="FirstParagraph"/>
      </w:pPr>
      <w:r>
        <w:t xml:space="preserve">Jinping Lu</w:t>
      </w:r>
      <w:r>
        <w:rPr>
          <w:vertAlign w:val="superscript"/>
        </w:rPr>
        <w:t xml:space="preserve">1,4</w:t>
      </w:r>
      <w:r>
        <w:t xml:space="preserve">, </w:t>
      </w:r>
      <w:r>
        <w:t xml:space="preserve">Ming Su</w:t>
      </w:r>
      <w:r>
        <w:rPr>
          <w:vertAlign w:val="superscript"/>
        </w:rPr>
        <w:t xml:space="preserve">1,4,*</w:t>
      </w:r>
      <w:r>
        <w:t xml:space="preserve">, </w:t>
      </w:r>
      <w:r>
        <w:t xml:space="preserve">Yuliang Su</w:t>
      </w:r>
      <w:r>
        <w:rPr>
          <w:vertAlign w:val="superscript"/>
        </w:rPr>
        <w:t xml:space="preserve">2</w:t>
      </w:r>
      <w:r>
        <w:t xml:space="preserve">, </w:t>
      </w:r>
      <w:r>
        <w:t xml:space="preserve">Jiao Fang</w:t>
      </w:r>
      <w:r>
        <w:rPr>
          <w:vertAlign w:val="superscript"/>
        </w:rPr>
        <w:t xml:space="preserve">1</w:t>
      </w:r>
      <w:r>
        <w:t xml:space="preserve">, </w:t>
      </w:r>
      <w:r>
        <w:t xml:space="preserve">Michael Burch</w:t>
      </w:r>
      <w:r>
        <w:rPr>
          <w:vertAlign w:val="superscript"/>
        </w:rPr>
        <w:t xml:space="preserve">3</w:t>
      </w:r>
      <w:r>
        <w:t xml:space="preserve">, </w:t>
      </w:r>
      <w:r>
        <w:t xml:space="preserve">Tengxin Cao</w:t>
      </w:r>
      <w:r>
        <w:rPr>
          <w:vertAlign w:val="superscript"/>
        </w:rPr>
        <w:t xml:space="preserve">1,4</w:t>
      </w:r>
      <w:r>
        <w:t xml:space="preserve">, </w:t>
      </w:r>
      <w:r>
        <w:t xml:space="preserve">Bin Wu</w:t>
      </w:r>
      <w:r>
        <w:rPr>
          <w:vertAlign w:val="superscript"/>
        </w:rPr>
        <w:t xml:space="preserve">2</w:t>
      </w:r>
      <w:r>
        <w:t xml:space="preserve">, </w:t>
      </w:r>
      <w:r>
        <w:t xml:space="preserve">Jianwei Yu</w:t>
      </w:r>
      <w:r>
        <w:rPr>
          <w:vertAlign w:val="superscript"/>
        </w:rPr>
        <w:t xml:space="preserve">1,4</w:t>
      </w:r>
      <w:r>
        <w:t xml:space="preserve">, </w:t>
      </w:r>
      <w:r>
        <w:t xml:space="preserve">Min Yang</w:t>
      </w:r>
      <w:r>
        <w:rPr>
          <w:vertAlign w:val="superscript"/>
        </w:rPr>
        <w:t xml:space="preserve">1,4,*</w:t>
      </w:r>
    </w:p>
    <w:p>
      <w:pPr>
        <w:pStyle w:val="BodyText"/>
      </w:pPr>
      <w:r>
        <w:t xml:space="preserve">1. State Key Laboratory of Environmental Aquatic Chemistry, Research Center for Eco-Environmental Sciences, Chinese Academy of Sciences, P.O. Box 2871, Beijing, 100085.</w:t>
      </w:r>
    </w:p>
    <w:p>
      <w:pPr>
        <w:pStyle w:val="BodyText"/>
      </w:pPr>
      <w:r>
        <w:t xml:space="preserve">2. Zhuhai Water Environment Holdings Group Ltd., Zhuhai, 519020.</w:t>
      </w:r>
    </w:p>
    <w:p>
      <w:pPr>
        <w:pStyle w:val="BodyText"/>
      </w:pPr>
      <w:r>
        <w:t xml:space="preserve">3. School of Biological Sciences, The University of Adelaide, SA, 5005.</w:t>
      </w:r>
    </w:p>
    <w:p>
      <w:pPr>
        <w:pStyle w:val="BodyText"/>
      </w:pPr>
      <w:r>
        <w:t xml:space="preserve">4. University of Chinese Academy of Sciences, Beijing, 100049.</w:t>
      </w:r>
    </w:p>
    <w:p>
      <w:pPr>
        <w:pStyle w:val="BodyText"/>
      </w:pPr>
      <w:r>
        <w:t xml:space="preserve">* Corresponding Author: Min Yang (</w:t>
      </w:r>
      <w:hyperlink r:id="rId20">
        <w:r>
          <w:rPr>
            <w:rStyle w:val="Hyperlink"/>
          </w:rPr>
          <w:t xml:space="preserve">yangmin@rcees.ac.cn</w:t>
        </w:r>
      </w:hyperlink>
      <w:r>
        <w:t xml:space="preserve">)</w:t>
      </w:r>
    </w:p>
    <w:bookmarkStart w:id="71" w:name="supplementary-material"/>
    <w:p>
      <w:pPr>
        <w:pStyle w:val="Heading1"/>
      </w:pPr>
      <w:r>
        <w:t xml:space="preserve">Supplementary Material</w:t>
      </w:r>
    </w:p>
    <w:p>
      <w:pPr>
        <w:pStyle w:val="FirstParagraph"/>
      </w:pPr>
      <w:r>
        <w:t xml:space="preserve">Figures and/or tables are provided below as the supplementary evidences to the main text.</w:t>
      </w:r>
    </w:p>
    <w:p>
      <w:r>
        <w:br w:type="page"/>
      </w:r>
    </w:p>
    <w:tbl>
      <w:tblPr>
        <w:tblStyle w:val="Table"/>
        <w:tblW w:type="pct" w:w="5000"/>
        <w:tblLayout w:type="fixed"/>
        <w:tblLook w:firstRow="0" w:lastRow="0" w:firstColumn="0" w:lastColumn="0" w:noHBand="0" w:noVBand="0" w:val="0000"/>
      </w:tblPr>
      <w:tblGrid>
        <w:gridCol w:w="7920"/>
      </w:tblGrid>
      <w:tr>
        <w:tc>
          <w:tcPr/>
          <w:bookmarkStart w:id="24" w:name="fig-samplingsite"/>
          <w:p>
            <w:pPr>
              <w:pStyle w:val="Compact"/>
              <w:jc w:val="center"/>
            </w:pPr>
            <w:r>
              <w:drawing>
                <wp:inline>
                  <wp:extent cx="4602480" cy="1570322"/>
                  <wp:effectExtent b="0" l="0" r="0" t="0"/>
                  <wp:docPr descr="" title="" id="22" name="Picture"/>
                  <a:graphic>
                    <a:graphicData uri="http://schemas.openxmlformats.org/drawingml/2006/picture">
                      <pic:pic>
                        <pic:nvPicPr>
                          <pic:cNvPr descr="./figures/samplingsite.png" id="23" name="Picture"/>
                          <pic:cNvPicPr>
                            <a:picLocks noChangeArrowheads="1" noChangeAspect="1"/>
                          </pic:cNvPicPr>
                        </pic:nvPicPr>
                        <pic:blipFill>
                          <a:blip r:embed="rId21"/>
                          <a:stretch>
                            <a:fillRect/>
                          </a:stretch>
                        </pic:blipFill>
                        <pic:spPr bwMode="auto">
                          <a:xfrm>
                            <a:off x="0" y="0"/>
                            <a:ext cx="4602480" cy="1570322"/>
                          </a:xfrm>
                          <a:prstGeom prst="rect">
                            <a:avLst/>
                          </a:prstGeom>
                          <a:noFill/>
                          <a:ln w="9525">
                            <a:noFill/>
                            <a:headEnd/>
                            <a:tailEnd/>
                          </a:ln>
                        </pic:spPr>
                      </pic:pic>
                    </a:graphicData>
                  </a:graphic>
                </wp:inline>
              </w:drawing>
            </w:r>
          </w:p>
          <w:p>
            <w:pPr>
              <w:jc w:val="center"/>
            </w:pPr>
            <w:pPr>
              <w:jc w:val="start"/>
              <w:spacing w:before="200"/>
              <w:pStyle w:val="ImageCaption"/>
            </w:pPr>
            <w:r>
              <w:t xml:space="preserve">Fig. 1 The sampling sites in NP (A) and ZXD (B) Reservoirs</w:t>
            </w:r>
          </w:p>
          <w:bookmarkEnd w:id="24"/>
        </w:tc>
      </w:tr>
    </w:tbl>
    <w:p>
      <w:r>
        <w:br w:type="page"/>
      </w:r>
    </w:p>
    <w:tbl>
      <w:tblPr>
        <w:tblStyle w:val="Table"/>
        <w:tblW w:type="pct" w:w="5000"/>
        <w:tblLayout w:type="fixed"/>
        <w:tblLook w:firstRow="0" w:lastRow="0" w:firstColumn="0" w:lastColumn="0" w:noHBand="0" w:noVBand="0" w:val="0000"/>
      </w:tblPr>
      <w:tblGrid>
        <w:gridCol w:w="7920"/>
      </w:tblGrid>
      <w:tr>
        <w:tc>
          <w:tcPr/>
          <w:bookmarkStart w:id="28" w:name="fig-tempprofile"/>
          <w:p>
            <w:pPr>
              <w:pStyle w:val="Compact"/>
              <w:jc w:val="center"/>
            </w:pPr>
            <w:r>
              <w:drawing>
                <wp:inline>
                  <wp:extent cx="3451860" cy="3451860"/>
                  <wp:effectExtent b="0" l="0" r="0" t="0"/>
                  <wp:docPr descr="" title="" id="26" name="Picture"/>
                  <a:graphic>
                    <a:graphicData uri="http://schemas.openxmlformats.org/drawingml/2006/picture">
                      <pic:pic>
                        <pic:nvPicPr>
                          <pic:cNvPr descr="./figures/tempprofile.png" id="27" name="Picture"/>
                          <pic:cNvPicPr>
                            <a:picLocks noChangeArrowheads="1" noChangeAspect="1"/>
                          </pic:cNvPicPr>
                        </pic:nvPicPr>
                        <pic:blipFill>
                          <a:blip r:embed="rId25"/>
                          <a:stretch>
                            <a:fillRect/>
                          </a:stretch>
                        </pic:blipFill>
                        <pic:spPr bwMode="auto">
                          <a:xfrm>
                            <a:off x="0" y="0"/>
                            <a:ext cx="3451860" cy="3451860"/>
                          </a:xfrm>
                          <a:prstGeom prst="rect">
                            <a:avLst/>
                          </a:prstGeom>
                          <a:noFill/>
                          <a:ln w="9525">
                            <a:noFill/>
                            <a:headEnd/>
                            <a:tailEnd/>
                          </a:ln>
                        </pic:spPr>
                      </pic:pic>
                    </a:graphicData>
                  </a:graphic>
                </wp:inline>
              </w:drawing>
            </w:r>
          </w:p>
          <w:p>
            <w:pPr>
              <w:jc w:val="center"/>
            </w:pPr>
            <w:pPr>
              <w:jc w:val="start"/>
              <w:spacing w:before="200"/>
              <w:pStyle w:val="ImageCaption"/>
            </w:pPr>
            <w:r>
              <w:t xml:space="preserve">Fig. 2 Temperature profile of NP and ZXD Reservoirs</w:t>
            </w:r>
          </w:p>
          <w:bookmarkEnd w:id="28"/>
        </w:tc>
      </w:tr>
    </w:tbl>
    <w:p>
      <w:r>
        <w:br w:type="page"/>
      </w:r>
    </w:p>
    <w:tbl>
      <w:tblPr>
        <w:tblStyle w:val="Table"/>
        <w:tblW w:type="pct" w:w="5000"/>
        <w:tblLayout w:type="fixed"/>
        <w:tblLook w:firstRow="0" w:lastRow="0" w:firstColumn="0" w:lastColumn="0" w:noHBand="0" w:noVBand="0" w:val="0000"/>
      </w:tblPr>
      <w:tblGrid>
        <w:gridCol w:w="7920"/>
      </w:tblGrid>
      <w:tr>
        <w:tc>
          <w:tcPr/>
          <w:bookmarkStart w:id="32" w:name="fig-cultureexpdesign"/>
          <w:p>
            <w:pPr>
              <w:pStyle w:val="Compact"/>
              <w:jc w:val="center"/>
            </w:pPr>
            <w:r>
              <w:drawing>
                <wp:inline>
                  <wp:extent cx="4602480" cy="2277784"/>
                  <wp:effectExtent b="0" l="0" r="0" t="0"/>
                  <wp:docPr descr="" title="" id="30" name="Picture"/>
                  <a:graphic>
                    <a:graphicData uri="http://schemas.openxmlformats.org/drawingml/2006/picture">
                      <pic:pic>
                        <pic:nvPicPr>
                          <pic:cNvPr descr="./figures/cultureexpdesign.png" id="31" name="Picture"/>
                          <pic:cNvPicPr>
                            <a:picLocks noChangeArrowheads="1" noChangeAspect="1"/>
                          </pic:cNvPicPr>
                        </pic:nvPicPr>
                        <pic:blipFill>
                          <a:blip r:embed="rId29"/>
                          <a:stretch>
                            <a:fillRect/>
                          </a:stretch>
                        </pic:blipFill>
                        <pic:spPr bwMode="auto">
                          <a:xfrm>
                            <a:off x="0" y="0"/>
                            <a:ext cx="4602480" cy="2277784"/>
                          </a:xfrm>
                          <a:prstGeom prst="rect">
                            <a:avLst/>
                          </a:prstGeom>
                          <a:noFill/>
                          <a:ln w="9525">
                            <a:noFill/>
                            <a:headEnd/>
                            <a:tailEnd/>
                          </a:ln>
                        </pic:spPr>
                      </pic:pic>
                    </a:graphicData>
                  </a:graphic>
                </wp:inline>
              </w:drawing>
            </w:r>
          </w:p>
          <w:p>
            <w:pPr>
              <w:jc w:val="center"/>
            </w:pPr>
            <w:pPr>
              <w:jc w:val="start"/>
              <w:spacing w:before="200"/>
              <w:pStyle w:val="ImageCaption"/>
            </w:pPr>
            <w:r>
              <w:t xml:space="preserve">Fig. 3 The schematic diagram of the experimental apparatus and the detailed design for the experiment</w:t>
            </w:r>
          </w:p>
          <w:bookmarkEnd w:id="32"/>
        </w:tc>
      </w:tr>
    </w:tbl>
    <w:p>
      <w:r>
        <w:br w:type="page"/>
      </w:r>
    </w:p>
    <w:tbl>
      <w:tblPr>
        <w:tblStyle w:val="Table"/>
        <w:tblW w:type="pct" w:w="5000"/>
        <w:tblLayout w:type="fixed"/>
        <w:tblLook w:firstRow="0" w:lastRow="0" w:firstColumn="0" w:lastColumn="0" w:noHBand="0" w:noVBand="0" w:val="0000"/>
      </w:tblPr>
      <w:tblGrid>
        <w:gridCol w:w="7920"/>
      </w:tblGrid>
      <w:tr>
        <w:tc>
          <w:tcPr/>
          <w:bookmarkStart w:id="36" w:name="fig-NPhrtmibdynamic"/>
          <w:p>
            <w:pPr>
              <w:pStyle w:val="Compact"/>
              <w:jc w:val="center"/>
            </w:pPr>
            <w:r>
              <w:drawing>
                <wp:inline>
                  <wp:extent cx="4602480" cy="1839161"/>
                  <wp:effectExtent b="0" l="0" r="0" t="0"/>
                  <wp:docPr descr="" title="" id="34" name="Picture"/>
                  <a:graphic>
                    <a:graphicData uri="http://schemas.openxmlformats.org/drawingml/2006/picture">
                      <pic:pic>
                        <pic:nvPicPr>
                          <pic:cNvPr descr="./figures/NPhrtmibdynamic.png" id="35" name="Picture"/>
                          <pic:cNvPicPr>
                            <a:picLocks noChangeArrowheads="1" noChangeAspect="1"/>
                          </pic:cNvPicPr>
                        </pic:nvPicPr>
                        <pic:blipFill>
                          <a:blip r:embed="rId33"/>
                          <a:stretch>
                            <a:fillRect/>
                          </a:stretch>
                        </pic:blipFill>
                        <pic:spPr bwMode="auto">
                          <a:xfrm>
                            <a:off x="0" y="0"/>
                            <a:ext cx="4602480" cy="1839161"/>
                          </a:xfrm>
                          <a:prstGeom prst="rect">
                            <a:avLst/>
                          </a:prstGeom>
                          <a:noFill/>
                          <a:ln w="9525">
                            <a:noFill/>
                            <a:headEnd/>
                            <a:tailEnd/>
                          </a:ln>
                        </pic:spPr>
                      </pic:pic>
                    </a:graphicData>
                  </a:graphic>
                </wp:inline>
              </w:drawing>
            </w:r>
          </w:p>
          <w:p>
            <w:pPr>
              <w:jc w:val="center"/>
            </w:pPr>
            <w:pPr>
              <w:jc w:val="start"/>
              <w:spacing w:before="200"/>
              <w:pStyle w:val="ImageCaption"/>
            </w:pPr>
            <w:r>
              <w:t xml:space="preserve">Fig. 4 The monthly variation of water residence time and MIB from 2017 to 2020. (The MIB episodes are represented by grey areas)</w:t>
            </w:r>
          </w:p>
          <w:bookmarkEnd w:id="36"/>
        </w:tc>
      </w:tr>
    </w:tbl>
    <w:p>
      <w:r>
        <w:br w:type="page"/>
      </w:r>
    </w:p>
    <w:tbl>
      <w:tblPr>
        <w:tblStyle w:val="Table"/>
        <w:tblW w:type="pct" w:w="5000"/>
        <w:tblLayout w:type="fixed"/>
        <w:tblLook w:firstRow="0" w:lastRow="0" w:firstColumn="0" w:lastColumn="0" w:noHBand="0" w:noVBand="0" w:val="0000"/>
      </w:tblPr>
      <w:tblGrid>
        <w:gridCol w:w="7920"/>
      </w:tblGrid>
      <w:tr>
        <w:tc>
          <w:tcPr/>
          <w:bookmarkStart w:id="40" w:name="fig-NPmiblimnologicalcorrelation"/>
          <w:p>
            <w:pPr>
              <w:pStyle w:val="Compact"/>
              <w:jc w:val="center"/>
            </w:pPr>
            <w:r>
              <w:drawing>
                <wp:inline>
                  <wp:extent cx="4602480" cy="1844213"/>
                  <wp:effectExtent b="0" l="0" r="0" t="0"/>
                  <wp:docPr descr="" title="" id="38" name="Picture"/>
                  <a:graphic>
                    <a:graphicData uri="http://schemas.openxmlformats.org/drawingml/2006/picture">
                      <pic:pic>
                        <pic:nvPicPr>
                          <pic:cNvPr descr="./figures/NPmiblimnologicalcorrelation.png" id="39" name="Picture"/>
                          <pic:cNvPicPr>
                            <a:picLocks noChangeArrowheads="1" noChangeAspect="1"/>
                          </pic:cNvPicPr>
                        </pic:nvPicPr>
                        <pic:blipFill>
                          <a:blip r:embed="rId37"/>
                          <a:stretch>
                            <a:fillRect/>
                          </a:stretch>
                        </pic:blipFill>
                        <pic:spPr bwMode="auto">
                          <a:xfrm>
                            <a:off x="0" y="0"/>
                            <a:ext cx="4602480" cy="1844213"/>
                          </a:xfrm>
                          <a:prstGeom prst="rect">
                            <a:avLst/>
                          </a:prstGeom>
                          <a:noFill/>
                          <a:ln w="9525">
                            <a:noFill/>
                            <a:headEnd/>
                            <a:tailEnd/>
                          </a:ln>
                        </pic:spPr>
                      </pic:pic>
                    </a:graphicData>
                  </a:graphic>
                </wp:inline>
              </w:drawing>
            </w:r>
          </w:p>
          <w:p>
            <w:pPr>
              <w:jc w:val="center"/>
            </w:pPr>
            <w:pPr>
              <w:jc w:val="start"/>
              <w:spacing w:before="200"/>
              <w:pStyle w:val="ImageCaption"/>
            </w:pPr>
            <w:r>
              <w:t xml:space="preserve">Fig. 5 The correlation analysis between MIB and some limnological parameters in NP Reservoir</w:t>
            </w:r>
          </w:p>
          <w:bookmarkEnd w:id="40"/>
        </w:tc>
      </w:tr>
    </w:tbl>
    <w:p>
      <w:r>
        <w:br w:type="page"/>
      </w:r>
    </w:p>
    <w:p>
      <w:r>
        <w:br w:type="page"/>
      </w:r>
    </w:p>
    <w:tbl>
      <w:tblPr>
        <w:tblStyle w:val="Table"/>
        <w:tblW w:type="pct" w:w="5000"/>
        <w:tblLayout w:type="fixed"/>
        <w:tblLook w:firstRow="0" w:lastRow="0" w:firstColumn="0" w:lastColumn="0" w:noHBand="0" w:noVBand="0" w:val="0000"/>
      </w:tblPr>
      <w:tblGrid>
        <w:gridCol w:w="7920"/>
      </w:tblGrid>
      <w:tr>
        <w:tc>
          <w:tcPr/>
          <w:bookmarkStart w:id="44" w:name="fig-NPhrtpmib"/>
          <w:p>
            <w:pPr>
              <w:pStyle w:val="Compact"/>
              <w:jc w:val="center"/>
            </w:pPr>
            <w:r>
              <w:drawing>
                <wp:inline>
                  <wp:extent cx="4602480" cy="2303253"/>
                  <wp:effectExtent b="0" l="0" r="0" t="0"/>
                  <wp:docPr descr="" title="" id="42" name="Picture"/>
                  <a:graphic>
                    <a:graphicData uri="http://schemas.openxmlformats.org/drawingml/2006/picture">
                      <pic:pic>
                        <pic:nvPicPr>
                          <pic:cNvPr descr="./figures/NPhrtpmib.png" id="43" name="Picture"/>
                          <pic:cNvPicPr>
                            <a:picLocks noChangeArrowheads="1" noChangeAspect="1"/>
                          </pic:cNvPicPr>
                        </pic:nvPicPr>
                        <pic:blipFill>
                          <a:blip r:embed="rId41"/>
                          <a:stretch>
                            <a:fillRect/>
                          </a:stretch>
                        </pic:blipFill>
                        <pic:spPr bwMode="auto">
                          <a:xfrm>
                            <a:off x="0" y="0"/>
                            <a:ext cx="4602480" cy="2303253"/>
                          </a:xfrm>
                          <a:prstGeom prst="rect">
                            <a:avLst/>
                          </a:prstGeom>
                          <a:noFill/>
                          <a:ln w="9525">
                            <a:noFill/>
                            <a:headEnd/>
                            <a:tailEnd/>
                          </a:ln>
                        </pic:spPr>
                      </pic:pic>
                    </a:graphicData>
                  </a:graphic>
                </wp:inline>
              </w:drawing>
            </w:r>
          </w:p>
          <w:p>
            <w:pPr>
              <w:jc w:val="center"/>
            </w:pPr>
            <w:pPr>
              <w:jc w:val="start"/>
              <w:spacing w:before="200"/>
              <w:pStyle w:val="ImageCaption"/>
            </w:pPr>
            <w:r>
              <w:t xml:space="preserve">Fig. 6 The relationship between MIB episode ration and HRT in NP Reservoir</w:t>
            </w:r>
          </w:p>
          <w:bookmarkEnd w:id="44"/>
        </w:tc>
      </w:tr>
    </w:tbl>
    <w:p>
      <w:r>
        <w:br w:type="page"/>
      </w:r>
    </w:p>
    <w:tbl>
      <w:tblPr>
        <w:tblStyle w:val="Table"/>
        <w:tblW w:type="pct" w:w="5000"/>
        <w:tblLayout w:type="fixed"/>
        <w:tblLook w:firstRow="0" w:lastRow="0" w:firstColumn="0" w:lastColumn="0" w:noHBand="0" w:noVBand="0" w:val="0000"/>
      </w:tblPr>
      <w:tblGrid>
        <w:gridCol w:w="7920"/>
      </w:tblGrid>
      <w:tr>
        <w:tc>
          <w:tcPr/>
          <w:bookmarkStart w:id="48" w:name="fig-ZXDpseudmib"/>
          <w:p>
            <w:pPr>
              <w:pStyle w:val="Compact"/>
              <w:jc w:val="center"/>
            </w:pPr>
            <w:r>
              <w:drawing>
                <wp:inline>
                  <wp:extent cx="4529328" cy="2907792"/>
                  <wp:effectExtent b="0" l="0" r="0" t="0"/>
                  <wp:docPr descr="" title="" id="46" name="Picture"/>
                  <a:graphic>
                    <a:graphicData uri="http://schemas.openxmlformats.org/drawingml/2006/picture">
                      <pic:pic>
                        <pic:nvPicPr>
                          <pic:cNvPr descr="./figures/ZXDpseudmib.png" id="47" name="Picture"/>
                          <pic:cNvPicPr>
                            <a:picLocks noChangeArrowheads="1" noChangeAspect="1"/>
                          </pic:cNvPicPr>
                        </pic:nvPicPr>
                        <pic:blipFill>
                          <a:blip r:embed="rId45"/>
                          <a:stretch>
                            <a:fillRect/>
                          </a:stretch>
                        </pic:blipFill>
                        <pic:spPr bwMode="auto">
                          <a:xfrm>
                            <a:off x="0" y="0"/>
                            <a:ext cx="4529328" cy="2907792"/>
                          </a:xfrm>
                          <a:prstGeom prst="rect">
                            <a:avLst/>
                          </a:prstGeom>
                          <a:noFill/>
                          <a:ln w="9525">
                            <a:noFill/>
                            <a:headEnd/>
                            <a:tailEnd/>
                          </a:ln>
                        </pic:spPr>
                      </pic:pic>
                    </a:graphicData>
                  </a:graphic>
                </wp:inline>
              </w:drawing>
            </w:r>
          </w:p>
          <w:p>
            <w:pPr>
              <w:jc w:val="center"/>
            </w:pPr>
            <w:pPr>
              <w:jc w:val="start"/>
              <w:spacing w:before="200"/>
              <w:pStyle w:val="ImageCaption"/>
            </w:pPr>
            <w:r>
              <w:t xml:space="preserve">Fig. 7 The relationship between</w:t>
            </w:r>
            <w:r>
              <w:t xml:space="preserve"> </w:t>
            </w:r>
            <w:r>
              <w:rPr>
                <w:i/>
                <w:iCs/>
              </w:rPr>
              <w:t xml:space="preserve">Pseudanabaena</w:t>
            </w:r>
            <w:r>
              <w:t xml:space="preserve"> </w:t>
            </w:r>
            <w:r>
              <w:t xml:space="preserve">abundance and MIB concentration in ZXD Reservoir.</w:t>
            </w:r>
          </w:p>
          <w:bookmarkEnd w:id="48"/>
        </w:tc>
      </w:tr>
    </w:tbl>
    <w:p>
      <w:r>
        <w:br w:type="page"/>
      </w:r>
    </w:p>
    <w:tbl>
      <w:tblPr>
        <w:tblStyle w:val="Table"/>
        <w:tblW w:type="pct" w:w="5000"/>
        <w:tblLayout w:type="fixed"/>
        <w:tblLook w:firstRow="0" w:lastRow="0" w:firstColumn="0" w:lastColumn="0" w:noHBand="0" w:noVBand="0" w:val="0000"/>
      </w:tblPr>
      <w:tblGrid>
        <w:gridCol w:w="7920"/>
      </w:tblGrid>
      <w:tr>
        <w:tc>
          <w:tcPr/>
          <w:bookmarkStart w:id="52" w:name="fig-ZXDwq"/>
          <w:p>
            <w:pPr>
              <w:pStyle w:val="Compact"/>
              <w:jc w:val="center"/>
            </w:pPr>
            <w:r>
              <w:drawing>
                <wp:inline>
                  <wp:extent cx="4602480" cy="4602480"/>
                  <wp:effectExtent b="0" l="0" r="0" t="0"/>
                  <wp:docPr descr="" title="" id="50" name="Picture"/>
                  <a:graphic>
                    <a:graphicData uri="http://schemas.openxmlformats.org/drawingml/2006/picture">
                      <pic:pic>
                        <pic:nvPicPr>
                          <pic:cNvPr descr="./figures/ZXDwq.png" id="51" name="Picture"/>
                          <pic:cNvPicPr>
                            <a:picLocks noChangeArrowheads="1" noChangeAspect="1"/>
                          </pic:cNvPicPr>
                        </pic:nvPicPr>
                        <pic:blipFill>
                          <a:blip r:embed="rId49"/>
                          <a:stretch>
                            <a:fillRect/>
                          </a:stretch>
                        </pic:blipFill>
                        <pic:spPr bwMode="auto">
                          <a:xfrm>
                            <a:off x="0" y="0"/>
                            <a:ext cx="4602480" cy="4602480"/>
                          </a:xfrm>
                          <a:prstGeom prst="rect">
                            <a:avLst/>
                          </a:prstGeom>
                          <a:noFill/>
                          <a:ln w="9525">
                            <a:noFill/>
                            <a:headEnd/>
                            <a:tailEnd/>
                          </a:ln>
                        </pic:spPr>
                      </pic:pic>
                    </a:graphicData>
                  </a:graphic>
                </wp:inline>
              </w:drawing>
            </w:r>
          </w:p>
          <w:p>
            <w:pPr>
              <w:jc w:val="center"/>
            </w:pPr>
            <w:pPr>
              <w:jc w:val="start"/>
              <w:spacing w:before="200"/>
              <w:pStyle w:val="ImageCaption"/>
            </w:pPr>
            <w:r>
              <w:t xml:space="preserve">Fig. 8 The vertical variation of water quality parameters in ZXD Reservoir during the investigation period (April 2021) (A: Temperature (Temp); B : Chlorophyll</w:t>
            </w:r>
            <w:r>
              <w:t xml:space="preserve"> </w:t>
            </w:r>
            <w:r>
              <w:rPr>
                <w:i/>
                <w:iCs/>
              </w:rPr>
              <w:t xml:space="preserve">a</w:t>
            </w:r>
            <w:r>
              <w:t xml:space="preserve"> </w:t>
            </w:r>
            <w:r>
              <w:t xml:space="preserve">(Chl</w:t>
            </w:r>
            <w:r>
              <w:t xml:space="preserve"> </w:t>
            </w:r>
            <w:r>
              <w:rPr>
                <w:i/>
                <w:iCs/>
              </w:rPr>
              <w:t xml:space="preserve">a</w:t>
            </w:r>
            <w:r>
              <w:t xml:space="preserve">); C : Phycocyanin (PC); D : Turbidity (Turb).</w:t>
            </w:r>
          </w:p>
          <w:bookmarkEnd w:id="52"/>
        </w:tc>
      </w:tr>
    </w:tbl>
    <w:p>
      <w:r>
        <w:br w:type="page"/>
      </w:r>
    </w:p>
    <w:tbl>
      <w:tblPr>
        <w:tblStyle w:val="Table"/>
        <w:tblW w:type="pct" w:w="5000"/>
        <w:tblLayout w:type="fixed"/>
        <w:tblLook w:firstRow="0" w:lastRow="0" w:firstColumn="0" w:lastColumn="0" w:noHBand="0" w:noVBand="0" w:val="0000"/>
      </w:tblPr>
      <w:tblGrid>
        <w:gridCol w:w="7920"/>
      </w:tblGrid>
      <w:tr>
        <w:tc>
          <w:tcPr/>
          <w:bookmarkStart w:id="56" w:name="fig-phytacompare"/>
          <w:p>
            <w:pPr>
              <w:pStyle w:val="Compact"/>
              <w:jc w:val="center"/>
            </w:pPr>
            <w:r>
              <w:drawing>
                <wp:inline>
                  <wp:extent cx="4602480" cy="2896479"/>
                  <wp:effectExtent b="0" l="0" r="0" t="0"/>
                  <wp:docPr descr="" title="" id="54" name="Picture"/>
                  <a:graphic>
                    <a:graphicData uri="http://schemas.openxmlformats.org/drawingml/2006/picture">
                      <pic:pic>
                        <pic:nvPicPr>
                          <pic:cNvPr descr="./figures/phytacompare.png" id="55" name="Picture"/>
                          <pic:cNvPicPr>
                            <a:picLocks noChangeArrowheads="1" noChangeAspect="1"/>
                          </pic:cNvPicPr>
                        </pic:nvPicPr>
                        <pic:blipFill>
                          <a:blip r:embed="rId53"/>
                          <a:stretch>
                            <a:fillRect/>
                          </a:stretch>
                        </pic:blipFill>
                        <pic:spPr bwMode="auto">
                          <a:xfrm>
                            <a:off x="0" y="0"/>
                            <a:ext cx="4602480" cy="2896479"/>
                          </a:xfrm>
                          <a:prstGeom prst="rect">
                            <a:avLst/>
                          </a:prstGeom>
                          <a:noFill/>
                          <a:ln w="9525">
                            <a:noFill/>
                            <a:headEnd/>
                            <a:tailEnd/>
                          </a:ln>
                        </pic:spPr>
                      </pic:pic>
                    </a:graphicData>
                  </a:graphic>
                </wp:inline>
              </w:drawing>
            </w:r>
          </w:p>
          <w:p>
            <w:pPr>
              <w:jc w:val="center"/>
            </w:pPr>
            <w:pPr>
              <w:jc w:val="start"/>
              <w:spacing w:before="200"/>
              <w:pStyle w:val="ImageCaption"/>
            </w:pPr>
            <w:r>
              <w:t xml:space="preserve">Fig. 9 The phytoplankton phylum in ZXD Reservoir before and after HRT regulation</w:t>
            </w:r>
          </w:p>
          <w:bookmarkEnd w:id="56"/>
        </w:tc>
      </w:tr>
    </w:tbl>
    <w:p>
      <w:r>
        <w:br w:type="page"/>
      </w:r>
    </w:p>
    <w:tbl>
      <w:tblPr>
        <w:tblStyle w:val="Table"/>
        <w:tblW w:type="pct" w:w="5000"/>
        <w:tblLayout w:type="fixed"/>
        <w:tblLook w:firstRow="0" w:lastRow="0" w:firstColumn="0" w:lastColumn="0" w:noHBand="0" w:noVBand="0" w:val="0000"/>
      </w:tblPr>
      <w:tblGrid>
        <w:gridCol w:w="7920"/>
      </w:tblGrid>
      <w:tr>
        <w:tc>
          <w:tcPr/>
          <w:bookmarkStart w:id="60" w:name="fig-mibproducers_zhuhai"/>
          <w:p>
            <w:pPr>
              <w:pStyle w:val="Compact"/>
              <w:jc w:val="center"/>
            </w:pPr>
            <w:r>
              <w:drawing>
                <wp:inline>
                  <wp:extent cx="4602480" cy="2141431"/>
                  <wp:effectExtent b="0" l="0" r="0" t="0"/>
                  <wp:docPr descr="" title="" id="58" name="Picture"/>
                  <a:graphic>
                    <a:graphicData uri="http://schemas.openxmlformats.org/drawingml/2006/picture">
                      <pic:pic>
                        <pic:nvPicPr>
                          <pic:cNvPr descr="./figures/mibproducers_zhuhai.png" id="59" name="Picture"/>
                          <pic:cNvPicPr>
                            <a:picLocks noChangeArrowheads="1" noChangeAspect="1"/>
                          </pic:cNvPicPr>
                        </pic:nvPicPr>
                        <pic:blipFill>
                          <a:blip r:embed="rId57"/>
                          <a:stretch>
                            <a:fillRect/>
                          </a:stretch>
                        </pic:blipFill>
                        <pic:spPr bwMode="auto">
                          <a:xfrm>
                            <a:off x="0" y="0"/>
                            <a:ext cx="4602480" cy="2141431"/>
                          </a:xfrm>
                          <a:prstGeom prst="rect">
                            <a:avLst/>
                          </a:prstGeom>
                          <a:noFill/>
                          <a:ln w="9525">
                            <a:noFill/>
                            <a:headEnd/>
                            <a:tailEnd/>
                          </a:ln>
                        </pic:spPr>
                      </pic:pic>
                    </a:graphicData>
                  </a:graphic>
                </wp:inline>
              </w:drawing>
            </w:r>
          </w:p>
          <w:p>
            <w:pPr>
              <w:jc w:val="center"/>
            </w:pPr>
            <w:pPr>
              <w:jc w:val="start"/>
              <w:spacing w:before="200"/>
              <w:pStyle w:val="ImageCaption"/>
            </w:pPr>
            <w:r>
              <w:t xml:space="preserve">Fig. 10 The MIB-producing cyanobacteria genus in Zhuhai water sources</w:t>
            </w:r>
          </w:p>
          <w:bookmarkEnd w:id="60"/>
        </w:tc>
      </w:tr>
    </w:tbl>
    <w:p>
      <w:pPr>
        <w:pStyle w:val="BodyText"/>
      </w:pPr>
      <w:r>
        <w:t xml:space="preserve">To identify the MIB-producing cyanobacteria genera in Zhuhai, seven water sources (GCBZ, HYBZ, …, FH,DJS) were select and water samples were collected from July to October, 2020 when there were MIB episode. The universal primer for MIB gene (</w:t>
      </w:r>
      <w:r>
        <w:rPr>
          <w:i/>
          <w:iCs/>
        </w:rPr>
        <w:t xml:space="preserve">mic</w:t>
      </w:r>
      <w:r>
        <w:t xml:space="preserve">)</w:t>
      </w:r>
      <w:r>
        <w:t xml:space="preserve"> </w:t>
      </w:r>
      <w:r>
        <w:t xml:space="preserve">(Suruzzaman et al., 2022)</w:t>
      </w:r>
      <w:r>
        <w:t xml:space="preserve"> </w:t>
      </w:r>
      <w:r>
        <w:t xml:space="preserve">was used to amplify samples genome and was Illumina MiSeq sequenced. The data was phylogenetic classification assigned using Silva 128 database. The result declared that the MIB-producers in Zhuhai was</w:t>
      </w:r>
      <w:r>
        <w:t xml:space="preserve"> </w:t>
      </w:r>
      <w:r>
        <w:rPr>
          <w:i/>
          <w:iCs/>
        </w:rPr>
        <w:t xml:space="preserve">Pseudanabaena</w:t>
      </w:r>
      <w:r>
        <w:t xml:space="preserve"> </w:t>
      </w:r>
      <w:r>
        <w:t xml:space="preserve">and</w:t>
      </w:r>
      <w:r>
        <w:t xml:space="preserve"> </w:t>
      </w:r>
      <w:r>
        <w:rPr>
          <w:i/>
          <w:iCs/>
        </w:rPr>
        <w:t xml:space="preserve">Planktothricoides</w:t>
      </w:r>
      <w:r>
        <w:t xml:space="preserve"> </w:t>
      </w:r>
      <w:r>
        <w:t xml:space="preserve">with the later more abundant.</w:t>
      </w:r>
    </w:p>
    <w:p>
      <w:r>
        <w:br w:type="page"/>
      </w:r>
    </w:p>
    <w:tbl>
      <w:tblPr>
        <w:tblStyle w:val="Table"/>
        <w:tblW w:type="pct" w:w="5000"/>
        <w:tblLayout w:type="fixed"/>
        <w:tblLook w:firstRow="0" w:lastRow="0" w:firstColumn="0" w:lastColumn="0" w:noHBand="0" w:noVBand="0" w:val="0000"/>
      </w:tblPr>
      <w:tblGrid>
        <w:gridCol w:w="7920"/>
      </w:tblGrid>
      <w:tr>
        <w:tc>
          <w:tcPr/>
          <w:bookmarkStart w:id="61" w:name="tbl-smpdf"/>
          <w:p>
            <w:pPr>
              <w:jc w:val="center"/>
            </w:pPr>
            <w:pPr>
              <w:jc w:val="start"/>
              <w:spacing w:before="200"/>
              <w:pStyle w:val="ImageCaption"/>
            </w:pPr>
            <w:r>
              <w:t xml:space="preserve">Table 1 Sampling description</w:t>
            </w:r>
          </w:p>
          <w:tbl>
            <w:tblPr>
              <w:tblStyle w:val="Table"/>
              <w:tblW w:type="pct" w:w="5000"/>
              <w:tblLayout w:type="fixed"/>
              <w:tblLook w:firstRow="1" w:lastRow="0" w:firstColumn="0" w:lastColumn="0" w:noHBand="0" w:noVBand="0" w:val="0020"/>
            </w:tblPr>
            <w:tblGrid>
              <w:gridCol w:w="842"/>
              <w:gridCol w:w="1095"/>
              <w:gridCol w:w="1769"/>
              <w:gridCol w:w="2022"/>
              <w:gridCol w:w="1348"/>
              <w:gridCol w:w="842"/>
            </w:tblGrid>
            <w:tr>
              <w:trPr>
                <w:tblHeader w:val="on"/>
              </w:trPr>
              <w:tc>
                <w:tcPr/>
                <w:p>
                  <w:pPr>
                    <w:pStyle w:val="Compact"/>
                    <w:jc w:val="left"/>
                    <w:jc w:val="center"/>
                  </w:pPr>
                  <w:r>
                    <w:t xml:space="preserve">Reservoir</w:t>
                  </w:r>
                </w:p>
              </w:tc>
              <w:tc>
                <w:tcPr/>
                <w:p>
                  <w:pPr>
                    <w:pStyle w:val="Compact"/>
                    <w:jc w:val="left"/>
                    <w:jc w:val="center"/>
                  </w:pPr>
                  <w:r>
                    <w:t xml:space="preserve">Sampling</w:t>
                  </w:r>
                </w:p>
              </w:tc>
              <w:tc>
                <w:tcPr/>
                <w:p>
                  <w:pPr>
                    <w:pStyle w:val="Compact"/>
                    <w:jc w:val="left"/>
                    <w:jc w:val="center"/>
                  </w:pPr>
                  <w:r>
                    <w:t xml:space="preserve">Time</w:t>
                  </w:r>
                </w:p>
              </w:tc>
              <w:tc>
                <w:tcPr/>
                <w:p>
                  <w:pPr>
                    <w:pStyle w:val="Compact"/>
                    <w:jc w:val="left"/>
                    <w:jc w:val="center"/>
                  </w:pPr>
                  <w:r>
                    <w:t xml:space="preserve">Sites</w:t>
                  </w:r>
                </w:p>
              </w:tc>
              <w:tc>
                <w:tcPr/>
                <w:p>
                  <w:pPr>
                    <w:pStyle w:val="Compact"/>
                    <w:jc w:val="left"/>
                    <w:jc w:val="center"/>
                  </w:pPr>
                  <w:r>
                    <w:t xml:space="preserve">Layers</w:t>
                  </w:r>
                </w:p>
              </w:tc>
              <w:tc>
                <w:tcPr/>
                <w:p>
                  <w:pPr>
                    <w:pStyle w:val="Compact"/>
                    <w:jc w:val="left"/>
                    <w:jc w:val="center"/>
                  </w:pPr>
                  <w:r>
                    <w:t xml:space="preserve">Frequency</w:t>
                  </w:r>
                </w:p>
              </w:tc>
            </w:tr>
            <w:tr>
              <w:tc>
                <w:tcPr/>
                <w:p>
                  <w:pPr>
                    <w:pStyle w:val="Compact"/>
                    <w:jc w:val="left"/>
                    <w:jc w:val="center"/>
                  </w:pPr>
                  <w:r>
                    <w:t xml:space="preserve">NP</w:t>
                  </w:r>
                </w:p>
              </w:tc>
              <w:tc>
                <w:tcPr/>
                <w:p>
                  <w:pPr>
                    <w:pStyle w:val="Compact"/>
                    <w:jc w:val="left"/>
                    <w:jc w:val="center"/>
                  </w:pPr>
                  <w:r>
                    <w:t xml:space="preserve">Routine</w:t>
                  </w:r>
                </w:p>
              </w:tc>
              <w:tc>
                <w:tcPr/>
                <w:p>
                  <w:pPr>
                    <w:pStyle w:val="Compact"/>
                    <w:jc w:val="left"/>
                    <w:jc w:val="center"/>
                  </w:pPr>
                  <w:r>
                    <w:t xml:space="preserve">Mar., 2017~Dec., 2020</w:t>
                  </w:r>
                </w:p>
              </w:tc>
              <w:tc>
                <w:tcPr/>
                <w:p>
                  <w:pPr>
                    <w:pStyle w:val="Compact"/>
                    <w:jc w:val="left"/>
                    <w:jc w:val="center"/>
                  </w:pPr>
                  <w:r>
                    <w:t xml:space="preserve">NP03</w:t>
                  </w:r>
                </w:p>
              </w:tc>
              <w:tc>
                <w:tcPr/>
                <w:p>
                  <w:pPr>
                    <w:pStyle w:val="Compact"/>
                    <w:jc w:val="left"/>
                    <w:jc w:val="center"/>
                  </w:pPr>
                  <w:r>
                    <w:t xml:space="preserve">Surface (0.5 m)</w:t>
                  </w:r>
                </w:p>
              </w:tc>
              <w:tc>
                <w:tcPr/>
                <w:p>
                  <w:pPr>
                    <w:pStyle w:val="Compact"/>
                    <w:jc w:val="left"/>
                    <w:jc w:val="center"/>
                  </w:pPr>
                  <w:r>
                    <w:t xml:space="preserve">monthly</w:t>
                  </w:r>
                </w:p>
              </w:tc>
            </w:tr>
            <w:tr>
              <w:tc>
                <w:tcPr/>
                <w:p>
                  <w:pPr>
                    <w:pStyle w:val="Compact"/>
                    <w:jc w:val="left"/>
                    <w:jc w:val="center"/>
                  </w:pPr>
                  <w:r>
                    <w:t xml:space="preserve">NP</w:t>
                  </w:r>
                </w:p>
              </w:tc>
              <w:tc>
                <w:tcPr/>
                <w:p>
                  <w:pPr>
                    <w:pStyle w:val="Compact"/>
                    <w:jc w:val="left"/>
                    <w:jc w:val="center"/>
                  </w:pPr>
                  <w:r>
                    <w:t xml:space="preserve">MIB episodes</w:t>
                  </w:r>
                </w:p>
              </w:tc>
              <w:tc>
                <w:tcPr/>
                <w:p>
                  <w:pPr>
                    <w:pStyle w:val="Compact"/>
                    <w:jc w:val="left"/>
                    <w:jc w:val="center"/>
                  </w:pPr>
                  <w:r>
                    <w:t xml:space="preserve">Jul., 2017</w:t>
                  </w:r>
                </w:p>
              </w:tc>
              <w:tc>
                <w:tcPr/>
                <w:p>
                  <w:pPr>
                    <w:pStyle w:val="Compact"/>
                    <w:jc w:val="left"/>
                    <w:jc w:val="center"/>
                  </w:pPr>
                  <w:r>
                    <w:t xml:space="preserve">NP01, NP02, …, NP06</w:t>
                  </w:r>
                </w:p>
              </w:tc>
              <w:tc>
                <w:tcPr/>
                <w:p>
                  <w:pPr>
                    <w:pStyle w:val="Compact"/>
                    <w:jc w:val="left"/>
                    <w:jc w:val="center"/>
                  </w:pPr>
                  <w:r>
                    <w:t xml:space="preserve">Surface (0.5 m)</w:t>
                  </w:r>
                </w:p>
              </w:tc>
              <w:tc>
                <w:tcPr/>
                <w:p>
                  <w:pPr>
                    <w:pStyle w:val="Compact"/>
                    <w:jc w:val="left"/>
                    <w:jc w:val="center"/>
                  </w:pPr>
                  <w:r>
                    <w:t xml:space="preserve">daily</w:t>
                  </w:r>
                </w:p>
              </w:tc>
            </w:tr>
            <w:tr>
              <w:tc>
                <w:tcPr/>
                <w:p>
                  <w:pPr>
                    <w:pStyle w:val="Compact"/>
                    <w:jc w:val="left"/>
                    <w:jc w:val="center"/>
                  </w:pPr>
                  <w:r>
                    <w:t xml:space="preserve">NP</w:t>
                  </w:r>
                </w:p>
              </w:tc>
              <w:tc>
                <w:tcPr/>
                <w:p>
                  <w:pPr>
                    <w:pStyle w:val="Compact"/>
                    <w:jc w:val="left"/>
                    <w:jc w:val="center"/>
                  </w:pPr>
                  <w:r>
                    <w:t xml:space="preserve">MIB episodes</w:t>
                  </w:r>
                </w:p>
              </w:tc>
              <w:tc>
                <w:tcPr/>
                <w:p>
                  <w:pPr>
                    <w:pStyle w:val="Compact"/>
                    <w:jc w:val="left"/>
                    <w:jc w:val="center"/>
                  </w:pPr>
                  <w:r>
                    <w:t xml:space="preserve">Apr., 2018</w:t>
                  </w:r>
                </w:p>
              </w:tc>
              <w:tc>
                <w:tcPr/>
                <w:p>
                  <w:pPr>
                    <w:pStyle w:val="Compact"/>
                    <w:jc w:val="left"/>
                    <w:jc w:val="center"/>
                  </w:pPr>
                  <w:r>
                    <w:t xml:space="preserve">NP01, NP02, …, NP06</w:t>
                  </w:r>
                </w:p>
              </w:tc>
              <w:tc>
                <w:tcPr/>
                <w:p>
                  <w:pPr>
                    <w:pStyle w:val="Compact"/>
                    <w:jc w:val="left"/>
                    <w:jc w:val="center"/>
                  </w:pPr>
                  <w:r>
                    <w:t xml:space="preserve">Surface (0.5 m)</w:t>
                  </w:r>
                </w:p>
              </w:tc>
              <w:tc>
                <w:tcPr/>
                <w:p>
                  <w:pPr>
                    <w:pStyle w:val="Compact"/>
                    <w:jc w:val="left"/>
                    <w:jc w:val="center"/>
                  </w:pPr>
                  <w:r>
                    <w:t xml:space="preserve">daily</w:t>
                  </w:r>
                </w:p>
              </w:tc>
            </w:tr>
            <w:tr>
              <w:tc>
                <w:tcPr/>
                <w:p>
                  <w:pPr>
                    <w:pStyle w:val="Compact"/>
                    <w:jc w:val="left"/>
                    <w:jc w:val="center"/>
                  </w:pPr>
                  <w:r>
                    <w:t xml:space="preserve">ZXD</w:t>
                  </w:r>
                </w:p>
              </w:tc>
              <w:tc>
                <w:tcPr/>
                <w:p>
                  <w:pPr>
                    <w:pStyle w:val="Compact"/>
                    <w:jc w:val="left"/>
                    <w:jc w:val="center"/>
                  </w:pPr>
                  <w:r>
                    <w:t xml:space="preserve">MIB episodes</w:t>
                  </w:r>
                </w:p>
              </w:tc>
              <w:tc>
                <w:tcPr/>
                <w:p>
                  <w:pPr>
                    <w:pStyle w:val="Compact"/>
                    <w:jc w:val="left"/>
                    <w:jc w:val="center"/>
                  </w:pPr>
                  <w:r>
                    <w:t xml:space="preserve">Mar. ~ Apr. , 2021</w:t>
                  </w:r>
                </w:p>
              </w:tc>
              <w:tc>
                <w:tcPr/>
                <w:p>
                  <w:pPr>
                    <w:pStyle w:val="Compact"/>
                    <w:jc w:val="left"/>
                    <w:jc w:val="center"/>
                  </w:pPr>
                  <w:r>
                    <w:t xml:space="preserve">ZXD01, ZXD02, …,ZXD06</w:t>
                  </w:r>
                </w:p>
              </w:tc>
              <w:tc>
                <w:tcPr/>
                <w:p>
                  <w:pPr>
                    <w:pStyle w:val="Compact"/>
                    <w:jc w:val="left"/>
                    <w:jc w:val="center"/>
                  </w:pPr>
                  <w:r>
                    <w:t xml:space="preserve">Surface (0.5 m)</w:t>
                  </w:r>
                </w:p>
              </w:tc>
              <w:tc>
                <w:tcPr/>
                <w:p>
                  <w:pPr>
                    <w:pStyle w:val="Compact"/>
                    <w:jc w:val="left"/>
                    <w:jc w:val="center"/>
                  </w:pPr>
                  <w:r>
                    <w:t xml:space="preserve">daily</w:t>
                  </w:r>
                </w:p>
              </w:tc>
            </w:tr>
            <w:tr>
              <w:tc>
                <w:tcPr/>
                <w:p>
                  <w:pPr>
                    <w:pStyle w:val="Compact"/>
                    <w:jc w:val="left"/>
                    <w:jc w:val="center"/>
                  </w:pPr>
                  <w:r>
                    <w:t xml:space="preserve">ZXD</w:t>
                  </w:r>
                </w:p>
              </w:tc>
              <w:tc>
                <w:tcPr/>
                <w:p>
                  <w:pPr>
                    <w:pStyle w:val="Compact"/>
                    <w:jc w:val="left"/>
                    <w:jc w:val="center"/>
                  </w:pPr>
                  <w:r>
                    <w:t xml:space="preserve">MIB episodes</w:t>
                  </w:r>
                </w:p>
              </w:tc>
              <w:tc>
                <w:tcPr/>
                <w:p>
                  <w:pPr>
                    <w:pStyle w:val="Compact"/>
                    <w:jc w:val="left"/>
                    <w:jc w:val="center"/>
                  </w:pPr>
                  <w:r>
                    <w:t xml:space="preserve">Apr. , 2021</w:t>
                  </w:r>
                </w:p>
              </w:tc>
              <w:tc>
                <w:tcPr/>
                <w:p>
                  <w:pPr>
                    <w:pStyle w:val="Compact"/>
                    <w:jc w:val="left"/>
                    <w:jc w:val="center"/>
                  </w:pPr>
                  <w:r>
                    <w:t xml:space="preserve">ZXD01</w:t>
                  </w:r>
                </w:p>
              </w:tc>
              <w:tc>
                <w:tcPr/>
                <w:p>
                  <w:pPr>
                    <w:pStyle w:val="Compact"/>
                    <w:jc w:val="left"/>
                    <w:jc w:val="center"/>
                  </w:pPr>
                  <w:r>
                    <w:t xml:space="preserve">Surface (0.5 m), middle (3 m), bottom (5~7 m)</w:t>
                  </w:r>
                </w:p>
              </w:tc>
              <w:tc>
                <w:tcPr/>
                <w:p>
                  <w:pPr>
                    <w:pStyle w:val="Compact"/>
                    <w:jc w:val="left"/>
                    <w:jc w:val="center"/>
                  </w:pPr>
                  <w:r>
                    <w:t xml:space="preserve">weekly</w:t>
                  </w:r>
                </w:p>
              </w:tc>
            </w:tr>
            <w:tr>
              <w:tc>
                <w:tcPr/>
                <w:p>
                  <w:pPr>
                    <w:pStyle w:val="Compact"/>
                    <w:jc w:val="left"/>
                    <w:jc w:val="center"/>
                  </w:pPr>
                  <w:r>
                    <w:t xml:space="preserve">ZXD</w:t>
                  </w:r>
                </w:p>
              </w:tc>
              <w:tc>
                <w:tcPr/>
                <w:p>
                  <w:pPr>
                    <w:pStyle w:val="Compact"/>
                    <w:jc w:val="left"/>
                    <w:jc w:val="center"/>
                  </w:pPr>
                  <w:r>
                    <w:t xml:space="preserve">MIB episodes</w:t>
                  </w:r>
                </w:p>
              </w:tc>
              <w:tc>
                <w:tcPr/>
                <w:p>
                  <w:pPr>
                    <w:pStyle w:val="Compact"/>
                    <w:jc w:val="left"/>
                    <w:jc w:val="center"/>
                  </w:pPr>
                  <w:r>
                    <w:t xml:space="preserve">Apr. , 2021</w:t>
                  </w:r>
                </w:p>
              </w:tc>
              <w:tc>
                <w:tcPr/>
                <w:p>
                  <w:pPr>
                    <w:pStyle w:val="Compact"/>
                    <w:jc w:val="left"/>
                    <w:jc w:val="center"/>
                  </w:pPr>
                  <w:r>
                    <w:t xml:space="preserve">ZXD02</w:t>
                  </w:r>
                </w:p>
              </w:tc>
              <w:tc>
                <w:tcPr/>
                <w:p>
                  <w:pPr>
                    <w:pStyle w:val="Compact"/>
                    <w:jc w:val="left"/>
                    <w:jc w:val="center"/>
                  </w:pPr>
                  <w:r>
                    <w:t xml:space="preserve">Surface (0.5 m), middle (2 m), bottom (3~5 m)</w:t>
                  </w:r>
                </w:p>
              </w:tc>
              <w:tc>
                <w:tcPr/>
                <w:p>
                  <w:pPr>
                    <w:pStyle w:val="Compact"/>
                    <w:jc w:val="left"/>
                    <w:jc w:val="center"/>
                  </w:pPr>
                  <w:r>
                    <w:t xml:space="preserve">weekly</w:t>
                  </w:r>
                </w:p>
              </w:tc>
            </w:tr>
            <w:tr>
              <w:tc>
                <w:tcPr/>
                <w:p>
                  <w:pPr>
                    <w:pStyle w:val="Compact"/>
                    <w:jc w:val="left"/>
                    <w:jc w:val="center"/>
                  </w:pPr>
                  <w:r>
                    <w:t xml:space="preserve">ZXD</w:t>
                  </w:r>
                </w:p>
              </w:tc>
              <w:tc>
                <w:tcPr/>
                <w:p>
                  <w:pPr>
                    <w:pStyle w:val="Compact"/>
                    <w:jc w:val="left"/>
                    <w:jc w:val="center"/>
                  </w:pPr>
                  <w:r>
                    <w:t xml:space="preserve">MIB episodes</w:t>
                  </w:r>
                </w:p>
              </w:tc>
              <w:tc>
                <w:tcPr/>
                <w:p>
                  <w:pPr>
                    <w:pStyle w:val="Compact"/>
                    <w:jc w:val="left"/>
                    <w:jc w:val="center"/>
                  </w:pPr>
                  <w:r>
                    <w:t xml:space="preserve">Apr. , 2021</w:t>
                  </w:r>
                </w:p>
              </w:tc>
              <w:tc>
                <w:tcPr/>
                <w:p>
                  <w:pPr>
                    <w:pStyle w:val="Compact"/>
                    <w:jc w:val="left"/>
                    <w:jc w:val="center"/>
                  </w:pPr>
                  <w:r>
                    <w:t xml:space="preserve">ZXD03</w:t>
                  </w:r>
                </w:p>
              </w:tc>
              <w:tc>
                <w:tcPr/>
                <w:p>
                  <w:pPr>
                    <w:pStyle w:val="Compact"/>
                    <w:jc w:val="left"/>
                    <w:jc w:val="center"/>
                  </w:pPr>
                  <w:r>
                    <w:t xml:space="preserve">Surface (0.5 m), middle (5 m), bottom (10~11 m)</w:t>
                  </w:r>
                </w:p>
              </w:tc>
              <w:tc>
                <w:tcPr/>
                <w:p>
                  <w:pPr>
                    <w:pStyle w:val="Compact"/>
                    <w:jc w:val="left"/>
                    <w:jc w:val="center"/>
                  </w:pPr>
                  <w:r>
                    <w:t xml:space="preserve">weekly</w:t>
                  </w:r>
                </w:p>
              </w:tc>
            </w:tr>
            <w:tr>
              <w:tc>
                <w:tcPr/>
                <w:p>
                  <w:pPr>
                    <w:pStyle w:val="Compact"/>
                    <w:jc w:val="left"/>
                    <w:jc w:val="center"/>
                  </w:pPr>
                  <w:r>
                    <w:t xml:space="preserve">ZXD</w:t>
                  </w:r>
                </w:p>
              </w:tc>
              <w:tc>
                <w:tcPr/>
                <w:p>
                  <w:pPr>
                    <w:pStyle w:val="Compact"/>
                    <w:jc w:val="left"/>
                    <w:jc w:val="center"/>
                  </w:pPr>
                  <w:r>
                    <w:t xml:space="preserve">MIB episodes</w:t>
                  </w:r>
                </w:p>
              </w:tc>
              <w:tc>
                <w:tcPr/>
                <w:p>
                  <w:pPr>
                    <w:pStyle w:val="Compact"/>
                    <w:jc w:val="left"/>
                    <w:jc w:val="center"/>
                  </w:pPr>
                  <w:r>
                    <w:t xml:space="preserve">Apr. , 2021</w:t>
                  </w:r>
                </w:p>
              </w:tc>
              <w:tc>
                <w:tcPr/>
                <w:p>
                  <w:pPr>
                    <w:pStyle w:val="Compact"/>
                    <w:jc w:val="left"/>
                    <w:jc w:val="center"/>
                  </w:pPr>
                  <w:r>
                    <w:t xml:space="preserve">ZXD04</w:t>
                  </w:r>
                </w:p>
              </w:tc>
              <w:tc>
                <w:tcPr/>
                <w:p>
                  <w:pPr>
                    <w:pStyle w:val="Compact"/>
                    <w:jc w:val="left"/>
                    <w:jc w:val="center"/>
                  </w:pPr>
                  <w:r>
                    <w:t xml:space="preserve">Surface (0.5 m), middle (3 m), bottom (6~7 m)</w:t>
                  </w:r>
                </w:p>
              </w:tc>
              <w:tc>
                <w:tcPr/>
                <w:p>
                  <w:pPr>
                    <w:pStyle w:val="Compact"/>
                    <w:jc w:val="left"/>
                    <w:jc w:val="center"/>
                  </w:pPr>
                  <w:r>
                    <w:t xml:space="preserve">weekly</w:t>
                  </w:r>
                </w:p>
              </w:tc>
            </w:tr>
            <w:tr>
              <w:tc>
                <w:tcPr/>
                <w:p>
                  <w:pPr>
                    <w:pStyle w:val="Compact"/>
                    <w:jc w:val="left"/>
                    <w:jc w:val="center"/>
                  </w:pPr>
                  <w:r>
                    <w:t xml:space="preserve">ZXD</w:t>
                  </w:r>
                </w:p>
              </w:tc>
              <w:tc>
                <w:tcPr/>
                <w:p>
                  <w:pPr>
                    <w:pStyle w:val="Compact"/>
                    <w:jc w:val="left"/>
                    <w:jc w:val="center"/>
                  </w:pPr>
                  <w:r>
                    <w:t xml:space="preserve">MIB episodes</w:t>
                  </w:r>
                </w:p>
              </w:tc>
              <w:tc>
                <w:tcPr/>
                <w:p>
                  <w:pPr>
                    <w:pStyle w:val="Compact"/>
                    <w:jc w:val="left"/>
                    <w:jc w:val="center"/>
                  </w:pPr>
                  <w:r>
                    <w:t xml:space="preserve">Apr. , 2021</w:t>
                  </w:r>
                </w:p>
              </w:tc>
              <w:tc>
                <w:tcPr/>
                <w:p>
                  <w:pPr>
                    <w:pStyle w:val="Compact"/>
                    <w:jc w:val="left"/>
                    <w:jc w:val="center"/>
                  </w:pPr>
                  <w:r>
                    <w:t xml:space="preserve">ZXD05</w:t>
                  </w:r>
                </w:p>
              </w:tc>
              <w:tc>
                <w:tcPr/>
                <w:p>
                  <w:pPr>
                    <w:pStyle w:val="Compact"/>
                    <w:jc w:val="left"/>
                    <w:jc w:val="center"/>
                  </w:pPr>
                  <w:r>
                    <w:t xml:space="preserve">Surface (0.5 m), middle (2.5 m), bottom (5~6 m)</w:t>
                  </w:r>
                </w:p>
              </w:tc>
              <w:tc>
                <w:tcPr/>
                <w:p>
                  <w:pPr>
                    <w:pStyle w:val="Compact"/>
                    <w:jc w:val="left"/>
                    <w:jc w:val="center"/>
                  </w:pPr>
                  <w:r>
                    <w:t xml:space="preserve">weekly</w:t>
                  </w:r>
                </w:p>
              </w:tc>
            </w:tr>
            <w:tr>
              <w:tc>
                <w:tcPr/>
                <w:p>
                  <w:pPr>
                    <w:pStyle w:val="Compact"/>
                    <w:jc w:val="left"/>
                    <w:jc w:val="center"/>
                  </w:pPr>
                  <w:r>
                    <w:t xml:space="preserve">ZXD</w:t>
                  </w:r>
                </w:p>
              </w:tc>
              <w:tc>
                <w:tcPr/>
                <w:p>
                  <w:pPr>
                    <w:pStyle w:val="Compact"/>
                    <w:jc w:val="left"/>
                    <w:jc w:val="center"/>
                  </w:pPr>
                  <w:r>
                    <w:t xml:space="preserve">MIB episodes</w:t>
                  </w:r>
                </w:p>
              </w:tc>
              <w:tc>
                <w:tcPr/>
                <w:p>
                  <w:pPr>
                    <w:pStyle w:val="Compact"/>
                    <w:jc w:val="left"/>
                    <w:jc w:val="center"/>
                  </w:pPr>
                  <w:r>
                    <w:t xml:space="preserve">Apr. , 2021</w:t>
                  </w:r>
                </w:p>
              </w:tc>
              <w:tc>
                <w:tcPr/>
                <w:p>
                  <w:pPr>
                    <w:pStyle w:val="Compact"/>
                    <w:jc w:val="left"/>
                    <w:jc w:val="center"/>
                  </w:pPr>
                  <w:r>
                    <w:t xml:space="preserve">ZXD06</w:t>
                  </w:r>
                </w:p>
              </w:tc>
              <w:tc>
                <w:tcPr/>
                <w:p>
                  <w:pPr>
                    <w:pStyle w:val="Compact"/>
                    <w:jc w:val="left"/>
                    <w:jc w:val="center"/>
                  </w:pPr>
                  <w:r>
                    <w:t xml:space="preserve">Surface (0.5 m), middle (3.5 m), bottom (6~8 m)</w:t>
                  </w:r>
                </w:p>
              </w:tc>
              <w:tc>
                <w:tcPr/>
                <w:p>
                  <w:pPr>
                    <w:pStyle w:val="Compact"/>
                    <w:jc w:val="left"/>
                    <w:jc w:val="center"/>
                  </w:pPr>
                  <w:r>
                    <w:t xml:space="preserve">weekly</w:t>
                  </w:r>
                </w:p>
              </w:tc>
            </w:tr>
          </w:tbl>
          <w:bookmarkEnd w:id="61"/>
          <w:p/>
        </w:tc>
      </w:tr>
    </w:tbl>
    <w:p>
      <w:r>
        <w:br w:type="page"/>
      </w:r>
    </w:p>
    <w:tbl>
      <w:tblPr>
        <w:tblStyle w:val="Table"/>
        <w:tblW w:type="pct" w:w="5000"/>
        <w:tblLayout w:type="fixed"/>
        <w:tblLook w:firstRow="0" w:lastRow="0" w:firstColumn="0" w:lastColumn="0" w:noHBand="0" w:noVBand="0" w:val="0000"/>
      </w:tblPr>
      <w:tblGrid>
        <w:gridCol w:w="7920"/>
      </w:tblGrid>
      <w:tr>
        <w:tc>
          <w:tcPr/>
          <w:bookmarkStart w:id="62" w:name="tbl-cultureexpdesign"/>
          <w:p>
            <w:pPr>
              <w:jc w:val="center"/>
            </w:pPr>
            <w:pPr>
              <w:jc w:val="start"/>
              <w:spacing w:before="200"/>
              <w:pStyle w:val="ImageCaption"/>
            </w:pPr>
            <w:r>
              <w:t xml:space="preserve">Table 2 Light intensity for all sets was 54 μmol m</w:t>
            </w:r>
            <w:r>
              <w:rPr>
                <w:vertAlign w:val="superscript"/>
              </w:rPr>
              <w:t xml:space="preserve">-2</w:t>
            </w:r>
            <w:r>
              <w:t xml:space="preserve">s</w:t>
            </w:r>
            <w:r>
              <w:rPr>
                <w:vertAlign w:val="superscript"/>
              </w:rPr>
              <w:t xml:space="preserve">-1</w:t>
            </w:r>
            <w:r>
              <w:t xml:space="preserve">, and culture temperature was 30 °C; 10 samplings were performed for each set. The lab experiment design to investigate the effect of hydraulic residence time to</w:t>
            </w:r>
            <w:r>
              <w:t xml:space="preserve"> </w:t>
            </w:r>
            <w:r>
              <w:rPr>
                <w:i/>
                <w:iCs/>
              </w:rPr>
              <w:t xml:space="preserve">P. raciborskii</w:t>
            </w:r>
            <w:r>
              <w:t xml:space="preserve"> </w:t>
            </w:r>
            <w:r>
              <w:t xml:space="preserve">growth is shown in the table above.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center"/>
                  </w:pPr>
                  <w:r>
                    <w:rPr>
                      <w:b/>
                      <w:bCs/>
                    </w:rPr>
                    <w:t xml:space="preserve">ID</w:t>
                  </w:r>
                </w:p>
              </w:tc>
              <w:tc>
                <w:tcPr/>
                <w:p>
                  <w:pPr>
                    <w:pStyle w:val="Compact"/>
                    <w:jc w:val="center"/>
                  </w:pPr>
                  <w:r>
                    <w:rPr>
                      <w:b/>
                      <w:bCs/>
                    </w:rPr>
                    <w:t xml:space="preserve">HRT (d)</w:t>
                  </w:r>
                </w:p>
              </w:tc>
              <w:tc>
                <w:tcPr/>
                <w:p>
                  <w:pPr>
                    <w:pStyle w:val="Compact"/>
                    <w:jc w:val="center"/>
                  </w:pPr>
                  <w:r>
                    <w:rPr>
                      <w:b/>
                      <w:bCs/>
                    </w:rPr>
                    <w:t xml:space="preserve">Flowrate (L d</w:t>
                  </w:r>
                  <w:r>
                    <w:rPr>
                      <w:b/>
                      <w:bCs/>
                      <w:vertAlign w:val="superscript"/>
                    </w:rPr>
                    <w:t xml:space="preserve">-1</w:t>
                  </w:r>
                  <w:r>
                    <w:rPr>
                      <w:b/>
                      <w:bCs/>
                    </w:rPr>
                    <w:t xml:space="preserve">)</w:t>
                  </w:r>
                </w:p>
              </w:tc>
            </w:tr>
            <w:tr>
              <w:tc>
                <w:tcPr/>
                <w:p>
                  <w:pPr>
                    <w:pStyle w:val="Compact"/>
                    <w:jc w:val="center"/>
                  </w:pPr>
                  <w:r>
                    <w:t xml:space="preserve">I</w:t>
                  </w:r>
                </w:p>
              </w:tc>
              <w:tc>
                <w:tcPr/>
                <w:p>
                  <w:pPr>
                    <w:pStyle w:val="Compact"/>
                    <w:jc w:val="center"/>
                  </w:pPr>
                  <w:r>
                    <w:t xml:space="preserve">2</w:t>
                  </w:r>
                </w:p>
              </w:tc>
              <w:tc>
                <w:tcPr/>
                <w:p>
                  <w:pPr>
                    <w:pStyle w:val="Compact"/>
                    <w:jc w:val="center"/>
                  </w:pPr>
                  <w:r>
                    <w:t xml:space="preserve">4.5</w:t>
                  </w:r>
                </w:p>
              </w:tc>
            </w:tr>
            <w:tr>
              <w:tc>
                <w:tcPr/>
                <w:p>
                  <w:pPr>
                    <w:pStyle w:val="Compact"/>
                    <w:jc w:val="center"/>
                  </w:pPr>
                  <w:r>
                    <w:t xml:space="preserve">II</w:t>
                  </w:r>
                </w:p>
              </w:tc>
              <w:tc>
                <w:tcPr/>
                <w:p>
                  <w:pPr>
                    <w:pStyle w:val="Compact"/>
                    <w:jc w:val="center"/>
                  </w:pPr>
                  <w:r>
                    <w:t xml:space="preserve">5</w:t>
                  </w:r>
                </w:p>
              </w:tc>
              <w:tc>
                <w:tcPr/>
                <w:p>
                  <w:pPr>
                    <w:pStyle w:val="Compact"/>
                    <w:jc w:val="center"/>
                  </w:pPr>
                  <w:r>
                    <w:t xml:space="preserve">1.8</w:t>
                  </w:r>
                </w:p>
              </w:tc>
            </w:tr>
            <w:tr>
              <w:tc>
                <w:tcPr/>
                <w:p>
                  <w:pPr>
                    <w:pStyle w:val="Compact"/>
                    <w:jc w:val="center"/>
                  </w:pPr>
                  <w:r>
                    <w:t xml:space="preserve">III</w:t>
                  </w:r>
                </w:p>
              </w:tc>
              <w:tc>
                <w:tcPr/>
                <w:p>
                  <w:pPr>
                    <w:pStyle w:val="Compact"/>
                    <w:jc w:val="center"/>
                  </w:pPr>
                  <w:r>
                    <w:t xml:space="preserve">10</w:t>
                  </w:r>
                </w:p>
              </w:tc>
              <w:tc>
                <w:tcPr/>
                <w:p>
                  <w:pPr>
                    <w:pStyle w:val="Compact"/>
                    <w:jc w:val="center"/>
                  </w:pPr>
                  <w:r>
                    <w:t xml:space="preserve">0.9</w:t>
                  </w:r>
                </w:p>
              </w:tc>
            </w:tr>
            <w:tr>
              <w:tc>
                <w:tcPr/>
                <w:p>
                  <w:pPr>
                    <w:pStyle w:val="Compact"/>
                    <w:jc w:val="center"/>
                  </w:pPr>
                  <w:r>
                    <w:t xml:space="preserve">IV</w:t>
                  </w:r>
                </w:p>
              </w:tc>
              <w:tc>
                <w:tcPr/>
                <w:p>
                  <w:pPr>
                    <w:pStyle w:val="Compact"/>
                    <w:jc w:val="center"/>
                  </w:pPr>
                  <w:r>
                    <w:t xml:space="preserve">20</w:t>
                  </w:r>
                </w:p>
              </w:tc>
              <w:tc>
                <w:tcPr/>
                <w:p>
                  <w:pPr>
                    <w:pStyle w:val="Compact"/>
                    <w:jc w:val="center"/>
                  </w:pPr>
                  <w:r>
                    <w:t xml:space="preserve">0.45</w:t>
                  </w:r>
                </w:p>
              </w:tc>
            </w:tr>
            <w:tr>
              <w:tc>
                <w:tcPr/>
                <w:p>
                  <w:pPr>
                    <w:pStyle w:val="Compact"/>
                    <w:jc w:val="center"/>
                  </w:pPr>
                  <w:r>
                    <w:t xml:space="preserve">V</w:t>
                  </w:r>
                </w:p>
              </w:tc>
              <w:tc>
                <w:tcPr/>
                <w:p>
                  <w:pPr>
                    <w:pStyle w:val="Compact"/>
                    <w:jc w:val="center"/>
                  </w:pPr>
                  <w:r>
                    <w:t xml:space="preserve">40</w:t>
                  </w:r>
                </w:p>
              </w:tc>
              <w:tc>
                <w:tcPr/>
                <w:p>
                  <w:pPr>
                    <w:pStyle w:val="Compact"/>
                    <w:jc w:val="center"/>
                  </w:pPr>
                  <w:r>
                    <w:t xml:space="preserve">0.225</w:t>
                  </w:r>
                </w:p>
              </w:tc>
            </w:tr>
            <w:tr>
              <w:tc>
                <w:tcPr/>
                <w:p>
                  <w:pPr>
                    <w:pStyle w:val="Compact"/>
                    <w:jc w:val="center"/>
                  </w:pPr>
                  <w:r>
                    <w:t xml:space="preserve">VI</w:t>
                  </w:r>
                </w:p>
              </w:tc>
              <w:tc>
                <w:tcPr/>
                <w:p>
                  <w:pPr>
                    <w:pStyle w:val="Compact"/>
                    <w:jc w:val="center"/>
                  </w:pPr>
                  <w:r>
                    <w:t xml:space="preserve">80</w:t>
                  </w:r>
                </w:p>
              </w:tc>
              <w:tc>
                <w:tcPr/>
                <w:p>
                  <w:pPr>
                    <w:pStyle w:val="Compact"/>
                    <w:jc w:val="center"/>
                  </w:pPr>
                  <w:r>
                    <w:t xml:space="preserve">0.113</w:t>
                  </w:r>
                </w:p>
              </w:tc>
            </w:tr>
          </w:tbl>
          <w:bookmarkEnd w:id="62"/>
          <w:p/>
        </w:tc>
      </w:tr>
    </w:tbl>
    <w:p>
      <w:pPr>
        <w:pStyle w:val="BodyText"/>
      </w:pPr>
      <w:r>
        <w:t xml:space="preserve">The raw NP Reservoir was first collected and transported to laboratory, then filtered using glass fiber membrane (0.7 μm)to remove phytoplankton, the filtrate was further sterilized to remove microorganisms that may produce MIB, such as actinomycetes. Then fill the 9 L culture barrels with this sterilized solution and the rest served as the dilution solution was stored and aerated in the black storage bucket to minimize potential MIB accumulation. The enriched pure</w:t>
      </w:r>
      <w:r>
        <w:t xml:space="preserve"> </w:t>
      </w:r>
      <w:r>
        <w:rPr>
          <w:i/>
          <w:iCs/>
        </w:rPr>
        <w:t xml:space="preserve">P. raciborskii</w:t>
      </w:r>
      <w:r>
        <w:t xml:space="preserve"> </w:t>
      </w:r>
      <w:r>
        <w:t xml:space="preserve">was first filtered using polyester fiber membrane (1.2 μm, Millipore, USA) to remove excess nutrients from the original culture solution and washed 3 times with ultrapure water. Then</w:t>
      </w:r>
      <w:r>
        <w:t xml:space="preserve"> </w:t>
      </w:r>
      <w:r>
        <w:rPr>
          <w:i/>
          <w:iCs/>
        </w:rPr>
        <w:t xml:space="preserve">P. raciborskii</w:t>
      </w:r>
      <w:r>
        <w:t xml:space="preserve"> </w:t>
      </w:r>
      <w:r>
        <w:t xml:space="preserve">was cultured into the culture barrels at cell density of 1× 10</w:t>
      </w:r>
      <w:r>
        <w:rPr>
          <w:vertAlign w:val="superscript"/>
        </w:rPr>
        <w:t xml:space="preserve">7</w:t>
      </w:r>
      <w:r>
        <w:t xml:space="preserve"> </w:t>
      </w:r>
      <w:r>
        <w:t xml:space="preserve">cell L</w:t>
      </w:r>
      <w:r>
        <w:rPr>
          <w:vertAlign w:val="superscript"/>
        </w:rPr>
        <w:t xml:space="preserve">-1</w:t>
      </w:r>
      <w:r>
        <w:t xml:space="preserve"> </w:t>
      </w:r>
      <w:r>
        <w:t xml:space="preserve">with three replicates, the temperature and light intensity were 30 °C and 54 μmol photon m</w:t>
      </w:r>
      <w:r>
        <w:rPr>
          <w:vertAlign w:val="superscript"/>
        </w:rPr>
        <w:t xml:space="preserve">-2</w:t>
      </w:r>
      <w:r>
        <w:t xml:space="preserve"> </w:t>
      </w:r>
      <w:r>
        <w:t xml:space="preserve">s</w:t>
      </w:r>
      <w:r>
        <w:rPr>
          <w:vertAlign w:val="superscript"/>
        </w:rPr>
        <w:t xml:space="preserve">-1</w:t>
      </w:r>
      <w:r>
        <w:t xml:space="preserve">. The residence time setting (2, 5, 10, 20, 40, 80 day) in different barrels was achieved by adjusting the flow rate (4.5, 1.8, 0.9, 0.45, 0.225, 0.113 L d</w:t>
      </w:r>
      <w:r>
        <w:rPr>
          <w:vertAlign w:val="superscript"/>
        </w:rPr>
        <w:t xml:space="preserve">-1</w:t>
      </w:r>
      <w:r>
        <w:t xml:space="preserve">) of dilution solution pumped from the storage bucket. The 20 mL (10 mL for each sampling port and mixed into 20 mL) samples were taken every two days for odor compounds concentration and cell density quantification, the whole experiment was last for 19 days.</w:t>
      </w:r>
    </w:p>
    <w:p>
      <w:r>
        <w:br w:type="page"/>
      </w:r>
    </w:p>
    <w:tbl>
      <w:tblPr>
        <w:tblStyle w:val="Table"/>
        <w:tblW w:type="pct" w:w="5000"/>
        <w:tblLayout w:type="fixed"/>
        <w:tblLook w:firstRow="0" w:lastRow="0" w:firstColumn="0" w:lastColumn="0" w:noHBand="0" w:noVBand="0" w:val="0000"/>
      </w:tblPr>
      <w:tblGrid>
        <w:gridCol w:w="7920"/>
      </w:tblGrid>
      <w:tr>
        <w:tc>
          <w:tcPr/>
          <w:bookmarkStart w:id="63" w:name="tbl-NPwqsummary"/>
          <w:p>
            <w:pPr>
              <w:jc w:val="center"/>
            </w:pPr>
            <w:pPr>
              <w:jc w:val="start"/>
              <w:spacing w:before="200"/>
              <w:pStyle w:val="ImageCaption"/>
            </w:pPr>
            <w:r>
              <w:t xml:space="preserve">Table 3 The main water quality parameter in NP Reservoir (2017 ~ 2020, all values are expressed as mean values with standard deviations, variance analysis were performed to compare the differences (n = 71).).</w:t>
            </w:r>
          </w:p>
          <w:tbl>
            <w:tblPr>
              <w:tblStyle w:val="Table"/>
              <w:tblW w:type="pct" w:w="5000"/>
              <w:tblLayout w:type="fixed"/>
              <w:tblLook w:firstRow="1" w:lastRow="0" w:firstColumn="0" w:lastColumn="0" w:noHBand="0" w:noVBand="0" w:val="0020"/>
            </w:tblPr>
            <w:tblGrid>
              <w:gridCol w:w="2615"/>
              <w:gridCol w:w="971"/>
              <w:gridCol w:w="971"/>
              <w:gridCol w:w="971"/>
              <w:gridCol w:w="971"/>
              <w:gridCol w:w="1419"/>
            </w:tblGrid>
            <w:tr>
              <w:trPr>
                <w:tblHeader w:val="on"/>
              </w:trPr>
              <w:tc>
                <w:tcPr/>
                <w:p>
                  <w:pPr>
                    <w:pStyle w:val="Compact"/>
                    <w:jc w:val="left"/>
                    <w:jc w:val="center"/>
                  </w:pPr>
                  <w:r>
                    <w:rPr>
                      <w:b/>
                      <w:bCs/>
                    </w:rPr>
                    <w:t xml:space="preserve">Parameter</w:t>
                  </w:r>
                </w:p>
              </w:tc>
              <w:tc>
                <w:tcPr/>
                <w:p>
                  <w:pPr>
                    <w:pStyle w:val="Compact"/>
                    <w:jc w:val="left"/>
                    <w:jc w:val="center"/>
                  </w:pPr>
                  <w:r>
                    <w:rPr>
                      <w:b/>
                      <w:bCs/>
                    </w:rPr>
                    <w:t xml:space="preserve">Spring</w:t>
                  </w:r>
                </w:p>
              </w:tc>
              <w:tc>
                <w:tcPr/>
                <w:p>
                  <w:pPr>
                    <w:pStyle w:val="Compact"/>
                    <w:jc w:val="left"/>
                    <w:jc w:val="center"/>
                  </w:pPr>
                  <w:r>
                    <w:rPr>
                      <w:b/>
                      <w:bCs/>
                    </w:rPr>
                    <w:t xml:space="preserve">Summer</w:t>
                  </w:r>
                </w:p>
              </w:tc>
              <w:tc>
                <w:tcPr/>
                <w:p>
                  <w:pPr>
                    <w:pStyle w:val="Compact"/>
                    <w:jc w:val="left"/>
                    <w:jc w:val="center"/>
                  </w:pPr>
                  <w:r>
                    <w:rPr>
                      <w:b/>
                      <w:bCs/>
                    </w:rPr>
                    <w:t xml:space="preserve">Fall</w:t>
                  </w:r>
                </w:p>
              </w:tc>
              <w:tc>
                <w:tcPr/>
                <w:p>
                  <w:pPr>
                    <w:pStyle w:val="Compact"/>
                    <w:jc w:val="left"/>
                    <w:jc w:val="center"/>
                  </w:pPr>
                  <w:r>
                    <w:rPr>
                      <w:b/>
                      <w:bCs/>
                    </w:rPr>
                    <w:t xml:space="preserve">Winter</w:t>
                  </w:r>
                </w:p>
              </w:tc>
              <w:tc>
                <w:tcPr/>
                <w:p>
                  <w:pPr>
                    <w:pStyle w:val="Compact"/>
                    <w:jc w:val="left"/>
                    <w:jc w:val="center"/>
                  </w:pPr>
                  <w:r>
                    <w:rPr>
                      <w:b/>
                      <w:bCs/>
                      <w:i/>
                      <w:iCs/>
                    </w:rPr>
                    <w:t xml:space="preserve">p</w:t>
                  </w:r>
                  <w:r>
                    <w:rPr>
                      <w:b/>
                      <w:bCs/>
                    </w:rPr>
                    <w:t xml:space="preserve">-value</w:t>
                  </w:r>
                </w:p>
              </w:tc>
            </w:tr>
            <w:tr>
              <w:tc>
                <w:tcPr/>
                <w:p>
                  <w:pPr>
                    <w:pStyle w:val="Compact"/>
                    <w:jc w:val="left"/>
                    <w:jc w:val="center"/>
                  </w:pPr>
                  <w:r>
                    <w:t xml:space="preserve">MIB</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27.1 ± 25.9</w:t>
                  </w:r>
                </w:p>
              </w:tc>
              <w:tc>
                <w:tcPr/>
                <w:p>
                  <w:pPr>
                    <w:pStyle w:val="Compact"/>
                    <w:jc w:val="left"/>
                    <w:jc w:val="center"/>
                  </w:pPr>
                  <w:r>
                    <w:t xml:space="preserve">35.5 ± 36.1</w:t>
                  </w:r>
                </w:p>
              </w:tc>
              <w:tc>
                <w:tcPr/>
                <w:p>
                  <w:pPr>
                    <w:pStyle w:val="Compact"/>
                    <w:jc w:val="left"/>
                    <w:jc w:val="center"/>
                  </w:pPr>
                  <w:r>
                    <w:t xml:space="preserve">9.27 ± 11.2</w:t>
                  </w:r>
                </w:p>
              </w:tc>
              <w:tc>
                <w:tcPr/>
                <w:p>
                  <w:pPr>
                    <w:pStyle w:val="Compact"/>
                    <w:jc w:val="left"/>
                    <w:jc w:val="center"/>
                  </w:pPr>
                  <w:r>
                    <w:t xml:space="preserve">9.78 ± 11.2</w:t>
                  </w:r>
                </w:p>
              </w:tc>
              <w:tc>
                <w:tcPr/>
                <w:p>
                  <w:pPr>
                    <w:pStyle w:val="Compact"/>
                    <w:jc w:val="left"/>
                    <w:jc w:val="center"/>
                  </w:pPr>
                  <w:r>
                    <w:rPr>
                      <w:i/>
                      <w:iCs/>
                    </w:rPr>
                    <w:t xml:space="preserve">p</w:t>
                  </w:r>
                  <w:r>
                    <w:t xml:space="preserve"> </w:t>
                  </w:r>
                  <w:r>
                    <w:t xml:space="preserve">= 0.0334</w:t>
                  </w:r>
                </w:p>
              </w:tc>
            </w:tr>
            <w:tr>
              <w:tc>
                <w:tcPr/>
                <w:p>
                  <w:pPr>
                    <w:pStyle w:val="Compact"/>
                    <w:jc w:val="left"/>
                    <w:jc w:val="center"/>
                  </w:pPr>
                  <w:r>
                    <w:t xml:space="preserve">GSM</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1.0 ± 0.0</w:t>
                  </w:r>
                </w:p>
              </w:tc>
              <w:tc>
                <w:tcPr/>
                <w:p>
                  <w:pPr>
                    <w:pStyle w:val="Compact"/>
                    <w:jc w:val="left"/>
                    <w:jc w:val="center"/>
                  </w:pPr>
                  <w:r>
                    <w:t xml:space="preserve">2.9 ± 2.6</w:t>
                  </w:r>
                </w:p>
              </w:tc>
              <w:tc>
                <w:tcPr/>
                <w:p>
                  <w:pPr>
                    <w:pStyle w:val="Compact"/>
                    <w:jc w:val="left"/>
                    <w:jc w:val="center"/>
                  </w:pPr>
                  <w:r>
                    <w:t xml:space="preserve">3.7 ± 2.9</w:t>
                  </w:r>
                </w:p>
              </w:tc>
              <w:tc>
                <w:tcPr/>
                <w:p>
                  <w:pPr>
                    <w:pStyle w:val="Compact"/>
                    <w:jc w:val="left"/>
                    <w:jc w:val="center"/>
                  </w:pPr>
                  <w:r>
                    <w:t xml:space="preserve">1.9 ± 1.5</w:t>
                  </w:r>
                </w:p>
              </w:tc>
              <w:tc>
                <w:tcPr/>
                <w:p>
                  <w:pPr>
                    <w:pStyle w:val="Compact"/>
                    <w:jc w:val="left"/>
                    <w:jc w:val="center"/>
                  </w:pPr>
                  <w:r>
                    <w:rPr>
                      <w:i/>
                      <w:iCs/>
                    </w:rPr>
                    <w:t xml:space="preserve">p</w:t>
                  </w:r>
                  <w:r>
                    <w:t xml:space="preserve"> </w:t>
                  </w:r>
                  <w:r>
                    <w:t xml:space="preserve">= 0.0425</w:t>
                  </w:r>
                </w:p>
              </w:tc>
            </w:tr>
            <w:tr>
              <w:tc>
                <w:tcPr/>
                <w:p>
                  <w:pPr>
                    <w:pStyle w:val="Compact"/>
                    <w:jc w:val="left"/>
                    <w:jc w:val="center"/>
                  </w:pPr>
                  <w:r>
                    <w:t xml:space="preserve">Temp. (°C)</w:t>
                  </w:r>
                </w:p>
              </w:tc>
              <w:tc>
                <w:tcPr/>
                <w:p>
                  <w:pPr>
                    <w:pStyle w:val="Compact"/>
                    <w:jc w:val="left"/>
                    <w:jc w:val="center"/>
                  </w:pPr>
                  <w:r>
                    <w:t xml:space="preserve">22.5 ± 2.3</w:t>
                  </w:r>
                </w:p>
              </w:tc>
              <w:tc>
                <w:tcPr/>
                <w:p>
                  <w:pPr>
                    <w:pStyle w:val="Compact"/>
                    <w:jc w:val="left"/>
                    <w:jc w:val="center"/>
                  </w:pPr>
                  <w:r>
                    <w:t xml:space="preserve">26.5 ± 1.3</w:t>
                  </w:r>
                </w:p>
              </w:tc>
              <w:tc>
                <w:tcPr/>
                <w:p>
                  <w:pPr>
                    <w:pStyle w:val="Compact"/>
                    <w:jc w:val="left"/>
                    <w:jc w:val="center"/>
                  </w:pPr>
                  <w:r>
                    <w:t xml:space="preserve">25.1 ± 2.5</w:t>
                  </w:r>
                </w:p>
              </w:tc>
              <w:tc>
                <w:tcPr/>
                <w:p>
                  <w:pPr>
                    <w:pStyle w:val="Compact"/>
                    <w:jc w:val="left"/>
                    <w:jc w:val="center"/>
                  </w:pPr>
                  <w:r>
                    <w:t xml:space="preserve">20.8 ± 3.7</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TP (μg L</w:t>
                  </w:r>
                  <w:r>
                    <w:rPr>
                      <w:vertAlign w:val="superscript"/>
                    </w:rPr>
                    <w:t xml:space="preserve">-1</w:t>
                  </w:r>
                  <w:r>
                    <w:t xml:space="preserve">)</w:t>
                  </w:r>
                </w:p>
              </w:tc>
              <w:tc>
                <w:tcPr/>
                <w:p>
                  <w:pPr>
                    <w:pStyle w:val="Compact"/>
                    <w:jc w:val="left"/>
                    <w:jc w:val="center"/>
                  </w:pPr>
                  <w:r>
                    <w:t xml:space="preserve">41 ± 27</w:t>
                  </w:r>
                </w:p>
              </w:tc>
              <w:tc>
                <w:tcPr/>
                <w:p>
                  <w:pPr>
                    <w:pStyle w:val="Compact"/>
                    <w:jc w:val="left"/>
                    <w:jc w:val="center"/>
                  </w:pPr>
                  <w:r>
                    <w:t xml:space="preserve">22 ± 13</w:t>
                  </w:r>
                </w:p>
              </w:tc>
              <w:tc>
                <w:tcPr/>
                <w:p>
                  <w:pPr>
                    <w:pStyle w:val="Compact"/>
                    <w:jc w:val="left"/>
                    <w:jc w:val="center"/>
                  </w:pPr>
                  <w:r>
                    <w:t xml:space="preserve">36 ± 26</w:t>
                  </w:r>
                </w:p>
              </w:tc>
              <w:tc>
                <w:tcPr/>
                <w:p>
                  <w:pPr>
                    <w:pStyle w:val="Compact"/>
                    <w:jc w:val="left"/>
                    <w:jc w:val="center"/>
                  </w:pPr>
                  <w:r>
                    <w:t xml:space="preserve">48 ± 44</w:t>
                  </w:r>
                </w:p>
              </w:tc>
              <w:tc>
                <w:tcPr/>
                <w:p>
                  <w:pPr>
                    <w:pStyle w:val="Compact"/>
                    <w:jc w:val="left"/>
                    <w:jc w:val="center"/>
                  </w:pPr>
                  <w:r>
                    <w:rPr>
                      <w:i/>
                      <w:iCs/>
                    </w:rPr>
                    <w:t xml:space="preserve">p</w:t>
                  </w:r>
                  <w:r>
                    <w:t xml:space="preserve"> </w:t>
                  </w:r>
                  <w:r>
                    <w:t xml:space="preserve">= 0.1863</w:t>
                  </w:r>
                </w:p>
              </w:tc>
            </w:tr>
            <w:tr>
              <w:tc>
                <w:tcPr/>
                <w:p>
                  <w:pPr>
                    <w:pStyle w:val="Compact"/>
                    <w:jc w:val="left"/>
                    <w:jc w:val="center"/>
                  </w:pPr>
                  <w:r>
                    <w:t xml:space="preserve">TN (μg L</w:t>
                  </w:r>
                  <w:r>
                    <w:rPr>
                      <w:vertAlign w:val="superscript"/>
                    </w:rPr>
                    <w:t xml:space="preserve">-1</w:t>
                  </w:r>
                  <w:r>
                    <w:t xml:space="preserve">)</w:t>
                  </w:r>
                </w:p>
              </w:tc>
              <w:tc>
                <w:tcPr/>
                <w:p>
                  <w:pPr>
                    <w:pStyle w:val="Compact"/>
                    <w:jc w:val="left"/>
                    <w:jc w:val="center"/>
                  </w:pPr>
                  <w:r>
                    <w:t xml:space="preserve">1470 ± 167</w:t>
                  </w:r>
                </w:p>
              </w:tc>
              <w:tc>
                <w:tcPr/>
                <w:p>
                  <w:pPr>
                    <w:pStyle w:val="Compact"/>
                    <w:jc w:val="left"/>
                    <w:jc w:val="center"/>
                  </w:pPr>
                  <w:r>
                    <w:t xml:space="preserve">1370 ± 500</w:t>
                  </w:r>
                </w:p>
              </w:tc>
              <w:tc>
                <w:tcPr/>
                <w:p>
                  <w:pPr>
                    <w:pStyle w:val="Compact"/>
                    <w:jc w:val="left"/>
                    <w:jc w:val="center"/>
                  </w:pPr>
                  <w:r>
                    <w:t xml:space="preserve">1500 ± 455</w:t>
                  </w:r>
                </w:p>
              </w:tc>
              <w:tc>
                <w:tcPr/>
                <w:p>
                  <w:pPr>
                    <w:pStyle w:val="Compact"/>
                    <w:jc w:val="left"/>
                    <w:jc w:val="center"/>
                  </w:pPr>
                  <w:r>
                    <w:t xml:space="preserve">1710 ± 357</w:t>
                  </w:r>
                </w:p>
              </w:tc>
              <w:tc>
                <w:tcPr/>
                <w:p>
                  <w:pPr>
                    <w:pStyle w:val="Compact"/>
                    <w:jc w:val="left"/>
                    <w:jc w:val="center"/>
                  </w:pPr>
                  <w:r>
                    <w:rPr>
                      <w:i/>
                      <w:iCs/>
                    </w:rPr>
                    <w:t xml:space="preserve">p</w:t>
                  </w:r>
                  <w:r>
                    <w:t xml:space="preserve"> </w:t>
                  </w:r>
                  <w:r>
                    <w:t xml:space="preserve">= 0.3051</w:t>
                  </w:r>
                </w:p>
              </w:tc>
            </w:tr>
            <w:tr>
              <w:tc>
                <w:tcPr/>
                <w:p>
                  <w:pPr>
                    <w:pStyle w:val="Compact"/>
                    <w:jc w:val="left"/>
                    <w:jc w:val="center"/>
                  </w:pPr>
                  <w:r>
                    <w:t xml:space="preserve">TOC (mg L</w:t>
                  </w:r>
                  <w:r>
                    <w:rPr>
                      <w:vertAlign w:val="superscript"/>
                    </w:rPr>
                    <w:t xml:space="preserve">-1</w:t>
                  </w:r>
                  <w:r>
                    <w:t xml:space="preserve">)</w:t>
                  </w:r>
                </w:p>
              </w:tc>
              <w:tc>
                <w:tcPr/>
                <w:p>
                  <w:pPr>
                    <w:pStyle w:val="Compact"/>
                    <w:jc w:val="left"/>
                    <w:jc w:val="center"/>
                  </w:pPr>
                  <w:r>
                    <w:t xml:space="preserve">1.65 ± 0.16</w:t>
                  </w:r>
                </w:p>
              </w:tc>
              <w:tc>
                <w:tcPr/>
                <w:p>
                  <w:pPr>
                    <w:pStyle w:val="Compact"/>
                    <w:jc w:val="left"/>
                    <w:jc w:val="center"/>
                  </w:pPr>
                  <w:r>
                    <w:t xml:space="preserve">1.76 ± 0.49</w:t>
                  </w:r>
                </w:p>
              </w:tc>
              <w:tc>
                <w:tcPr/>
                <w:p>
                  <w:pPr>
                    <w:pStyle w:val="Compact"/>
                    <w:jc w:val="left"/>
                    <w:jc w:val="center"/>
                  </w:pPr>
                  <w:r>
                    <w:t xml:space="preserve">1.49 ± 0.29</w:t>
                  </w:r>
                </w:p>
              </w:tc>
              <w:tc>
                <w:tcPr/>
                <w:p>
                  <w:pPr>
                    <w:pStyle w:val="Compact"/>
                    <w:jc w:val="left"/>
                    <w:jc w:val="center"/>
                  </w:pPr>
                  <w:r>
                    <w:t xml:space="preserve">1.40 ± 0.22</w:t>
                  </w:r>
                </w:p>
              </w:tc>
              <w:tc>
                <w:tcPr/>
                <w:p>
                  <w:pPr>
                    <w:pStyle w:val="Compact"/>
                    <w:jc w:val="left"/>
                    <w:jc w:val="center"/>
                  </w:pPr>
                  <w:r>
                    <w:rPr>
                      <w:i/>
                      <w:iCs/>
                    </w:rPr>
                    <w:t xml:space="preserve">p</w:t>
                  </w:r>
                  <w:r>
                    <w:t xml:space="preserve"> </w:t>
                  </w:r>
                  <w:r>
                    <w:t xml:space="preserve">= 0.0565</w:t>
                  </w:r>
                </w:p>
              </w:tc>
            </w:tr>
            <w:tr>
              <w:tc>
                <w:tcPr/>
                <w:p>
                  <w:pPr>
                    <w:pStyle w:val="Compact"/>
                    <w:jc w:val="left"/>
                    <w:jc w:val="center"/>
                  </w:pPr>
                  <w:r>
                    <w:t xml:space="preserve">pH</w:t>
                  </w:r>
                </w:p>
              </w:tc>
              <w:tc>
                <w:tcPr/>
                <w:p>
                  <w:pPr>
                    <w:pStyle w:val="Compact"/>
                    <w:jc w:val="left"/>
                    <w:jc w:val="center"/>
                  </w:pPr>
                  <w:r>
                    <w:t xml:space="preserve">8.5 ± 0.4</w:t>
                  </w:r>
                </w:p>
              </w:tc>
              <w:tc>
                <w:tcPr/>
                <w:p>
                  <w:pPr>
                    <w:pStyle w:val="Compact"/>
                    <w:jc w:val="left"/>
                    <w:jc w:val="center"/>
                  </w:pPr>
                  <w:r>
                    <w:t xml:space="preserve">8.6 ± 0.5</w:t>
                  </w:r>
                </w:p>
              </w:tc>
              <w:tc>
                <w:tcPr/>
                <w:p>
                  <w:pPr>
                    <w:pStyle w:val="Compact"/>
                    <w:jc w:val="left"/>
                    <w:jc w:val="center"/>
                  </w:pPr>
                  <w:r>
                    <w:t xml:space="preserve">8.1 ± 0.4</w:t>
                  </w:r>
                </w:p>
              </w:tc>
              <w:tc>
                <w:tcPr/>
                <w:p>
                  <w:pPr>
                    <w:pStyle w:val="Compact"/>
                    <w:jc w:val="left"/>
                    <w:jc w:val="center"/>
                  </w:pPr>
                  <w:r>
                    <w:t xml:space="preserve">8.0 ± 0.4</w:t>
                  </w:r>
                </w:p>
              </w:tc>
              <w:tc>
                <w:tcPr/>
                <w:p>
                  <w:pPr>
                    <w:pStyle w:val="Compact"/>
                    <w:jc w:val="left"/>
                    <w:jc w:val="center"/>
                  </w:pPr>
                  <w:r>
                    <w:rPr>
                      <w:i/>
                      <w:iCs/>
                    </w:rPr>
                    <w:t xml:space="preserve">p</w:t>
                  </w:r>
                  <w:r>
                    <w:t xml:space="preserve"> </w:t>
                  </w:r>
                  <w:r>
                    <w:t xml:space="preserve">= 0.0023</w:t>
                  </w:r>
                </w:p>
              </w:tc>
            </w:tr>
            <w:tr>
              <w:tc>
                <w:tcPr/>
                <w:p>
                  <w:pPr>
                    <w:pStyle w:val="Compact"/>
                    <w:jc w:val="left"/>
                    <w:jc w:val="center"/>
                  </w:pPr>
                  <w:r>
                    <w:t xml:space="preserve">NO</w:t>
                  </w:r>
                  <w:r>
                    <w:rPr>
                      <w:vertAlign w:val="subscript"/>
                    </w:rPr>
                    <w:t xml:space="preserve">3</w:t>
                  </w:r>
                  <w:r>
                    <w:t xml:space="preserve">-N (μg L</w:t>
                  </w:r>
                  <w:r>
                    <w:rPr>
                      <w:vertAlign w:val="superscript"/>
                    </w:rPr>
                    <w:t xml:space="preserve">-1</w:t>
                  </w:r>
                  <w:r>
                    <w:t xml:space="preserve">)</w:t>
                  </w:r>
                </w:p>
              </w:tc>
              <w:tc>
                <w:tcPr/>
                <w:p>
                  <w:pPr>
                    <w:pStyle w:val="Compact"/>
                    <w:jc w:val="left"/>
                    <w:jc w:val="center"/>
                  </w:pPr>
                  <w:r>
                    <w:t xml:space="preserve">1030 ± 389</w:t>
                  </w:r>
                </w:p>
              </w:tc>
              <w:tc>
                <w:tcPr/>
                <w:p>
                  <w:pPr>
                    <w:pStyle w:val="Compact"/>
                    <w:jc w:val="left"/>
                    <w:jc w:val="center"/>
                  </w:pPr>
                  <w:r>
                    <w:t xml:space="preserve">872 ± 404</w:t>
                  </w:r>
                </w:p>
              </w:tc>
              <w:tc>
                <w:tcPr/>
                <w:p>
                  <w:pPr>
                    <w:pStyle w:val="Compact"/>
                    <w:jc w:val="left"/>
                    <w:jc w:val="center"/>
                  </w:pPr>
                  <w:r>
                    <w:t xml:space="preserve">1150 ± 301</w:t>
                  </w:r>
                </w:p>
              </w:tc>
              <w:tc>
                <w:tcPr/>
                <w:p>
                  <w:pPr>
                    <w:pStyle w:val="Compact"/>
                    <w:jc w:val="left"/>
                    <w:jc w:val="center"/>
                  </w:pPr>
                  <w:r>
                    <w:t xml:space="preserve">1410 ± 250</w:t>
                  </w:r>
                </w:p>
              </w:tc>
              <w:tc>
                <w:tcPr/>
                <w:p>
                  <w:pPr>
                    <w:pStyle w:val="Compact"/>
                    <w:jc w:val="left"/>
                    <w:jc w:val="center"/>
                  </w:pPr>
                  <w:r>
                    <w:rPr>
                      <w:i/>
                      <w:iCs/>
                    </w:rPr>
                    <w:t xml:space="preserve">p</w:t>
                  </w:r>
                  <w:r>
                    <w:t xml:space="preserve"> </w:t>
                  </w:r>
                  <w:r>
                    <w:t xml:space="preserve">= 0.0065</w:t>
                  </w:r>
                </w:p>
              </w:tc>
            </w:tr>
            <w:tr>
              <w:tc>
                <w:tcPr/>
                <w:p>
                  <w:pPr>
                    <w:pStyle w:val="Compact"/>
                    <w:jc w:val="left"/>
                    <w:jc w:val="center"/>
                  </w:pPr>
                  <w:r>
                    <w:t xml:space="preserve">NH</w:t>
                  </w:r>
                  <w:r>
                    <w:rPr>
                      <w:vertAlign w:val="subscript"/>
                    </w:rPr>
                    <w:t xml:space="preserve">4</w:t>
                  </w:r>
                  <w:r>
                    <w:t xml:space="preserve">-N (μg L</w:t>
                  </w:r>
                  <w:r>
                    <w:rPr>
                      <w:vertAlign w:val="superscript"/>
                    </w:rPr>
                    <w:t xml:space="preserve">-1</w:t>
                  </w:r>
                  <w:r>
                    <w:t xml:space="preserve">)</w:t>
                  </w:r>
                </w:p>
              </w:tc>
              <w:tc>
                <w:tcPr/>
                <w:p>
                  <w:pPr>
                    <w:pStyle w:val="Compact"/>
                    <w:jc w:val="left"/>
                    <w:jc w:val="center"/>
                  </w:pPr>
                  <w:r>
                    <w:t xml:space="preserve">193 ± 77</w:t>
                  </w:r>
                </w:p>
              </w:tc>
              <w:tc>
                <w:tcPr/>
                <w:p>
                  <w:pPr>
                    <w:pStyle w:val="Compact"/>
                    <w:jc w:val="left"/>
                    <w:jc w:val="center"/>
                  </w:pPr>
                  <w:r>
                    <w:t xml:space="preserve">159 ± 123</w:t>
                  </w:r>
                </w:p>
              </w:tc>
              <w:tc>
                <w:tcPr/>
                <w:p>
                  <w:pPr>
                    <w:pStyle w:val="Compact"/>
                    <w:jc w:val="left"/>
                    <w:jc w:val="center"/>
                  </w:pPr>
                  <w:r>
                    <w:t xml:space="preserve">155 ± 123</w:t>
                  </w:r>
                </w:p>
              </w:tc>
              <w:tc>
                <w:tcPr/>
                <w:p>
                  <w:pPr>
                    <w:pStyle w:val="Compact"/>
                    <w:jc w:val="left"/>
                    <w:jc w:val="center"/>
                  </w:pPr>
                  <w:r>
                    <w:t xml:space="preserve">94 ± 83</w:t>
                  </w:r>
                </w:p>
              </w:tc>
              <w:tc>
                <w:tcPr/>
                <w:p>
                  <w:pPr>
                    <w:pStyle w:val="Compact"/>
                    <w:jc w:val="left"/>
                    <w:jc w:val="center"/>
                  </w:pPr>
                  <w:r>
                    <w:rPr>
                      <w:i/>
                      <w:iCs/>
                    </w:rPr>
                    <w:t xml:space="preserve">p</w:t>
                  </w:r>
                  <w:r>
                    <w:t xml:space="preserve"> </w:t>
                  </w:r>
                  <w:r>
                    <w:t xml:space="preserve">= 0.2090</w:t>
                  </w:r>
                </w:p>
              </w:tc>
            </w:tr>
            <w:tr>
              <w:tc>
                <w:tcPr/>
                <w:p>
                  <w:pPr>
                    <w:pStyle w:val="Compact"/>
                    <w:jc w:val="left"/>
                    <w:jc w:val="center"/>
                  </w:pPr>
                  <w:r>
                    <w:t xml:space="preserve">DO (mg L</w:t>
                  </w:r>
                  <w:r>
                    <w:rPr>
                      <w:vertAlign w:val="superscript"/>
                    </w:rPr>
                    <w:t xml:space="preserve">-1</w:t>
                  </w:r>
                  <w:r>
                    <w:t xml:space="preserve">)</w:t>
                  </w:r>
                </w:p>
              </w:tc>
              <w:tc>
                <w:tcPr/>
                <w:p>
                  <w:pPr>
                    <w:pStyle w:val="Compact"/>
                    <w:jc w:val="left"/>
                    <w:jc w:val="center"/>
                  </w:pPr>
                  <w:r>
                    <w:t xml:space="preserve">6.5 ± 1.5</w:t>
                  </w:r>
                </w:p>
              </w:tc>
              <w:tc>
                <w:tcPr/>
                <w:p>
                  <w:pPr>
                    <w:pStyle w:val="Compact"/>
                    <w:jc w:val="left"/>
                    <w:jc w:val="center"/>
                  </w:pPr>
                  <w:r>
                    <w:t xml:space="preserve">6.6 ± 1.3</w:t>
                  </w:r>
                </w:p>
              </w:tc>
              <w:tc>
                <w:tcPr/>
                <w:p>
                  <w:pPr>
                    <w:pStyle w:val="Compact"/>
                    <w:jc w:val="left"/>
                    <w:jc w:val="center"/>
                  </w:pPr>
                  <w:r>
                    <w:t xml:space="preserve">7.2 ± 1.4</w:t>
                  </w:r>
                </w:p>
              </w:tc>
              <w:tc>
                <w:tcPr/>
                <w:p>
                  <w:pPr>
                    <w:pStyle w:val="Compact"/>
                    <w:jc w:val="left"/>
                    <w:jc w:val="center"/>
                  </w:pPr>
                  <w:r>
                    <w:t xml:space="preserve">7.3 ± 1.6</w:t>
                  </w:r>
                </w:p>
              </w:tc>
              <w:tc>
                <w:tcPr/>
                <w:p>
                  <w:pPr>
                    <w:pStyle w:val="Compact"/>
                    <w:jc w:val="left"/>
                    <w:jc w:val="center"/>
                  </w:pPr>
                  <w:r>
                    <w:rPr>
                      <w:i/>
                      <w:iCs/>
                    </w:rPr>
                    <w:t xml:space="preserve">p</w:t>
                  </w:r>
                  <w:r>
                    <w:t xml:space="preserve"> </w:t>
                  </w:r>
                  <w:r>
                    <w:t xml:space="preserve">= 0.4690</w:t>
                  </w:r>
                </w:p>
              </w:tc>
            </w:tr>
            <w:tr>
              <w:tc>
                <w:tcPr/>
                <w:p>
                  <w:pPr>
                    <w:pStyle w:val="Compact"/>
                    <w:jc w:val="left"/>
                    <w:jc w:val="center"/>
                  </w:pPr>
                  <w:r>
                    <w:t xml:space="preserve">COD (mg L</w:t>
                  </w:r>
                  <w:r>
                    <w:rPr>
                      <w:vertAlign w:val="superscript"/>
                    </w:rPr>
                    <w:t xml:space="preserve">-1</w:t>
                  </w:r>
                  <w:r>
                    <w:t xml:space="preserve">)</w:t>
                  </w:r>
                </w:p>
              </w:tc>
              <w:tc>
                <w:tcPr/>
                <w:p>
                  <w:pPr>
                    <w:pStyle w:val="Compact"/>
                    <w:jc w:val="left"/>
                    <w:jc w:val="center"/>
                  </w:pPr>
                  <w:r>
                    <w:t xml:space="preserve">5.3 ± 1.4</w:t>
                  </w:r>
                </w:p>
              </w:tc>
              <w:tc>
                <w:tcPr/>
                <w:p>
                  <w:pPr>
                    <w:pStyle w:val="Compact"/>
                    <w:jc w:val="left"/>
                    <w:jc w:val="center"/>
                  </w:pPr>
                  <w:r>
                    <w:t xml:space="preserve">6.1 ± 2.7</w:t>
                  </w:r>
                </w:p>
              </w:tc>
              <w:tc>
                <w:tcPr/>
                <w:p>
                  <w:pPr>
                    <w:pStyle w:val="Compact"/>
                    <w:jc w:val="left"/>
                    <w:jc w:val="center"/>
                  </w:pPr>
                  <w:r>
                    <w:t xml:space="preserve">5.6 ± 1.9</w:t>
                  </w:r>
                </w:p>
              </w:tc>
              <w:tc>
                <w:tcPr/>
                <w:p>
                  <w:pPr>
                    <w:pStyle w:val="Compact"/>
                    <w:jc w:val="left"/>
                    <w:jc w:val="center"/>
                  </w:pPr>
                  <w:r>
                    <w:t xml:space="preserve">5.2 ± 2.2</w:t>
                  </w:r>
                </w:p>
              </w:tc>
              <w:tc>
                <w:tcPr/>
                <w:p>
                  <w:pPr>
                    <w:pStyle w:val="Compact"/>
                    <w:jc w:val="left"/>
                    <w:jc w:val="center"/>
                  </w:pPr>
                  <w:r>
                    <w:rPr>
                      <w:i/>
                      <w:iCs/>
                    </w:rPr>
                    <w:t xml:space="preserve">p</w:t>
                  </w:r>
                  <w:r>
                    <w:t xml:space="preserve"> </w:t>
                  </w:r>
                  <w:r>
                    <w:t xml:space="preserve">= 0.7364</w:t>
                  </w:r>
                </w:p>
              </w:tc>
            </w:tr>
            <w:tr>
              <w:tc>
                <w:tcPr/>
                <w:p>
                  <w:pPr>
                    <w:pStyle w:val="Compact"/>
                    <w:jc w:val="left"/>
                    <w:jc w:val="center"/>
                  </w:pPr>
                  <w:r>
                    <w:t xml:space="preserve">Phytoplankton (×10</w:t>
                  </w:r>
                  <w:r>
                    <w:rPr>
                      <w:vertAlign w:val="superscript"/>
                    </w:rPr>
                    <w:t xml:space="preserve">6</w:t>
                  </w:r>
                  <w:r>
                    <w:t xml:space="preserve"> </w:t>
                  </w:r>
                  <w:r>
                    <w:t xml:space="preserve">cell L</w:t>
                  </w:r>
                  <w:r>
                    <w:rPr>
                      <w:vertAlign w:val="superscript"/>
                    </w:rPr>
                    <w:t xml:space="preserve">-1</w:t>
                  </w:r>
                  <w:r>
                    <w:t xml:space="preserve">)</w:t>
                  </w:r>
                </w:p>
              </w:tc>
              <w:tc>
                <w:tcPr/>
                <w:p>
                  <w:pPr>
                    <w:pStyle w:val="Compact"/>
                    <w:jc w:val="left"/>
                    <w:jc w:val="center"/>
                  </w:pPr>
                  <w:r>
                    <w:t xml:space="preserve">39.7 ± 38.2</w:t>
                  </w:r>
                </w:p>
              </w:tc>
              <w:tc>
                <w:tcPr/>
                <w:p>
                  <w:pPr>
                    <w:pStyle w:val="Compact"/>
                    <w:jc w:val="left"/>
                    <w:jc w:val="center"/>
                  </w:pPr>
                  <w:r>
                    <w:t xml:space="preserve">54.1 ± 48.8</w:t>
                  </w:r>
                </w:p>
              </w:tc>
              <w:tc>
                <w:tcPr/>
                <w:p>
                  <w:pPr>
                    <w:pStyle w:val="Compact"/>
                    <w:jc w:val="left"/>
                    <w:jc w:val="center"/>
                  </w:pPr>
                  <w:r>
                    <w:t xml:space="preserve">13.6 ± 19.6</w:t>
                  </w:r>
                </w:p>
              </w:tc>
              <w:tc>
                <w:tcPr/>
                <w:p>
                  <w:pPr>
                    <w:pStyle w:val="Compact"/>
                    <w:jc w:val="left"/>
                    <w:jc w:val="center"/>
                  </w:pPr>
                  <w:r>
                    <w:t xml:space="preserve">9.6 ± 15.4</w:t>
                  </w:r>
                </w:p>
              </w:tc>
              <w:tc>
                <w:tcPr/>
                <w:p>
                  <w:pPr>
                    <w:pStyle w:val="Compact"/>
                    <w:jc w:val="left"/>
                    <w:jc w:val="center"/>
                  </w:pPr>
                  <w:r>
                    <w:rPr>
                      <w:i/>
                      <w:iCs/>
                    </w:rPr>
                    <w:t xml:space="preserve">p</w:t>
                  </w:r>
                  <w:r>
                    <w:t xml:space="preserve"> </w:t>
                  </w:r>
                  <w:r>
                    <w:t xml:space="preserve">= 0.0084</w:t>
                  </w:r>
                </w:p>
              </w:tc>
            </w:tr>
            <w:tr>
              <w:tc>
                <w:tcPr/>
                <w:p>
                  <w:pPr>
                    <w:pStyle w:val="Compact"/>
                    <w:jc w:val="left"/>
                    <w:jc w:val="center"/>
                  </w:pPr>
                  <w:r>
                    <w:t xml:space="preserve">HRT (d)</w:t>
                  </w:r>
                </w:p>
              </w:tc>
              <w:tc>
                <w:tcPr/>
                <w:p>
                  <w:pPr>
                    <w:pStyle w:val="Compact"/>
                    <w:jc w:val="left"/>
                    <w:jc w:val="center"/>
                  </w:pPr>
                  <w:r>
                    <w:t xml:space="preserve">25.8 ± 13.8</w:t>
                  </w:r>
                </w:p>
              </w:tc>
              <w:tc>
                <w:tcPr/>
                <w:p>
                  <w:pPr>
                    <w:pStyle w:val="Compact"/>
                    <w:jc w:val="left"/>
                    <w:jc w:val="center"/>
                  </w:pPr>
                  <w:r>
                    <w:t xml:space="preserve">15.3 ± 3.9</w:t>
                  </w:r>
                </w:p>
              </w:tc>
              <w:tc>
                <w:tcPr/>
                <w:p>
                  <w:pPr>
                    <w:pStyle w:val="Compact"/>
                    <w:jc w:val="left"/>
                    <w:jc w:val="center"/>
                  </w:pPr>
                  <w:r>
                    <w:t xml:space="preserve">16.8 ± 2.8</w:t>
                  </w:r>
                </w:p>
              </w:tc>
              <w:tc>
                <w:tcPr/>
                <w:p>
                  <w:pPr>
                    <w:pStyle w:val="Compact"/>
                    <w:jc w:val="left"/>
                    <w:jc w:val="center"/>
                  </w:pPr>
                  <w:r>
                    <w:t xml:space="preserve">21.8 ± 5.7</w:t>
                  </w:r>
                </w:p>
              </w:tc>
              <w:tc>
                <w:tcPr/>
                <w:p>
                  <w:pPr>
                    <w:pStyle w:val="Compact"/>
                    <w:jc w:val="left"/>
                    <w:jc w:val="center"/>
                  </w:pPr>
                  <w:r>
                    <w:rPr>
                      <w:i/>
                      <w:iCs/>
                    </w:rPr>
                    <w:t xml:space="preserve">p</w:t>
                  </w:r>
                  <w:r>
                    <w:t xml:space="preserve"> </w:t>
                  </w:r>
                  <w:r>
                    <w:t xml:space="preserve">= 0.0092</w:t>
                  </w:r>
                </w:p>
              </w:tc>
            </w:tr>
          </w:tbl>
          <w:bookmarkEnd w:id="63"/>
          <w:p/>
        </w:tc>
      </w:tr>
    </w:tbl>
    <w:p>
      <w:r>
        <w:br w:type="page"/>
      </w:r>
    </w:p>
    <w:tbl>
      <w:tblPr>
        <w:tblStyle w:val="Table"/>
        <w:tblW w:type="pct" w:w="5000"/>
        <w:tblLayout w:type="fixed"/>
        <w:tblLook w:firstRow="0" w:lastRow="0" w:firstColumn="0" w:lastColumn="0" w:noHBand="0" w:noVBand="0" w:val="0000"/>
      </w:tblPr>
      <w:tblGrid>
        <w:gridCol w:w="7920"/>
      </w:tblGrid>
      <w:tr>
        <w:tc>
          <w:tcPr/>
          <w:bookmarkStart w:id="64" w:name="tbl-mibproduceridentification"/>
          <w:p>
            <w:pPr>
              <w:jc w:val="center"/>
            </w:pPr>
            <w:pPr>
              <w:jc w:val="start"/>
              <w:spacing w:before="200"/>
              <w:pStyle w:val="ImageCaption"/>
            </w:pPr>
            <w:r>
              <w:t xml:space="preserve">Table 4 The MIB-producing cyanobacteria genera identified by</w:t>
            </w:r>
            <w:r>
              <w:t xml:space="preserve"> </w:t>
            </w:r>
            <w:r>
              <w:rPr>
                <w:i/>
                <w:iCs/>
              </w:rPr>
              <w:t xml:space="preserve">mic</w:t>
            </w:r>
            <w:r>
              <w:t xml:space="preserve"> </w:t>
            </w:r>
            <w:r>
              <w:t xml:space="preserve">sequence in NP Reservoir</w:t>
            </w:r>
          </w:p>
          <w:tbl>
            <w:tblPr>
              <w:tblStyle w:val="Table"/>
              <w:tblW w:type="pct" w:w="5000"/>
              <w:tblLayout w:type="fixed"/>
              <w:tblLook w:firstRow="1" w:lastRow="0" w:firstColumn="0" w:lastColumn="0" w:noHBand="0" w:noVBand="0" w:val="0020"/>
            </w:tblPr>
            <w:tblGrid>
              <w:gridCol w:w="1584"/>
              <w:gridCol w:w="1795"/>
              <w:gridCol w:w="2217"/>
              <w:gridCol w:w="1056"/>
              <w:gridCol w:w="1267"/>
            </w:tblGrid>
            <w:tr>
              <w:trPr>
                <w:tblHeader w:val="on"/>
              </w:trPr>
              <w:tc>
                <w:tcPr/>
                <w:p>
                  <w:pPr>
                    <w:pStyle w:val="Compact"/>
                    <w:jc w:val="left"/>
                    <w:jc w:val="center"/>
                  </w:pPr>
                  <w:r>
                    <w:rPr>
                      <w:b/>
                      <w:bCs/>
                    </w:rPr>
                    <w:t xml:space="preserve">Phylum</w:t>
                  </w:r>
                </w:p>
              </w:tc>
              <w:tc>
                <w:tcPr/>
                <w:p>
                  <w:pPr>
                    <w:pStyle w:val="Compact"/>
                    <w:jc w:val="left"/>
                    <w:jc w:val="center"/>
                  </w:pPr>
                  <w:r>
                    <w:rPr>
                      <w:b/>
                      <w:bCs/>
                    </w:rPr>
                    <w:t xml:space="preserve">Order</w:t>
                  </w:r>
                </w:p>
              </w:tc>
              <w:tc>
                <w:tcPr/>
                <w:p>
                  <w:pPr>
                    <w:pStyle w:val="Compact"/>
                    <w:jc w:val="left"/>
                    <w:jc w:val="center"/>
                  </w:pPr>
                  <w:r>
                    <w:rPr>
                      <w:b/>
                      <w:bCs/>
                    </w:rPr>
                    <w:t xml:space="preserve">Genus</w:t>
                  </w:r>
                </w:p>
              </w:tc>
              <w:tc>
                <w:tcPr/>
                <w:p>
                  <w:pPr>
                    <w:pStyle w:val="Compact"/>
                    <w:jc w:val="left"/>
                    <w:jc w:val="center"/>
                  </w:pPr>
                  <w:r>
                    <w:rPr>
                      <w:b/>
                      <w:bCs/>
                    </w:rPr>
                    <w:t xml:space="preserve">July</w:t>
                  </w:r>
                </w:p>
              </w:tc>
              <w:tc>
                <w:tcPr/>
                <w:p>
                  <w:pPr>
                    <w:pStyle w:val="Compact"/>
                    <w:jc w:val="left"/>
                    <w:jc w:val="center"/>
                  </w:pPr>
                  <w:r>
                    <w:rPr>
                      <w:b/>
                      <w:bCs/>
                    </w:rPr>
                    <w:t xml:space="preserve">August</w:t>
                  </w:r>
                </w:p>
              </w:tc>
            </w:tr>
            <w:tr>
              <w:tc>
                <w:tcPr/>
                <w:p>
                  <w:pPr>
                    <w:pStyle w:val="Compact"/>
                    <w:jc w:val="left"/>
                    <w:jc w:val="center"/>
                  </w:pPr>
                  <w:r>
                    <w:t xml:space="preserve">Cyanobacteria</w:t>
                  </w:r>
                </w:p>
              </w:tc>
              <w:tc>
                <w:tcPr/>
                <w:p>
                  <w:pPr>
                    <w:pStyle w:val="Compact"/>
                    <w:jc w:val="left"/>
                    <w:jc w:val="center"/>
                  </w:pPr>
                  <w:r>
                    <w:t xml:space="preserve">Synechococcales</w:t>
                  </w:r>
                </w:p>
              </w:tc>
              <w:tc>
                <w:tcPr/>
                <w:p>
                  <w:pPr>
                    <w:pStyle w:val="Compact"/>
                    <w:jc w:val="left"/>
                    <w:jc w:val="center"/>
                  </w:pPr>
                  <w:r>
                    <w:rPr>
                      <w:i/>
                      <w:iCs/>
                    </w:rPr>
                    <w:t xml:space="preserve">Pseudanabaena</w:t>
                  </w:r>
                </w:p>
              </w:tc>
              <w:tc>
                <w:tcPr/>
                <w:p>
                  <w:pPr>
                    <w:pStyle w:val="Compact"/>
                    <w:jc w:val="left"/>
                    <w:jc w:val="center"/>
                  </w:pPr>
                  <w:r>
                    <w:t xml:space="preserve">83.6 %</w:t>
                  </w:r>
                </w:p>
              </w:tc>
              <w:tc>
                <w:tcPr/>
                <w:p>
                  <w:pPr>
                    <w:pStyle w:val="Compact"/>
                    <w:jc w:val="left"/>
                    <w:jc w:val="center"/>
                  </w:pPr>
                  <w:r>
                    <w:t xml:space="preserve">88.3 %</w:t>
                  </w:r>
                </w:p>
              </w:tc>
            </w:tr>
            <w:tr>
              <w:tc>
                <w:tcPr/>
                <w:p>
                  <w:pPr>
                    <w:pStyle w:val="Compact"/>
                    <w:jc w:val="left"/>
                    <w:jc w:val="center"/>
                  </w:pPr>
                  <w:r>
                    <w:t xml:space="preserve">Cyanobacteria</w:t>
                  </w:r>
                </w:p>
              </w:tc>
              <w:tc>
                <w:tcPr/>
                <w:p>
                  <w:pPr>
                    <w:pStyle w:val="Compact"/>
                    <w:jc w:val="left"/>
                    <w:jc w:val="center"/>
                  </w:pPr>
                  <w:r>
                    <w:t xml:space="preserve">Oscillatoriales</w:t>
                  </w:r>
                </w:p>
              </w:tc>
              <w:tc>
                <w:tcPr/>
                <w:p>
                  <w:pPr>
                    <w:pStyle w:val="Compact"/>
                    <w:jc w:val="left"/>
                    <w:jc w:val="center"/>
                  </w:pPr>
                  <w:r>
                    <w:rPr>
                      <w:i/>
                      <w:iCs/>
                    </w:rPr>
                    <w:t xml:space="preserve">Planktothricoides</w:t>
                  </w:r>
                </w:p>
              </w:tc>
              <w:tc>
                <w:tcPr/>
                <w:p>
                  <w:pPr>
                    <w:pStyle w:val="Compact"/>
                    <w:jc w:val="left"/>
                    <w:jc w:val="center"/>
                  </w:pPr>
                  <w:r>
                    <w:t xml:space="preserve">16.4 %</w:t>
                  </w:r>
                </w:p>
              </w:tc>
              <w:tc>
                <w:tcPr/>
                <w:p>
                  <w:pPr>
                    <w:pStyle w:val="Compact"/>
                    <w:jc w:val="left"/>
                    <w:jc w:val="center"/>
                  </w:pPr>
                  <w:r>
                    <w:t xml:space="preserve">11.7%</w:t>
                  </w:r>
                </w:p>
              </w:tc>
            </w:tr>
          </w:tbl>
          <w:bookmarkEnd w:id="64"/>
          <w:p/>
        </w:tc>
      </w:tr>
    </w:tbl>
    <w:p>
      <w:pPr>
        <w:pStyle w:val="BodyText"/>
      </w:pPr>
      <w:r>
        <w:t xml:space="preserve">To identify the MIB-producing cyanobacteria genera in NP Reservoir, water samples were collected in July and August, 2020 when serious MIB episode occurred. The universal primer for MIB gene (</w:t>
      </w:r>
      <w:r>
        <w:rPr>
          <w:i/>
          <w:iCs/>
        </w:rPr>
        <w:t xml:space="preserve">mic</w:t>
      </w:r>
      <w:r>
        <w:t xml:space="preserve">)</w:t>
      </w:r>
      <w:r>
        <w:t xml:space="preserve"> </w:t>
      </w:r>
      <w:r>
        <w:t xml:space="preserve">(Suruzzaman et al., 2022)</w:t>
      </w:r>
      <w:r>
        <w:t xml:space="preserve"> </w:t>
      </w:r>
      <w:r>
        <w:t xml:space="preserve">was used to amplify samples genome and was Illumina MiSeq sequenced. The data was phylogenetic classification assigned using Silva 128 database. The result declared that the MIB-producers in NP Reservoir was</w:t>
      </w:r>
      <w:r>
        <w:t xml:space="preserve"> </w:t>
      </w:r>
      <w:r>
        <w:rPr>
          <w:i/>
          <w:iCs/>
        </w:rPr>
        <w:t xml:space="preserve">Pseudanabaena</w:t>
      </w:r>
      <w:r>
        <w:t xml:space="preserve"> </w:t>
      </w:r>
      <w:r>
        <w:t xml:space="preserve">and</w:t>
      </w:r>
      <w:r>
        <w:t xml:space="preserve"> </w:t>
      </w:r>
      <w:r>
        <w:rPr>
          <w:i/>
          <w:iCs/>
        </w:rPr>
        <w:t xml:space="preserve">Planktothricoides</w:t>
      </w:r>
      <w:r>
        <w:t xml:space="preserve">.</w:t>
      </w:r>
    </w:p>
    <w:p>
      <w:r>
        <w:br w:type="page"/>
      </w:r>
    </w:p>
    <w:tbl>
      <w:tblPr>
        <w:tblStyle w:val="Table"/>
        <w:tblW w:type="pct" w:w="5000"/>
        <w:tblLayout w:type="fixed"/>
        <w:tblLook w:firstRow="0" w:lastRow="0" w:firstColumn="0" w:lastColumn="0" w:noHBand="0" w:noVBand="0" w:val="0000"/>
      </w:tblPr>
      <w:tblGrid>
        <w:gridCol w:w="7920"/>
      </w:tblGrid>
      <w:tr>
        <w:tc>
          <w:tcPr/>
          <w:bookmarkStart w:id="65" w:name="tbl-wqsigonmib"/>
          <w:p>
            <w:pPr>
              <w:jc w:val="center"/>
            </w:pPr>
            <w:pPr>
              <w:jc w:val="start"/>
              <w:spacing w:before="200"/>
              <w:pStyle w:val="ImageCaption"/>
            </w:pPr>
            <w:r>
              <w:t xml:space="preserve">Table 5 The differences of main limnological parameters characteristics between the periods with and without MIB episodes (MIB &gt; 10 ng L</w:t>
            </w:r>
            <w:r>
              <w:rPr>
                <w:vertAlign w:val="superscript"/>
              </w:rPr>
              <w:t xml:space="preserve">-1</w:t>
            </w:r>
            <w:r>
              <w:t xml:space="preserve">), all values are expressed as mean values with standard deviations, variance analysis were performed to compare the differences (n = 45).</w:t>
            </w:r>
          </w:p>
          <w:tbl>
            <w:tblPr>
              <w:tblStyle w:val="Table"/>
              <w:tblW w:type="pct" w:w="5000"/>
              <w:tblLayout w:type="fixed"/>
              <w:tblLook w:firstRow="1" w:lastRow="0" w:firstColumn="0" w:lastColumn="0" w:noHBand="0" w:noVBand="0" w:val="0020"/>
            </w:tblPr>
            <w:tblGrid>
              <w:gridCol w:w="2980"/>
              <w:gridCol w:w="1532"/>
              <w:gridCol w:w="1788"/>
              <w:gridCol w:w="1618"/>
            </w:tblGrid>
            <w:tr>
              <w:trPr>
                <w:tblHeader w:val="on"/>
              </w:trPr>
              <w:tc>
                <w:tcPr/>
                <w:p>
                  <w:pPr>
                    <w:pStyle w:val="Compact"/>
                    <w:jc w:val="left"/>
                    <w:jc w:val="center"/>
                  </w:pPr>
                  <w:r>
                    <w:rPr>
                      <w:b/>
                      <w:bCs/>
                    </w:rPr>
                    <w:t xml:space="preserve">Parameters</w:t>
                  </w:r>
                </w:p>
              </w:tc>
              <w:tc>
                <w:tcPr/>
                <w:p>
                  <w:pPr>
                    <w:pStyle w:val="Compact"/>
                    <w:jc w:val="left"/>
                    <w:jc w:val="center"/>
                  </w:pPr>
                  <w:r>
                    <w:rPr>
                      <w:b/>
                      <w:bCs/>
                    </w:rPr>
                    <w:t xml:space="preserve">MIB episodes</w:t>
                  </w:r>
                </w:p>
              </w:tc>
              <w:tc>
                <w:tcPr/>
                <w:p>
                  <w:pPr>
                    <w:pStyle w:val="Compact"/>
                    <w:jc w:val="left"/>
                    <w:jc w:val="center"/>
                  </w:pPr>
                  <w:r>
                    <w:rPr>
                      <w:b/>
                      <w:bCs/>
                    </w:rPr>
                    <w:t xml:space="preserve">No MIB episodes</w:t>
                  </w:r>
                </w:p>
              </w:tc>
              <w:tc>
                <w:tcPr/>
                <w:p>
                  <w:pPr>
                    <w:pStyle w:val="Compact"/>
                    <w:jc w:val="left"/>
                    <w:jc w:val="center"/>
                  </w:pPr>
                  <w:r>
                    <w:rPr>
                      <w:b/>
                      <w:bCs/>
                      <w:i/>
                      <w:iCs/>
                    </w:rPr>
                    <w:t xml:space="preserve">p</w:t>
                  </w:r>
                  <w:r>
                    <w:rPr>
                      <w:b/>
                      <w:bCs/>
                    </w:rPr>
                    <w:t xml:space="preserve">-value</w:t>
                  </w:r>
                </w:p>
              </w:tc>
            </w:tr>
            <w:tr>
              <w:tc>
                <w:tcPr/>
                <w:p>
                  <w:pPr>
                    <w:pStyle w:val="Compact"/>
                    <w:jc w:val="left"/>
                    <w:jc w:val="center"/>
                  </w:pPr>
                  <w:r>
                    <w:t xml:space="preserve">MIB</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56.1 ± 26.2</w:t>
                  </w:r>
                </w:p>
              </w:tc>
              <w:tc>
                <w:tcPr/>
                <w:p>
                  <w:pPr>
                    <w:pStyle w:val="Compact"/>
                    <w:jc w:val="left"/>
                    <w:jc w:val="center"/>
                  </w:pPr>
                  <w:r>
                    <w:t xml:space="preserve">8.3 ± 8.9</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GSM</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3.2 ± 2.6</w:t>
                  </w:r>
                </w:p>
              </w:tc>
              <w:tc>
                <w:tcPr/>
                <w:p>
                  <w:pPr>
                    <w:pStyle w:val="Compact"/>
                    <w:jc w:val="left"/>
                    <w:jc w:val="center"/>
                  </w:pPr>
                  <w:r>
                    <w:t xml:space="preserve">2.3 ± 2.2</w:t>
                  </w:r>
                </w:p>
              </w:tc>
              <w:tc>
                <w:tcPr/>
                <w:p>
                  <w:pPr>
                    <w:pStyle w:val="Compact"/>
                    <w:jc w:val="left"/>
                    <w:jc w:val="center"/>
                  </w:pPr>
                  <w:r>
                    <w:rPr>
                      <w:i/>
                      <w:iCs/>
                    </w:rPr>
                    <w:t xml:space="preserve">p</w:t>
                  </w:r>
                  <w:r>
                    <w:t xml:space="preserve"> </w:t>
                  </w:r>
                  <w:r>
                    <w:t xml:space="preserve">= 0.2721</w:t>
                  </w:r>
                </w:p>
              </w:tc>
            </w:tr>
            <w:tr>
              <w:tc>
                <w:tcPr/>
                <w:p>
                  <w:pPr>
                    <w:pStyle w:val="Compact"/>
                    <w:jc w:val="left"/>
                    <w:jc w:val="center"/>
                  </w:pPr>
                  <w:r>
                    <w:t xml:space="preserve">Temp. (°C)</w:t>
                  </w:r>
                </w:p>
              </w:tc>
              <w:tc>
                <w:tcPr/>
                <w:p>
                  <w:pPr>
                    <w:pStyle w:val="Compact"/>
                    <w:jc w:val="left"/>
                    <w:jc w:val="center"/>
                  </w:pPr>
                  <w:r>
                    <w:t xml:space="preserve">24.9 ± 3.2</w:t>
                  </w:r>
                </w:p>
              </w:tc>
              <w:tc>
                <w:tcPr/>
                <w:p>
                  <w:pPr>
                    <w:pStyle w:val="Compact"/>
                    <w:jc w:val="left"/>
                    <w:jc w:val="center"/>
                  </w:pPr>
                  <w:r>
                    <w:t xml:space="preserve">23.2 ± 3.4</w:t>
                  </w:r>
                </w:p>
              </w:tc>
              <w:tc>
                <w:tcPr/>
                <w:p>
                  <w:pPr>
                    <w:pStyle w:val="Compact"/>
                    <w:jc w:val="left"/>
                    <w:jc w:val="center"/>
                  </w:pPr>
                  <w:r>
                    <w:rPr>
                      <w:i/>
                      <w:iCs/>
                    </w:rPr>
                    <w:t xml:space="preserve">p</w:t>
                  </w:r>
                  <w:r>
                    <w:t xml:space="preserve"> </w:t>
                  </w:r>
                  <w:r>
                    <w:t xml:space="preserve">= 0.1632</w:t>
                  </w:r>
                </w:p>
              </w:tc>
            </w:tr>
            <w:tr>
              <w:tc>
                <w:tcPr/>
                <w:p>
                  <w:pPr>
                    <w:pStyle w:val="Compact"/>
                    <w:jc w:val="left"/>
                    <w:jc w:val="center"/>
                  </w:pPr>
                  <w:r>
                    <w:t xml:space="preserve">TP (μg L</w:t>
                  </w:r>
                  <w:r>
                    <w:rPr>
                      <w:vertAlign w:val="superscript"/>
                    </w:rPr>
                    <w:t xml:space="preserve">-1</w:t>
                  </w:r>
                  <w:r>
                    <w:t xml:space="preserve">)</w:t>
                  </w:r>
                </w:p>
              </w:tc>
              <w:tc>
                <w:tcPr/>
                <w:p>
                  <w:pPr>
                    <w:pStyle w:val="Compact"/>
                    <w:jc w:val="left"/>
                    <w:jc w:val="center"/>
                  </w:pPr>
                  <w:r>
                    <w:t xml:space="preserve">33 ± 26</w:t>
                  </w:r>
                </w:p>
              </w:tc>
              <w:tc>
                <w:tcPr/>
                <w:p>
                  <w:pPr>
                    <w:pStyle w:val="Compact"/>
                    <w:jc w:val="left"/>
                    <w:jc w:val="center"/>
                  </w:pPr>
                  <w:r>
                    <w:t xml:space="preserve">38 ± 33</w:t>
                  </w:r>
                </w:p>
              </w:tc>
              <w:tc>
                <w:tcPr/>
                <w:p>
                  <w:pPr>
                    <w:pStyle w:val="Compact"/>
                    <w:jc w:val="left"/>
                    <w:jc w:val="center"/>
                  </w:pPr>
                  <w:r>
                    <w:rPr>
                      <w:i/>
                      <w:iCs/>
                    </w:rPr>
                    <w:t xml:space="preserve">p</w:t>
                  </w:r>
                  <w:r>
                    <w:t xml:space="preserve"> </w:t>
                  </w:r>
                  <w:r>
                    <w:t xml:space="preserve">= 0.6973</w:t>
                  </w:r>
                </w:p>
              </w:tc>
            </w:tr>
            <w:tr>
              <w:tc>
                <w:tcPr/>
                <w:p>
                  <w:pPr>
                    <w:pStyle w:val="Compact"/>
                    <w:jc w:val="left"/>
                    <w:jc w:val="center"/>
                  </w:pPr>
                  <w:r>
                    <w:t xml:space="preserve">TOC (mg L</w:t>
                  </w:r>
                  <w:r>
                    <w:rPr>
                      <w:vertAlign w:val="superscript"/>
                    </w:rPr>
                    <w:t xml:space="preserve">-1</w:t>
                  </w:r>
                  <w:r>
                    <w:t xml:space="preserve">)</w:t>
                  </w:r>
                </w:p>
              </w:tc>
              <w:tc>
                <w:tcPr/>
                <w:p>
                  <w:pPr>
                    <w:pStyle w:val="Compact"/>
                    <w:jc w:val="left"/>
                    <w:jc w:val="center"/>
                  </w:pPr>
                  <w:r>
                    <w:t xml:space="preserve">1.68 ± 0.40</w:t>
                  </w:r>
                </w:p>
              </w:tc>
              <w:tc>
                <w:tcPr/>
                <w:p>
                  <w:pPr>
                    <w:pStyle w:val="Compact"/>
                    <w:jc w:val="left"/>
                    <w:jc w:val="center"/>
                  </w:pPr>
                  <w:r>
                    <w:t xml:space="preserve">1.55 ± 0.33</w:t>
                  </w:r>
                </w:p>
              </w:tc>
              <w:tc>
                <w:tcPr/>
                <w:p>
                  <w:pPr>
                    <w:pStyle w:val="Compact"/>
                    <w:jc w:val="left"/>
                    <w:jc w:val="center"/>
                  </w:pPr>
                  <w:r>
                    <w:rPr>
                      <w:i/>
                      <w:iCs/>
                    </w:rPr>
                    <w:t xml:space="preserve">p</w:t>
                  </w:r>
                  <w:r>
                    <w:t xml:space="preserve"> </w:t>
                  </w:r>
                  <w:r>
                    <w:t xml:space="preserve">= 0.2857</w:t>
                  </w:r>
                </w:p>
              </w:tc>
            </w:tr>
            <w:tr>
              <w:tc>
                <w:tcPr/>
                <w:p>
                  <w:pPr>
                    <w:pStyle w:val="Compact"/>
                    <w:jc w:val="left"/>
                    <w:jc w:val="center"/>
                  </w:pPr>
                  <w:r>
                    <w:t xml:space="preserve">TN (μg L</w:t>
                  </w:r>
                  <w:r>
                    <w:rPr>
                      <w:vertAlign w:val="superscript"/>
                    </w:rPr>
                    <w:t xml:space="preserve">-1</w:t>
                  </w:r>
                  <w:r>
                    <w:t xml:space="preserve">)</w:t>
                  </w:r>
                </w:p>
              </w:tc>
              <w:tc>
                <w:tcPr/>
                <w:p>
                  <w:pPr>
                    <w:pStyle w:val="Compact"/>
                    <w:jc w:val="left"/>
                    <w:jc w:val="center"/>
                  </w:pPr>
                  <w:r>
                    <w:t xml:space="preserve">1505 ± 442</w:t>
                  </w:r>
                </w:p>
              </w:tc>
              <w:tc>
                <w:tcPr/>
                <w:p>
                  <w:pPr>
                    <w:pStyle w:val="Compact"/>
                    <w:jc w:val="left"/>
                    <w:jc w:val="center"/>
                  </w:pPr>
                  <w:r>
                    <w:t xml:space="preserve">1523 ± 403</w:t>
                  </w:r>
                </w:p>
              </w:tc>
              <w:tc>
                <w:tcPr/>
                <w:p>
                  <w:pPr>
                    <w:pStyle w:val="Compact"/>
                    <w:jc w:val="left"/>
                    <w:jc w:val="center"/>
                  </w:pPr>
                  <w:r>
                    <w:rPr>
                      <w:i/>
                      <w:iCs/>
                    </w:rPr>
                    <w:t xml:space="preserve">p</w:t>
                  </w:r>
                  <w:r>
                    <w:t xml:space="preserve"> </w:t>
                  </w:r>
                  <w:r>
                    <w:t xml:space="preserve">= 0.8980</w:t>
                  </w:r>
                </w:p>
              </w:tc>
            </w:tr>
            <w:tr>
              <w:tc>
                <w:tcPr/>
                <w:p>
                  <w:pPr>
                    <w:pStyle w:val="Compact"/>
                    <w:jc w:val="left"/>
                    <w:jc w:val="center"/>
                  </w:pPr>
                  <w:r>
                    <w:t xml:space="preserve">pH</w:t>
                  </w:r>
                </w:p>
              </w:tc>
              <w:tc>
                <w:tcPr/>
                <w:p>
                  <w:pPr>
                    <w:pStyle w:val="Compact"/>
                    <w:jc w:val="left"/>
                    <w:jc w:val="center"/>
                  </w:pPr>
                  <w:r>
                    <w:t xml:space="preserve">8.3 ± 0.5</w:t>
                  </w:r>
                </w:p>
              </w:tc>
              <w:tc>
                <w:tcPr/>
                <w:p>
                  <w:pPr>
                    <w:pStyle w:val="Compact"/>
                    <w:jc w:val="left"/>
                    <w:jc w:val="center"/>
                  </w:pPr>
                  <w:r>
                    <w:t xml:space="preserve">8.2 ± 0.5</w:t>
                  </w:r>
                </w:p>
              </w:tc>
              <w:tc>
                <w:tcPr/>
                <w:p>
                  <w:pPr>
                    <w:pStyle w:val="Compact"/>
                    <w:jc w:val="left"/>
                    <w:jc w:val="center"/>
                  </w:pPr>
                  <w:r>
                    <w:rPr>
                      <w:i/>
                      <w:iCs/>
                    </w:rPr>
                    <w:t xml:space="preserve">p</w:t>
                  </w:r>
                  <w:r>
                    <w:t xml:space="preserve"> </w:t>
                  </w:r>
                  <w:r>
                    <w:t xml:space="preserve">= 0.5538</w:t>
                  </w:r>
                </w:p>
              </w:tc>
            </w:tr>
            <w:tr>
              <w:tc>
                <w:tcPr/>
                <w:p>
                  <w:pPr>
                    <w:pStyle w:val="Compact"/>
                    <w:jc w:val="left"/>
                    <w:jc w:val="center"/>
                  </w:pPr>
                  <w:r>
                    <w:t xml:space="preserve">NO</w:t>
                  </w:r>
                  <w:r>
                    <w:rPr>
                      <w:vertAlign w:val="subscript"/>
                    </w:rPr>
                    <w:t xml:space="preserve">3</w:t>
                  </w:r>
                  <w:r>
                    <w:t xml:space="preserve">-N (μg L</w:t>
                  </w:r>
                  <w:r>
                    <w:rPr>
                      <w:vertAlign w:val="superscript"/>
                    </w:rPr>
                    <w:t xml:space="preserve">-1</w:t>
                  </w:r>
                  <w:r>
                    <w:t xml:space="preserve">)</w:t>
                  </w:r>
                </w:p>
              </w:tc>
              <w:tc>
                <w:tcPr/>
                <w:p>
                  <w:pPr>
                    <w:pStyle w:val="Compact"/>
                    <w:jc w:val="left"/>
                    <w:jc w:val="center"/>
                  </w:pPr>
                  <w:r>
                    <w:t xml:space="preserve">972 ± 277</w:t>
                  </w:r>
                </w:p>
              </w:tc>
              <w:tc>
                <w:tcPr/>
                <w:p>
                  <w:pPr>
                    <w:pStyle w:val="Compact"/>
                    <w:jc w:val="left"/>
                    <w:jc w:val="center"/>
                  </w:pPr>
                  <w:r>
                    <w:t xml:space="preserve">1165 ± 408</w:t>
                  </w:r>
                </w:p>
              </w:tc>
              <w:tc>
                <w:tcPr/>
                <w:p>
                  <w:pPr>
                    <w:pStyle w:val="Compact"/>
                    <w:jc w:val="left"/>
                    <w:jc w:val="center"/>
                  </w:pPr>
                  <w:r>
                    <w:rPr>
                      <w:i/>
                      <w:iCs/>
                    </w:rPr>
                    <w:t xml:space="preserve">p</w:t>
                  </w:r>
                  <w:r>
                    <w:t xml:space="preserve"> </w:t>
                  </w:r>
                  <w:r>
                    <w:t xml:space="preserve">= 0.1570</w:t>
                  </w:r>
                </w:p>
              </w:tc>
            </w:tr>
            <w:tr>
              <w:tc>
                <w:tcPr/>
                <w:p>
                  <w:pPr>
                    <w:pStyle w:val="Compact"/>
                    <w:jc w:val="left"/>
                    <w:jc w:val="center"/>
                  </w:pPr>
                  <w:r>
                    <w:t xml:space="preserve">NH</w:t>
                  </w:r>
                  <w:r>
                    <w:rPr>
                      <w:vertAlign w:val="subscript"/>
                    </w:rPr>
                    <w:t xml:space="preserve">4</w:t>
                  </w:r>
                  <w:r>
                    <w:t xml:space="preserve">-N (μg L</w:t>
                  </w:r>
                  <w:r>
                    <w:rPr>
                      <w:vertAlign w:val="superscript"/>
                    </w:rPr>
                    <w:t xml:space="preserve">-1</w:t>
                  </w:r>
                  <w:r>
                    <w:t xml:space="preserve">)</w:t>
                  </w:r>
                </w:p>
              </w:tc>
              <w:tc>
                <w:tcPr/>
                <w:p>
                  <w:pPr>
                    <w:pStyle w:val="Compact"/>
                    <w:jc w:val="left"/>
                    <w:jc w:val="center"/>
                  </w:pPr>
                  <w:r>
                    <w:t xml:space="preserve">151 ± 119</w:t>
                  </w:r>
                </w:p>
              </w:tc>
              <w:tc>
                <w:tcPr/>
                <w:p>
                  <w:pPr>
                    <w:pStyle w:val="Compact"/>
                    <w:jc w:val="left"/>
                    <w:jc w:val="center"/>
                  </w:pPr>
                  <w:r>
                    <w:t xml:space="preserve">149 ± 107</w:t>
                  </w:r>
                </w:p>
              </w:tc>
              <w:tc>
                <w:tcPr/>
                <w:p>
                  <w:pPr>
                    <w:pStyle w:val="Compact"/>
                    <w:jc w:val="left"/>
                    <w:jc w:val="center"/>
                  </w:pPr>
                  <w:r>
                    <w:rPr>
                      <w:i/>
                      <w:iCs/>
                    </w:rPr>
                    <w:t xml:space="preserve">p</w:t>
                  </w:r>
                  <w:r>
                    <w:t xml:space="preserve"> </w:t>
                  </w:r>
                  <w:r>
                    <w:t xml:space="preserve">= 0.9675</w:t>
                  </w:r>
                </w:p>
              </w:tc>
            </w:tr>
            <w:tr>
              <w:tc>
                <w:tcPr/>
                <w:p>
                  <w:pPr>
                    <w:pStyle w:val="Compact"/>
                    <w:jc w:val="left"/>
                    <w:jc w:val="center"/>
                  </w:pPr>
                  <w:r>
                    <w:t xml:space="preserve">DO (mg L</w:t>
                  </w:r>
                  <w:r>
                    <w:rPr>
                      <w:vertAlign w:val="superscript"/>
                    </w:rPr>
                    <w:t xml:space="preserve">-1</w:t>
                  </w:r>
                  <w:r>
                    <w:t xml:space="preserve">)</w:t>
                  </w:r>
                </w:p>
              </w:tc>
              <w:tc>
                <w:tcPr/>
                <w:p>
                  <w:pPr>
                    <w:pStyle w:val="Compact"/>
                    <w:jc w:val="left"/>
                    <w:jc w:val="center"/>
                  </w:pPr>
                  <w:r>
                    <w:t xml:space="preserve">6.1 ± 1.4</w:t>
                  </w:r>
                </w:p>
              </w:tc>
              <w:tc>
                <w:tcPr/>
                <w:p>
                  <w:pPr>
                    <w:pStyle w:val="Compact"/>
                    <w:jc w:val="left"/>
                    <w:jc w:val="center"/>
                  </w:pPr>
                  <w:r>
                    <w:t xml:space="preserve">7.2 ± 1.4</w:t>
                  </w:r>
                </w:p>
              </w:tc>
              <w:tc>
                <w:tcPr/>
                <w:p>
                  <w:pPr>
                    <w:pStyle w:val="Compact"/>
                    <w:jc w:val="left"/>
                    <w:jc w:val="center"/>
                  </w:pPr>
                  <w:r>
                    <w:rPr>
                      <w:i/>
                      <w:iCs/>
                    </w:rPr>
                    <w:t xml:space="preserve">p</w:t>
                  </w:r>
                  <w:r>
                    <w:t xml:space="preserve"> </w:t>
                  </w:r>
                  <w:r>
                    <w:t xml:space="preserve">= 0.0257</w:t>
                  </w:r>
                </w:p>
              </w:tc>
            </w:tr>
            <w:tr>
              <w:tc>
                <w:tcPr/>
                <w:p>
                  <w:pPr>
                    <w:pStyle w:val="Compact"/>
                    <w:jc w:val="left"/>
                    <w:jc w:val="center"/>
                  </w:pPr>
                  <w:r>
                    <w:t xml:space="preserve">COD (mg L</w:t>
                  </w:r>
                  <w:r>
                    <w:rPr>
                      <w:vertAlign w:val="superscript"/>
                    </w:rPr>
                    <w:t xml:space="preserve">-1</w:t>
                  </w:r>
                  <w:r>
                    <w:t xml:space="preserve">)</w:t>
                  </w:r>
                </w:p>
              </w:tc>
              <w:tc>
                <w:tcPr/>
                <w:p>
                  <w:pPr>
                    <w:pStyle w:val="Compact"/>
                    <w:jc w:val="left"/>
                    <w:jc w:val="center"/>
                  </w:pPr>
                  <w:r>
                    <w:t xml:space="preserve">5.6 ± 2.6</w:t>
                  </w:r>
                </w:p>
              </w:tc>
              <w:tc>
                <w:tcPr/>
                <w:p>
                  <w:pPr>
                    <w:pStyle w:val="Compact"/>
                    <w:jc w:val="left"/>
                    <w:jc w:val="center"/>
                  </w:pPr>
                  <w:r>
                    <w:t xml:space="preserve">5.5 ± 1.8</w:t>
                  </w:r>
                </w:p>
              </w:tc>
              <w:tc>
                <w:tcPr/>
                <w:p>
                  <w:pPr>
                    <w:pStyle w:val="Compact"/>
                    <w:jc w:val="left"/>
                    <w:jc w:val="center"/>
                  </w:pPr>
                  <w:r>
                    <w:rPr>
                      <w:i/>
                      <w:iCs/>
                    </w:rPr>
                    <w:t xml:space="preserve">p</w:t>
                  </w:r>
                  <w:r>
                    <w:t xml:space="preserve"> </w:t>
                  </w:r>
                  <w:r>
                    <w:t xml:space="preserve">= 0.8614</w:t>
                  </w:r>
                </w:p>
              </w:tc>
            </w:tr>
            <w:tr>
              <w:tc>
                <w:tcPr/>
                <w:p>
                  <w:pPr>
                    <w:pStyle w:val="Compact"/>
                    <w:jc w:val="left"/>
                    <w:jc w:val="center"/>
                  </w:pPr>
                  <w:r>
                    <w:t xml:space="preserve">Phytoplankton (×10</w:t>
                  </w:r>
                  <w:r>
                    <w:rPr>
                      <w:vertAlign w:val="superscript"/>
                    </w:rPr>
                    <w:t xml:space="preserve">6</w:t>
                  </w:r>
                  <w:r>
                    <w:t xml:space="preserve"> </w:t>
                  </w:r>
                  <w:r>
                    <w:t xml:space="preserve">cell L</w:t>
                  </w:r>
                  <w:r>
                    <w:rPr>
                      <w:vertAlign w:val="superscript"/>
                    </w:rPr>
                    <w:t xml:space="preserve">-1</w:t>
                  </w:r>
                  <w:r>
                    <w:t xml:space="preserve">)</w:t>
                  </w:r>
                </w:p>
              </w:tc>
              <w:tc>
                <w:tcPr/>
                <w:p>
                  <w:pPr>
                    <w:pStyle w:val="Compact"/>
                    <w:jc w:val="left"/>
                    <w:jc w:val="center"/>
                  </w:pPr>
                  <w:r>
                    <w:t xml:space="preserve">62.3 ± 52.1</w:t>
                  </w:r>
                </w:p>
              </w:tc>
              <w:tc>
                <w:tcPr/>
                <w:p>
                  <w:pPr>
                    <w:pStyle w:val="Compact"/>
                    <w:jc w:val="left"/>
                    <w:jc w:val="center"/>
                  </w:pPr>
                  <w:r>
                    <w:t xml:space="preserve">18.1 ± 24.9</w:t>
                  </w:r>
                </w:p>
              </w:tc>
              <w:tc>
                <w:tcPr/>
                <w:p>
                  <w:pPr>
                    <w:pStyle w:val="Compact"/>
                    <w:jc w:val="left"/>
                    <w:jc w:val="center"/>
                  </w:pPr>
                  <w:r>
                    <w:rPr>
                      <w:i/>
                      <w:iCs/>
                    </w:rPr>
                    <w:t xml:space="preserve">p</w:t>
                  </w:r>
                  <w:r>
                    <w:t xml:space="preserve"> </w:t>
                  </w:r>
                  <w:r>
                    <w:t xml:space="preserve">= 0.0008</w:t>
                  </w:r>
                </w:p>
              </w:tc>
            </w:tr>
            <w:tr>
              <w:tc>
                <w:tcPr/>
                <w:p>
                  <w:pPr>
                    <w:pStyle w:val="Compact"/>
                    <w:jc w:val="left"/>
                    <w:jc w:val="center"/>
                  </w:pPr>
                  <w:r>
                    <w:t xml:space="preserve">HRT (d)</w:t>
                  </w:r>
                </w:p>
              </w:tc>
              <w:tc>
                <w:tcPr/>
                <w:p>
                  <w:pPr>
                    <w:pStyle w:val="Compact"/>
                    <w:jc w:val="left"/>
                    <w:jc w:val="center"/>
                  </w:pPr>
                  <w:r>
                    <w:t xml:space="preserve">20.2 ± 5.5</w:t>
                  </w:r>
                </w:p>
              </w:tc>
              <w:tc>
                <w:tcPr/>
                <w:p>
                  <w:pPr>
                    <w:pStyle w:val="Compact"/>
                    <w:jc w:val="left"/>
                    <w:jc w:val="center"/>
                  </w:pPr>
                  <w:r>
                    <w:t xml:space="preserve">20.2 ± 9.8</w:t>
                  </w:r>
                </w:p>
              </w:tc>
              <w:tc>
                <w:tcPr/>
                <w:p>
                  <w:pPr>
                    <w:pStyle w:val="Compact"/>
                    <w:jc w:val="left"/>
                    <w:jc w:val="center"/>
                  </w:pPr>
                  <w:r>
                    <w:rPr>
                      <w:i/>
                      <w:iCs/>
                    </w:rPr>
                    <w:t xml:space="preserve">p</w:t>
                  </w:r>
                  <w:r>
                    <w:t xml:space="preserve"> </w:t>
                  </w:r>
                  <w:r>
                    <w:t xml:space="preserve">= 0.9987</w:t>
                  </w:r>
                </w:p>
              </w:tc>
            </w:tr>
          </w:tbl>
          <w:bookmarkEnd w:id="65"/>
          <w:p/>
        </w:tc>
      </w:tr>
    </w:tbl>
    <w:p>
      <w:r>
        <w:br w:type="page"/>
      </w:r>
    </w:p>
    <w:tbl>
      <w:tblPr>
        <w:tblStyle w:val="Table"/>
        <w:tblW w:type="pct" w:w="5000"/>
        <w:tblLayout w:type="fixed"/>
        <w:tblLook w:firstRow="0" w:lastRow="0" w:firstColumn="0" w:lastColumn="0" w:noHBand="0" w:noVBand="0" w:val="0000"/>
      </w:tblPr>
      <w:tblGrid>
        <w:gridCol w:w="7920"/>
      </w:tblGrid>
      <w:tr>
        <w:tc>
          <w:tcPr/>
          <w:bookmarkStart w:id="66" w:name="tbl-growthratefromliterature"/>
          <w:p>
            <w:pPr>
              <w:jc w:val="center"/>
            </w:pPr>
            <w:pPr>
              <w:jc w:val="start"/>
              <w:spacing w:before="200"/>
              <w:pStyle w:val="ImageCaption"/>
            </w:pPr>
            <w:r>
              <w:t xml:space="preserve">Table 6 The summary of the main cyanobacteria specific growth rates under different culture conditions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Genus</w:t>
                  </w:r>
                </w:p>
              </w:tc>
              <w:tc>
                <w:tcPr/>
                <w:p>
                  <w:pPr>
                    <w:pStyle w:val="Compact"/>
                    <w:jc w:val="left"/>
                    <w:jc w:val="center"/>
                  </w:pPr>
                  <w:r>
                    <w:t xml:space="preserve">ρ</w:t>
                  </w:r>
                  <w:r>
                    <w:rPr>
                      <w:vertAlign w:val="subscript"/>
                    </w:rPr>
                    <w:t xml:space="preserve">10</w:t>
                  </w:r>
                </w:p>
              </w:tc>
              <w:tc>
                <w:tcPr/>
                <w:p>
                  <w:pPr>
                    <w:pStyle w:val="Compact"/>
                    <w:jc w:val="left"/>
                    <w:jc w:val="center"/>
                  </w:pPr>
                  <w:r>
                    <w:t xml:space="preserve">ρ</w:t>
                  </w:r>
                  <w:r>
                    <w:rPr>
                      <w:vertAlign w:val="subscript"/>
                    </w:rPr>
                    <w:t xml:space="preserve">50</w:t>
                  </w:r>
                </w:p>
              </w:tc>
              <w:tc>
                <w:tcPr/>
                <w:p>
                  <w:pPr>
                    <w:pStyle w:val="Compact"/>
                    <w:jc w:val="left"/>
                    <w:jc w:val="center"/>
                  </w:pPr>
                  <w:r>
                    <w:t xml:space="preserve">ρ</w:t>
                  </w:r>
                  <w:r>
                    <w:rPr>
                      <w:vertAlign w:val="subscript"/>
                    </w:rPr>
                    <w:t xml:space="preserve">90</w:t>
                  </w:r>
                </w:p>
              </w:tc>
            </w:tr>
            <w:tr>
              <w:tc>
                <w:tcPr/>
                <w:p>
                  <w:pPr>
                    <w:pStyle w:val="Compact"/>
                    <w:jc w:val="left"/>
                    <w:jc w:val="center"/>
                  </w:pPr>
                  <w:r>
                    <w:rPr>
                      <w:i/>
                      <w:iCs/>
                    </w:rPr>
                    <w:t xml:space="preserve">Synechococcus</w:t>
                  </w:r>
                </w:p>
              </w:tc>
              <w:tc>
                <w:tcPr/>
                <w:p>
                  <w:pPr>
                    <w:pStyle w:val="Compact"/>
                    <w:jc w:val="left"/>
                    <w:jc w:val="center"/>
                  </w:pPr>
                  <w:r>
                    <w:t xml:space="preserve">0.17</w:t>
                  </w:r>
                </w:p>
              </w:tc>
              <w:tc>
                <w:tcPr/>
                <w:p>
                  <w:pPr>
                    <w:pStyle w:val="Compact"/>
                    <w:jc w:val="left"/>
                    <w:jc w:val="center"/>
                  </w:pPr>
                  <w:r>
                    <w:t xml:space="preserve">0.72</w:t>
                  </w:r>
                </w:p>
              </w:tc>
              <w:tc>
                <w:tcPr/>
                <w:p>
                  <w:pPr>
                    <w:pStyle w:val="Compact"/>
                    <w:jc w:val="left"/>
                    <w:jc w:val="center"/>
                  </w:pPr>
                  <w:r>
                    <w:t xml:space="preserve">3.06</w:t>
                  </w:r>
                </w:p>
              </w:tc>
            </w:tr>
            <w:tr>
              <w:tc>
                <w:tcPr/>
                <w:p>
                  <w:pPr>
                    <w:pStyle w:val="Compact"/>
                    <w:jc w:val="left"/>
                    <w:jc w:val="center"/>
                  </w:pPr>
                  <w:r>
                    <w:rPr>
                      <w:i/>
                      <w:iCs/>
                    </w:rPr>
                    <w:t xml:space="preserve">Limnothrix</w:t>
                  </w:r>
                </w:p>
              </w:tc>
              <w:tc>
                <w:tcPr/>
                <w:p>
                  <w:pPr>
                    <w:pStyle w:val="Compact"/>
                    <w:jc w:val="left"/>
                    <w:jc w:val="center"/>
                  </w:pPr>
                  <w:r>
                    <w:t xml:space="preserve">0.18</w:t>
                  </w:r>
                </w:p>
              </w:tc>
              <w:tc>
                <w:tcPr/>
                <w:p>
                  <w:pPr>
                    <w:pStyle w:val="Compact"/>
                    <w:jc w:val="left"/>
                    <w:jc w:val="center"/>
                  </w:pPr>
                  <w:r>
                    <w:t xml:space="preserve">0.47</w:t>
                  </w:r>
                </w:p>
              </w:tc>
              <w:tc>
                <w:tcPr/>
                <w:p>
                  <w:pPr>
                    <w:pStyle w:val="Compact"/>
                    <w:jc w:val="left"/>
                    <w:jc w:val="center"/>
                  </w:pPr>
                  <w:r>
                    <w:t xml:space="preserve">0.70</w:t>
                  </w:r>
                </w:p>
              </w:tc>
            </w:tr>
            <w:tr>
              <w:tc>
                <w:tcPr/>
                <w:p>
                  <w:pPr>
                    <w:pStyle w:val="Compact"/>
                    <w:jc w:val="left"/>
                    <w:jc w:val="center"/>
                  </w:pPr>
                  <w:r>
                    <w:rPr>
                      <w:i/>
                      <w:iCs/>
                    </w:rPr>
                    <w:t xml:space="preserve">Planktothrix</w:t>
                  </w:r>
                </w:p>
              </w:tc>
              <w:tc>
                <w:tcPr/>
                <w:p>
                  <w:pPr>
                    <w:pStyle w:val="Compact"/>
                    <w:jc w:val="left"/>
                    <w:jc w:val="center"/>
                  </w:pPr>
                  <w:r>
                    <w:t xml:space="preserve">0.16</w:t>
                  </w:r>
                </w:p>
              </w:tc>
              <w:tc>
                <w:tcPr/>
                <w:p>
                  <w:pPr>
                    <w:pStyle w:val="Compact"/>
                    <w:jc w:val="left"/>
                    <w:jc w:val="center"/>
                  </w:pPr>
                  <w:r>
                    <w:t xml:space="preserve">0.44</w:t>
                  </w:r>
                </w:p>
              </w:tc>
              <w:tc>
                <w:tcPr/>
                <w:p>
                  <w:pPr>
                    <w:pStyle w:val="Compact"/>
                    <w:jc w:val="left"/>
                    <w:jc w:val="center"/>
                  </w:pPr>
                  <w:r>
                    <w:t xml:space="preserve">0.71</w:t>
                  </w:r>
                </w:p>
              </w:tc>
            </w:tr>
            <w:tr>
              <w:tc>
                <w:tcPr/>
                <w:p>
                  <w:pPr>
                    <w:pStyle w:val="Compact"/>
                    <w:jc w:val="left"/>
                    <w:jc w:val="center"/>
                  </w:pPr>
                  <w:r>
                    <w:rPr>
                      <w:i/>
                      <w:iCs/>
                    </w:rPr>
                    <w:t xml:space="preserve">Aphanizomenon</w:t>
                  </w:r>
                </w:p>
              </w:tc>
              <w:tc>
                <w:tcPr/>
                <w:p>
                  <w:pPr>
                    <w:pStyle w:val="Compact"/>
                    <w:jc w:val="left"/>
                    <w:jc w:val="center"/>
                  </w:pPr>
                  <w:r>
                    <w:t xml:space="preserve">0.24</w:t>
                  </w:r>
                </w:p>
              </w:tc>
              <w:tc>
                <w:tcPr/>
                <w:p>
                  <w:pPr>
                    <w:pStyle w:val="Compact"/>
                    <w:jc w:val="left"/>
                    <w:jc w:val="center"/>
                  </w:pPr>
                  <w:r>
                    <w:t xml:space="preserve">0.42</w:t>
                  </w:r>
                </w:p>
              </w:tc>
              <w:tc>
                <w:tcPr/>
                <w:p>
                  <w:pPr>
                    <w:pStyle w:val="Compact"/>
                    <w:jc w:val="left"/>
                    <w:jc w:val="center"/>
                  </w:pPr>
                  <w:r>
                    <w:t xml:space="preserve">0.89</w:t>
                  </w:r>
                </w:p>
              </w:tc>
            </w:tr>
            <w:tr>
              <w:tc>
                <w:tcPr/>
                <w:p>
                  <w:pPr>
                    <w:pStyle w:val="Compact"/>
                    <w:jc w:val="left"/>
                    <w:jc w:val="center"/>
                  </w:pPr>
                  <w:r>
                    <w:rPr>
                      <w:i/>
                      <w:iCs/>
                    </w:rPr>
                    <w:t xml:space="preserve">Cylindrospermopsis</w:t>
                  </w:r>
                </w:p>
              </w:tc>
              <w:tc>
                <w:tcPr/>
                <w:p>
                  <w:pPr>
                    <w:pStyle w:val="Compact"/>
                    <w:jc w:val="left"/>
                    <w:jc w:val="center"/>
                  </w:pPr>
                  <w:r>
                    <w:t xml:space="preserve">0.14</w:t>
                  </w:r>
                </w:p>
              </w:tc>
              <w:tc>
                <w:tcPr/>
                <w:p>
                  <w:pPr>
                    <w:pStyle w:val="Compact"/>
                    <w:jc w:val="left"/>
                    <w:jc w:val="center"/>
                  </w:pPr>
                  <w:r>
                    <w:t xml:space="preserve">0.36</w:t>
                  </w:r>
                </w:p>
              </w:tc>
              <w:tc>
                <w:tcPr/>
                <w:p>
                  <w:pPr>
                    <w:pStyle w:val="Compact"/>
                    <w:jc w:val="left"/>
                    <w:jc w:val="center"/>
                  </w:pPr>
                  <w:r>
                    <w:t xml:space="preserve">0.74</w:t>
                  </w:r>
                </w:p>
              </w:tc>
            </w:tr>
            <w:tr>
              <w:tc>
                <w:tcPr/>
                <w:p>
                  <w:pPr>
                    <w:pStyle w:val="Compact"/>
                    <w:jc w:val="left"/>
                    <w:jc w:val="center"/>
                  </w:pPr>
                  <w:r>
                    <w:rPr>
                      <w:i/>
                      <w:iCs/>
                    </w:rPr>
                    <w:t xml:space="preserve">Plectonema</w:t>
                  </w:r>
                </w:p>
              </w:tc>
              <w:tc>
                <w:tcPr/>
                <w:p>
                  <w:pPr>
                    <w:pStyle w:val="Compact"/>
                    <w:jc w:val="left"/>
                    <w:jc w:val="center"/>
                  </w:pPr>
                  <w:r>
                    <w:t xml:space="preserve">0.11</w:t>
                  </w:r>
                </w:p>
              </w:tc>
              <w:tc>
                <w:tcPr/>
                <w:p>
                  <w:pPr>
                    <w:pStyle w:val="Compact"/>
                    <w:jc w:val="left"/>
                    <w:jc w:val="center"/>
                  </w:pPr>
                  <w:r>
                    <w:t xml:space="preserve">0.34</w:t>
                  </w:r>
                </w:p>
              </w:tc>
              <w:tc>
                <w:tcPr/>
                <w:p>
                  <w:pPr>
                    <w:pStyle w:val="Compact"/>
                    <w:jc w:val="left"/>
                    <w:jc w:val="center"/>
                  </w:pPr>
                  <w:r>
                    <w:t xml:space="preserve">2.06</w:t>
                  </w:r>
                </w:p>
              </w:tc>
            </w:tr>
            <w:tr>
              <w:tc>
                <w:tcPr/>
                <w:p>
                  <w:pPr>
                    <w:pStyle w:val="Compact"/>
                    <w:jc w:val="left"/>
                    <w:jc w:val="center"/>
                  </w:pPr>
                  <w:r>
                    <w:rPr>
                      <w:i/>
                      <w:iCs/>
                    </w:rPr>
                    <w:t xml:space="preserve">Microcystis</w:t>
                  </w:r>
                </w:p>
              </w:tc>
              <w:tc>
                <w:tcPr/>
                <w:p>
                  <w:pPr>
                    <w:pStyle w:val="Compact"/>
                    <w:jc w:val="left"/>
                    <w:jc w:val="center"/>
                  </w:pPr>
                  <w:r>
                    <w:t xml:space="preserve">0.10</w:t>
                  </w:r>
                </w:p>
              </w:tc>
              <w:tc>
                <w:tcPr/>
                <w:p>
                  <w:pPr>
                    <w:pStyle w:val="Compact"/>
                    <w:jc w:val="left"/>
                    <w:jc w:val="center"/>
                  </w:pPr>
                  <w:r>
                    <w:t xml:space="preserve">0.33</w:t>
                  </w:r>
                </w:p>
              </w:tc>
              <w:tc>
                <w:tcPr/>
                <w:p>
                  <w:pPr>
                    <w:pStyle w:val="Compact"/>
                    <w:jc w:val="left"/>
                    <w:jc w:val="center"/>
                  </w:pPr>
                  <w:r>
                    <w:t xml:space="preserve">0.67</w:t>
                  </w:r>
                </w:p>
              </w:tc>
            </w:tr>
            <w:tr>
              <w:tc>
                <w:tcPr/>
                <w:p>
                  <w:pPr>
                    <w:pStyle w:val="Compact"/>
                    <w:jc w:val="left"/>
                    <w:jc w:val="center"/>
                  </w:pPr>
                  <w:r>
                    <w:rPr>
                      <w:i/>
                      <w:iCs/>
                    </w:rPr>
                    <w:t xml:space="preserve">Planktothricoides</w:t>
                  </w:r>
                </w:p>
              </w:tc>
              <w:tc>
                <w:tcPr/>
                <w:p>
                  <w:pPr>
                    <w:pStyle w:val="Compact"/>
                    <w:jc w:val="left"/>
                    <w:jc w:val="center"/>
                  </w:pPr>
                  <w:r>
                    <w:t xml:space="preserve">0.17</w:t>
                  </w:r>
                </w:p>
              </w:tc>
              <w:tc>
                <w:tcPr/>
                <w:p>
                  <w:pPr>
                    <w:pStyle w:val="Compact"/>
                    <w:jc w:val="left"/>
                    <w:jc w:val="center"/>
                  </w:pPr>
                  <w:r>
                    <w:t xml:space="preserve">0.33</w:t>
                  </w:r>
                </w:p>
              </w:tc>
              <w:tc>
                <w:tcPr/>
                <w:p>
                  <w:pPr>
                    <w:pStyle w:val="Compact"/>
                    <w:jc w:val="left"/>
                    <w:jc w:val="center"/>
                  </w:pPr>
                  <w:r>
                    <w:t xml:space="preserve">1.18</w:t>
                  </w:r>
                </w:p>
              </w:tc>
            </w:tr>
            <w:tr>
              <w:tc>
                <w:tcPr/>
                <w:p>
                  <w:pPr>
                    <w:pStyle w:val="Compact"/>
                    <w:jc w:val="left"/>
                    <w:jc w:val="center"/>
                  </w:pPr>
                  <w:r>
                    <w:rPr>
                      <w:i/>
                      <w:iCs/>
                    </w:rPr>
                    <w:t xml:space="preserve">Microcoleus</w:t>
                  </w:r>
                </w:p>
              </w:tc>
              <w:tc>
                <w:tcPr/>
                <w:p>
                  <w:pPr>
                    <w:pStyle w:val="Compact"/>
                    <w:jc w:val="left"/>
                    <w:jc w:val="center"/>
                  </w:pPr>
                  <w:r>
                    <w:t xml:space="preserve">0.17</w:t>
                  </w:r>
                </w:p>
              </w:tc>
              <w:tc>
                <w:tcPr/>
                <w:p>
                  <w:pPr>
                    <w:pStyle w:val="Compact"/>
                    <w:jc w:val="left"/>
                    <w:jc w:val="center"/>
                  </w:pPr>
                  <w:r>
                    <w:t xml:space="preserve">0.29</w:t>
                  </w:r>
                </w:p>
              </w:tc>
              <w:tc>
                <w:tcPr/>
                <w:p>
                  <w:pPr>
                    <w:pStyle w:val="Compact"/>
                    <w:jc w:val="left"/>
                    <w:jc w:val="center"/>
                  </w:pPr>
                  <w:r>
                    <w:t xml:space="preserve">1.25</w:t>
                  </w:r>
                </w:p>
              </w:tc>
            </w:tr>
            <w:tr>
              <w:tc>
                <w:tcPr/>
                <w:p>
                  <w:pPr>
                    <w:pStyle w:val="Compact"/>
                    <w:jc w:val="left"/>
                    <w:jc w:val="center"/>
                  </w:pPr>
                  <w:r>
                    <w:rPr>
                      <w:i/>
                      <w:iCs/>
                    </w:rPr>
                    <w:t xml:space="preserve">Oscillatoria</w:t>
                  </w:r>
                </w:p>
              </w:tc>
              <w:tc>
                <w:tcPr/>
                <w:p>
                  <w:pPr>
                    <w:pStyle w:val="Compact"/>
                    <w:jc w:val="left"/>
                    <w:jc w:val="center"/>
                  </w:pPr>
                  <w:r>
                    <w:t xml:space="preserve">0.09</w:t>
                  </w:r>
                </w:p>
              </w:tc>
              <w:tc>
                <w:tcPr/>
                <w:p>
                  <w:pPr>
                    <w:pStyle w:val="Compact"/>
                    <w:jc w:val="left"/>
                    <w:jc w:val="center"/>
                  </w:pPr>
                  <w:r>
                    <w:t xml:space="preserve">0.26</w:t>
                  </w:r>
                </w:p>
              </w:tc>
              <w:tc>
                <w:tcPr/>
                <w:p>
                  <w:pPr>
                    <w:pStyle w:val="Compact"/>
                    <w:jc w:val="left"/>
                    <w:jc w:val="center"/>
                  </w:pPr>
                  <w:r>
                    <w:t xml:space="preserve">0.64</w:t>
                  </w:r>
                </w:p>
              </w:tc>
            </w:tr>
            <w:tr>
              <w:tc>
                <w:tcPr/>
                <w:p>
                  <w:pPr>
                    <w:pStyle w:val="Compact"/>
                    <w:jc w:val="left"/>
                    <w:jc w:val="center"/>
                  </w:pPr>
                  <w:r>
                    <w:rPr>
                      <w:i/>
                      <w:iCs/>
                    </w:rPr>
                    <w:t xml:space="preserve">Dolichospermum</w:t>
                  </w:r>
                </w:p>
              </w:tc>
              <w:tc>
                <w:tcPr/>
                <w:p>
                  <w:pPr>
                    <w:pStyle w:val="Compact"/>
                    <w:jc w:val="left"/>
                    <w:jc w:val="center"/>
                  </w:pPr>
                  <w:r>
                    <w:t xml:space="preserve">0.10</w:t>
                  </w:r>
                </w:p>
              </w:tc>
              <w:tc>
                <w:tcPr/>
                <w:p>
                  <w:pPr>
                    <w:pStyle w:val="Compact"/>
                    <w:jc w:val="left"/>
                    <w:jc w:val="center"/>
                  </w:pPr>
                  <w:r>
                    <w:t xml:space="preserve">0.20</w:t>
                  </w:r>
                </w:p>
              </w:tc>
              <w:tc>
                <w:tcPr/>
                <w:p>
                  <w:pPr>
                    <w:pStyle w:val="Compact"/>
                    <w:jc w:val="left"/>
                    <w:jc w:val="center"/>
                  </w:pPr>
                  <w:r>
                    <w:t xml:space="preserve">0.99</w:t>
                  </w:r>
                </w:p>
              </w:tc>
            </w:tr>
            <w:tr>
              <w:tc>
                <w:tcPr/>
                <w:p>
                  <w:pPr>
                    <w:pStyle w:val="Compact"/>
                    <w:jc w:val="left"/>
                    <w:jc w:val="center"/>
                  </w:pPr>
                  <w:r>
                    <w:rPr>
                      <w:i/>
                      <w:iCs/>
                    </w:rPr>
                    <w:t xml:space="preserve">Pseudanabaena</w:t>
                  </w:r>
                </w:p>
              </w:tc>
              <w:tc>
                <w:tcPr/>
                <w:p>
                  <w:pPr>
                    <w:pStyle w:val="Compact"/>
                    <w:jc w:val="left"/>
                    <w:jc w:val="center"/>
                  </w:pPr>
                  <w:r>
                    <w:t xml:space="preserve">0.03</w:t>
                  </w:r>
                </w:p>
              </w:tc>
              <w:tc>
                <w:tcPr/>
                <w:p>
                  <w:pPr>
                    <w:pStyle w:val="Compact"/>
                    <w:jc w:val="left"/>
                    <w:jc w:val="center"/>
                  </w:pPr>
                  <w:r>
                    <w:t xml:space="preserve">0.20</w:t>
                  </w:r>
                </w:p>
              </w:tc>
              <w:tc>
                <w:tcPr/>
                <w:p>
                  <w:pPr>
                    <w:pStyle w:val="Compact"/>
                    <w:jc w:val="left"/>
                    <w:jc w:val="center"/>
                  </w:pPr>
                  <w:r>
                    <w:t xml:space="preserve">0.25</w:t>
                  </w:r>
                </w:p>
              </w:tc>
            </w:tr>
            <w:tr>
              <w:tc>
                <w:tcPr/>
                <w:p>
                  <w:pPr>
                    <w:pStyle w:val="Compact"/>
                    <w:jc w:val="left"/>
                    <w:jc w:val="center"/>
                  </w:pPr>
                  <w:r>
                    <w:rPr>
                      <w:i/>
                      <w:iCs/>
                    </w:rPr>
                    <w:t xml:space="preserve">Phormidium</w:t>
                  </w:r>
                </w:p>
              </w:tc>
              <w:tc>
                <w:tcPr/>
                <w:p>
                  <w:pPr>
                    <w:pStyle w:val="Compact"/>
                    <w:jc w:val="left"/>
                    <w:jc w:val="center"/>
                  </w:pPr>
                  <w:r>
                    <w:t xml:space="preserve">0.09</w:t>
                  </w:r>
                </w:p>
              </w:tc>
              <w:tc>
                <w:tcPr/>
                <w:p>
                  <w:pPr>
                    <w:pStyle w:val="Compact"/>
                    <w:jc w:val="left"/>
                    <w:jc w:val="center"/>
                  </w:pPr>
                  <w:r>
                    <w:t xml:space="preserve">0.20</w:t>
                  </w:r>
                </w:p>
              </w:tc>
              <w:tc>
                <w:tcPr/>
                <w:p>
                  <w:pPr>
                    <w:pStyle w:val="Compact"/>
                    <w:jc w:val="left"/>
                    <w:jc w:val="center"/>
                  </w:pPr>
                  <w:r>
                    <w:t xml:space="preserve">0.31</w:t>
                  </w:r>
                </w:p>
              </w:tc>
            </w:tr>
            <w:tr>
              <w:tc>
                <w:tcPr/>
                <w:p>
                  <w:pPr>
                    <w:pStyle w:val="Compact"/>
                    <w:jc w:val="left"/>
                    <w:jc w:val="center"/>
                  </w:pPr>
                  <w:r>
                    <w:rPr>
                      <w:i/>
                      <w:iCs/>
                    </w:rPr>
                    <w:t xml:space="preserve">Lyngbya</w:t>
                  </w:r>
                </w:p>
              </w:tc>
              <w:tc>
                <w:tcPr/>
                <w:p>
                  <w:pPr>
                    <w:pStyle w:val="Compact"/>
                    <w:jc w:val="left"/>
                    <w:jc w:val="center"/>
                  </w:pPr>
                  <w:r>
                    <w:t xml:space="preserve">0.05</w:t>
                  </w:r>
                </w:p>
              </w:tc>
              <w:tc>
                <w:tcPr/>
                <w:p>
                  <w:pPr>
                    <w:pStyle w:val="Compact"/>
                    <w:jc w:val="left"/>
                    <w:jc w:val="center"/>
                  </w:pPr>
                  <w:r>
                    <w:t xml:space="preserve">0.15</w:t>
                  </w:r>
                </w:p>
              </w:tc>
              <w:tc>
                <w:tcPr/>
                <w:p>
                  <w:pPr>
                    <w:pStyle w:val="Compact"/>
                    <w:jc w:val="left"/>
                    <w:jc w:val="center"/>
                  </w:pPr>
                  <w:r>
                    <w:t xml:space="preserve">0.27</w:t>
                  </w:r>
                </w:p>
              </w:tc>
            </w:tr>
          </w:tbl>
          <w:bookmarkEnd w:id="66"/>
          <w:p/>
        </w:tc>
      </w:tr>
    </w:tbl>
    <w:p>
      <w:pPr>
        <w:pStyle w:val="BodyText"/>
      </w:pPr>
      <w:r>
        <w:t xml:space="preserve">The table above exhibits the growth rates of 14 typical cyanobacterial genera based on 1480 records from the references, where ρ_{10}, ρ_{50} and ρ_{90} represent the 10th, 50th and 90th quantile values of the corresponding cyanobacterial genera growth rates, respectively. The raw data for these cyanobacterial growth rates and the corresponding references are summarised in an additional excel sheet.</w:t>
      </w:r>
    </w:p>
    <w:p>
      <w:r>
        <w:br w:type="page"/>
      </w:r>
    </w:p>
    <w:tbl>
      <w:tblPr>
        <w:tblStyle w:val="Table"/>
        <w:tblW w:type="pct" w:w="5000"/>
        <w:tblLayout w:type="fixed"/>
        <w:tblLook w:firstRow="0" w:lastRow="0" w:firstColumn="0" w:lastColumn="0" w:noHBand="0" w:noVBand="0" w:val="0000"/>
      </w:tblPr>
      <w:tblGrid>
        <w:gridCol w:w="7920"/>
      </w:tblGrid>
      <w:tr>
        <w:tc>
          <w:tcPr/>
          <w:bookmarkStart w:id="67" w:name="tbl-ZXDwqsummary"/>
          <w:p>
            <w:pPr>
              <w:jc w:val="center"/>
            </w:pPr>
            <w:pPr>
              <w:jc w:val="start"/>
              <w:spacing w:before="200"/>
              <w:pStyle w:val="ImageCaption"/>
            </w:pPr>
            <w:r>
              <w:t xml:space="preserve">Table 7 Main water quality parameters in ZXD reservoir during the investigation period (Apri 2021, n = 71), all values are expressed as mean values with standard deviations, variance analysis were performed to compare the differences.</w:t>
            </w:r>
          </w:p>
          <w:tbl>
            <w:tblPr>
              <w:tblStyle w:val="Table"/>
              <w:tblW w:type="pct" w:w="5000"/>
              <w:tblLayout w:type="fixed"/>
              <w:tblLook w:firstRow="1" w:lastRow="0" w:firstColumn="0" w:lastColumn="0" w:noHBand="0" w:noVBand="0" w:val="0020"/>
            </w:tblPr>
            <w:tblGrid>
              <w:gridCol w:w="1885"/>
              <w:gridCol w:w="1414"/>
              <w:gridCol w:w="1414"/>
              <w:gridCol w:w="1414"/>
              <w:gridCol w:w="1791"/>
            </w:tblGrid>
            <w:tr>
              <w:trPr>
                <w:tblHeader w:val="on"/>
              </w:trPr>
              <w:tc>
                <w:tcPr/>
                <w:p>
                  <w:pPr>
                    <w:pStyle w:val="Compact"/>
                    <w:jc w:val="left"/>
                    <w:jc w:val="center"/>
                  </w:pPr>
                  <w:r>
                    <w:rPr>
                      <w:b/>
                      <w:bCs/>
                    </w:rPr>
                    <w:t xml:space="preserve">Parameter</w:t>
                  </w:r>
                </w:p>
              </w:tc>
              <w:tc>
                <w:tcPr/>
                <w:p>
                  <w:pPr>
                    <w:pStyle w:val="Compact"/>
                    <w:jc w:val="left"/>
                    <w:jc w:val="center"/>
                  </w:pPr>
                  <w:r>
                    <w:rPr>
                      <w:b/>
                      <w:bCs/>
                    </w:rPr>
                    <w:t xml:space="preserve">Bottom</w:t>
                  </w:r>
                </w:p>
              </w:tc>
              <w:tc>
                <w:tcPr/>
                <w:p>
                  <w:pPr>
                    <w:pStyle w:val="Compact"/>
                    <w:jc w:val="left"/>
                    <w:jc w:val="center"/>
                  </w:pPr>
                  <w:r>
                    <w:rPr>
                      <w:b/>
                      <w:bCs/>
                    </w:rPr>
                    <w:t xml:space="preserve">Middle</w:t>
                  </w:r>
                </w:p>
              </w:tc>
              <w:tc>
                <w:tcPr/>
                <w:p>
                  <w:pPr>
                    <w:pStyle w:val="Compact"/>
                    <w:jc w:val="left"/>
                    <w:jc w:val="center"/>
                  </w:pPr>
                  <w:r>
                    <w:rPr>
                      <w:b/>
                      <w:bCs/>
                    </w:rPr>
                    <w:t xml:space="preserve">Surface</w:t>
                  </w:r>
                </w:p>
              </w:tc>
              <w:tc>
                <w:tcPr/>
                <w:p>
                  <w:pPr>
                    <w:pStyle w:val="Compact"/>
                    <w:jc w:val="left"/>
                    <w:jc w:val="center"/>
                  </w:pPr>
                  <w:r>
                    <w:rPr>
                      <w:b/>
                      <w:bCs/>
                      <w:i/>
                      <w:iCs/>
                    </w:rPr>
                    <w:t xml:space="preserve">p</w:t>
                  </w:r>
                  <w:r>
                    <w:rPr>
                      <w:b/>
                      <w:bCs/>
                    </w:rPr>
                    <w:t xml:space="preserve">-value</w:t>
                  </w:r>
                </w:p>
              </w:tc>
            </w:tr>
            <w:tr>
              <w:tc>
                <w:tcPr/>
                <w:p>
                  <w:pPr>
                    <w:pStyle w:val="Compact"/>
                    <w:jc w:val="left"/>
                    <w:jc w:val="center"/>
                  </w:pPr>
                  <w:r>
                    <w:t xml:space="preserve">MIB</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13.2 ± 7.6</w:t>
                  </w:r>
                </w:p>
              </w:tc>
              <w:tc>
                <w:tcPr/>
                <w:p>
                  <w:pPr>
                    <w:pStyle w:val="Compact"/>
                    <w:jc w:val="left"/>
                    <w:jc w:val="center"/>
                  </w:pPr>
                  <w:r>
                    <w:t xml:space="preserve">15.5 ± 10.3</w:t>
                  </w:r>
                </w:p>
              </w:tc>
              <w:tc>
                <w:tcPr/>
                <w:p>
                  <w:pPr>
                    <w:pStyle w:val="Compact"/>
                    <w:jc w:val="left"/>
                    <w:jc w:val="center"/>
                  </w:pPr>
                  <w:r>
                    <w:t xml:space="preserve">17.2 ± 10.3</w:t>
                  </w:r>
                </w:p>
              </w:tc>
              <w:tc>
                <w:tcPr/>
                <w:p>
                  <w:pPr>
                    <w:pStyle w:val="Compact"/>
                    <w:jc w:val="left"/>
                    <w:jc w:val="center"/>
                  </w:pPr>
                  <w:r>
                    <w:rPr>
                      <w:i/>
                      <w:iCs/>
                    </w:rPr>
                    <w:t xml:space="preserve">p</w:t>
                  </w:r>
                  <w:r>
                    <w:t xml:space="preserve"> </w:t>
                  </w:r>
                  <w:r>
                    <w:t xml:space="preserve">= 0.3651</w:t>
                  </w:r>
                </w:p>
              </w:tc>
            </w:tr>
            <w:tr>
              <w:tc>
                <w:tcPr/>
                <w:p>
                  <w:pPr>
                    <w:pStyle w:val="Compact"/>
                    <w:jc w:val="left"/>
                    <w:jc w:val="center"/>
                  </w:pPr>
                  <w:r>
                    <w:t xml:space="preserve">GSM</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4.6 ± 0.9</w:t>
                  </w:r>
                </w:p>
              </w:tc>
              <w:tc>
                <w:tcPr/>
                <w:p>
                  <w:pPr>
                    <w:pStyle w:val="Compact"/>
                    <w:jc w:val="left"/>
                    <w:jc w:val="center"/>
                  </w:pPr>
                  <w:r>
                    <w:t xml:space="preserve">4.7 ± 0.2</w:t>
                  </w:r>
                </w:p>
              </w:tc>
              <w:tc>
                <w:tcPr/>
                <w:p>
                  <w:pPr>
                    <w:pStyle w:val="Compact"/>
                    <w:jc w:val="left"/>
                    <w:jc w:val="center"/>
                  </w:pPr>
                  <w:r>
                    <w:t xml:space="preserve">4.8 ± 0.2</w:t>
                  </w:r>
                </w:p>
              </w:tc>
              <w:tc>
                <w:tcPr/>
                <w:p>
                  <w:pPr>
                    <w:pStyle w:val="Compact"/>
                    <w:jc w:val="left"/>
                    <w:jc w:val="center"/>
                  </w:pPr>
                  <w:r>
                    <w:rPr>
                      <w:i/>
                      <w:iCs/>
                    </w:rPr>
                    <w:t xml:space="preserve">p</w:t>
                  </w:r>
                  <w:r>
                    <w:t xml:space="preserve"> </w:t>
                  </w:r>
                  <w:r>
                    <w:t xml:space="preserve">= 0.3885</w:t>
                  </w:r>
                </w:p>
              </w:tc>
            </w:tr>
            <w:tr>
              <w:tc>
                <w:tcPr/>
                <w:p>
                  <w:pPr>
                    <w:pStyle w:val="Compact"/>
                    <w:jc w:val="left"/>
                    <w:jc w:val="center"/>
                  </w:pPr>
                  <w:r>
                    <w:t xml:space="preserve">MIB</w:t>
                  </w:r>
                  <w:r>
                    <w:rPr>
                      <w:vertAlign w:val="subscript"/>
                    </w:rPr>
                    <w:t xml:space="preserve">d</w:t>
                  </w:r>
                  <w:r>
                    <w:t xml:space="preserve"> </w:t>
                  </w:r>
                  <w:r>
                    <w:t xml:space="preserve">(ng L</w:t>
                  </w:r>
                  <w:r>
                    <w:rPr>
                      <w:vertAlign w:val="superscript"/>
                    </w:rPr>
                    <w:t xml:space="preserve">-1</w:t>
                  </w:r>
                  <w:r>
                    <w:t xml:space="preserve">)</w:t>
                  </w:r>
                </w:p>
              </w:tc>
              <w:tc>
                <w:tcPr/>
                <w:p>
                  <w:pPr>
                    <w:pStyle w:val="Compact"/>
                    <w:jc w:val="left"/>
                    <w:jc w:val="center"/>
                  </w:pPr>
                  <w:r>
                    <w:t xml:space="preserve">10.0 ± 5.8</w:t>
                  </w:r>
                </w:p>
              </w:tc>
              <w:tc>
                <w:tcPr/>
                <w:p>
                  <w:pPr>
                    <w:pStyle w:val="Compact"/>
                    <w:jc w:val="left"/>
                    <w:jc w:val="center"/>
                  </w:pPr>
                  <w:r>
                    <w:t xml:space="preserve">11.3 ± 5.4</w:t>
                  </w:r>
                </w:p>
              </w:tc>
              <w:tc>
                <w:tcPr/>
                <w:p>
                  <w:pPr>
                    <w:pStyle w:val="Compact"/>
                    <w:jc w:val="left"/>
                    <w:jc w:val="center"/>
                  </w:pPr>
                  <w:r>
                    <w:t xml:space="preserve">11.7 ± 5.7</w:t>
                  </w:r>
                </w:p>
              </w:tc>
              <w:tc>
                <w:tcPr/>
                <w:p>
                  <w:pPr>
                    <w:pStyle w:val="Compact"/>
                    <w:jc w:val="left"/>
                    <w:jc w:val="center"/>
                  </w:pPr>
                  <w:r>
                    <w:rPr>
                      <w:i/>
                      <w:iCs/>
                    </w:rPr>
                    <w:t xml:space="preserve">p</w:t>
                  </w:r>
                  <w:r>
                    <w:t xml:space="preserve"> </w:t>
                  </w:r>
                  <w:r>
                    <w:t xml:space="preserve">= 0.5733</w:t>
                  </w:r>
                </w:p>
              </w:tc>
            </w:tr>
            <w:tr>
              <w:tc>
                <w:tcPr/>
                <w:p>
                  <w:pPr>
                    <w:pStyle w:val="Compact"/>
                    <w:jc w:val="left"/>
                    <w:jc w:val="center"/>
                  </w:pPr>
                  <w:r>
                    <w:t xml:space="preserve">GSM</w:t>
                  </w:r>
                  <w:r>
                    <w:rPr>
                      <w:vertAlign w:val="subscript"/>
                    </w:rPr>
                    <w:t xml:space="preserve">d</w:t>
                  </w:r>
                  <w:r>
                    <w:t xml:space="preserve"> </w:t>
                  </w:r>
                  <w:r>
                    <w:t xml:space="preserve">(ng L</w:t>
                  </w:r>
                  <w:r>
                    <w:rPr>
                      <w:vertAlign w:val="superscript"/>
                    </w:rPr>
                    <w:t xml:space="preserve">-1</w:t>
                  </w:r>
                  <w:r>
                    <w:t xml:space="preserve">)</w:t>
                  </w:r>
                </w:p>
              </w:tc>
              <w:tc>
                <w:tcPr/>
                <w:p>
                  <w:pPr>
                    <w:pStyle w:val="Compact"/>
                    <w:jc w:val="left"/>
                    <w:jc w:val="center"/>
                  </w:pPr>
                  <w:r>
                    <w:t xml:space="preserve">6.3 ± 1.0</w:t>
                  </w:r>
                </w:p>
              </w:tc>
              <w:tc>
                <w:tcPr/>
                <w:p>
                  <w:pPr>
                    <w:pStyle w:val="Compact"/>
                    <w:jc w:val="left"/>
                    <w:jc w:val="center"/>
                  </w:pPr>
                  <w:r>
                    <w:t xml:space="preserve">6.2 ± 0.8</w:t>
                  </w:r>
                </w:p>
              </w:tc>
              <w:tc>
                <w:tcPr/>
                <w:p>
                  <w:pPr>
                    <w:pStyle w:val="Compact"/>
                    <w:jc w:val="left"/>
                    <w:jc w:val="center"/>
                  </w:pPr>
                  <w:r>
                    <w:t xml:space="preserve">6.2 ± 0.9</w:t>
                  </w:r>
                </w:p>
              </w:tc>
              <w:tc>
                <w:tcPr/>
                <w:p>
                  <w:pPr>
                    <w:pStyle w:val="Compact"/>
                    <w:jc w:val="left"/>
                    <w:jc w:val="center"/>
                  </w:pPr>
                  <w:r>
                    <w:rPr>
                      <w:i/>
                      <w:iCs/>
                    </w:rPr>
                    <w:t xml:space="preserve">p</w:t>
                  </w:r>
                  <w:r>
                    <w:t xml:space="preserve"> </w:t>
                  </w:r>
                  <w:r>
                    <w:t xml:space="preserve">= 0.9785</w:t>
                  </w:r>
                </w:p>
              </w:tc>
            </w:tr>
            <w:tr>
              <w:tc>
                <w:tcPr/>
                <w:p>
                  <w:pPr>
                    <w:pStyle w:val="Compact"/>
                    <w:jc w:val="left"/>
                    <w:jc w:val="center"/>
                  </w:pPr>
                  <w:r>
                    <w:t xml:space="preserve">TN (μg L</w:t>
                  </w:r>
                  <w:r>
                    <w:rPr>
                      <w:vertAlign w:val="superscript"/>
                    </w:rPr>
                    <w:t xml:space="preserve">-1</w:t>
                  </w:r>
                  <w:r>
                    <w:t xml:space="preserve">)</w:t>
                  </w:r>
                </w:p>
              </w:tc>
              <w:tc>
                <w:tcPr/>
                <w:p>
                  <w:pPr>
                    <w:pStyle w:val="Compact"/>
                    <w:jc w:val="left"/>
                    <w:jc w:val="center"/>
                  </w:pPr>
                  <w:r>
                    <w:t xml:space="preserve">1587 ± 165</w:t>
                  </w:r>
                </w:p>
              </w:tc>
              <w:tc>
                <w:tcPr/>
                <w:p>
                  <w:pPr>
                    <w:pStyle w:val="Compact"/>
                    <w:jc w:val="left"/>
                    <w:jc w:val="center"/>
                  </w:pPr>
                  <w:r>
                    <w:t xml:space="preserve">1629 ± 133</w:t>
                  </w:r>
                </w:p>
              </w:tc>
              <w:tc>
                <w:tcPr/>
                <w:p>
                  <w:pPr>
                    <w:pStyle w:val="Compact"/>
                    <w:jc w:val="left"/>
                    <w:jc w:val="center"/>
                  </w:pPr>
                  <w:r>
                    <w:t xml:space="preserve">1626 ± 132</w:t>
                  </w:r>
                </w:p>
              </w:tc>
              <w:tc>
                <w:tcPr/>
                <w:p>
                  <w:pPr>
                    <w:pStyle w:val="Compact"/>
                    <w:jc w:val="left"/>
                    <w:jc w:val="center"/>
                  </w:pPr>
                  <w:r>
                    <w:rPr>
                      <w:i/>
                      <w:iCs/>
                    </w:rPr>
                    <w:t xml:space="preserve">p</w:t>
                  </w:r>
                  <w:r>
                    <w:t xml:space="preserve"> </w:t>
                  </w:r>
                  <w:r>
                    <w:t xml:space="preserve">= 0.5374</w:t>
                  </w:r>
                </w:p>
              </w:tc>
            </w:tr>
            <w:tr>
              <w:tc>
                <w:tcPr/>
                <w:p>
                  <w:pPr>
                    <w:pStyle w:val="Compact"/>
                    <w:jc w:val="left"/>
                    <w:jc w:val="center"/>
                  </w:pPr>
                  <w:r>
                    <w:t xml:space="preserve">TP (μg L</w:t>
                  </w:r>
                  <w:r>
                    <w:rPr>
                      <w:vertAlign w:val="superscript"/>
                    </w:rPr>
                    <w:t xml:space="preserve">-1</w:t>
                  </w:r>
                  <w:r>
                    <w:t xml:space="preserve">)</w:t>
                  </w:r>
                </w:p>
              </w:tc>
              <w:tc>
                <w:tcPr/>
                <w:p>
                  <w:pPr>
                    <w:pStyle w:val="Compact"/>
                    <w:jc w:val="left"/>
                    <w:jc w:val="center"/>
                  </w:pPr>
                  <w:r>
                    <w:t xml:space="preserve">15 ± 4</w:t>
                  </w:r>
                </w:p>
              </w:tc>
              <w:tc>
                <w:tcPr/>
                <w:p>
                  <w:pPr>
                    <w:pStyle w:val="Compact"/>
                    <w:jc w:val="left"/>
                    <w:jc w:val="center"/>
                  </w:pPr>
                  <w:r>
                    <w:t xml:space="preserve">15 ± 3</w:t>
                  </w:r>
                </w:p>
              </w:tc>
              <w:tc>
                <w:tcPr/>
                <w:p>
                  <w:pPr>
                    <w:pStyle w:val="Compact"/>
                    <w:jc w:val="left"/>
                    <w:jc w:val="center"/>
                  </w:pPr>
                  <w:r>
                    <w:t xml:space="preserve">15 ± 2</w:t>
                  </w:r>
                </w:p>
              </w:tc>
              <w:tc>
                <w:tcPr/>
                <w:p>
                  <w:pPr>
                    <w:pStyle w:val="Compact"/>
                    <w:jc w:val="left"/>
                    <w:jc w:val="center"/>
                  </w:pPr>
                  <w:r>
                    <w:rPr>
                      <w:i/>
                      <w:iCs/>
                    </w:rPr>
                    <w:t xml:space="preserve">p</w:t>
                  </w:r>
                  <w:r>
                    <w:t xml:space="preserve"> </w:t>
                  </w:r>
                  <w:r>
                    <w:t xml:space="preserve">= 0.7628</w:t>
                  </w:r>
                </w:p>
              </w:tc>
            </w:tr>
            <w:tr>
              <w:tc>
                <w:tcPr/>
                <w:p>
                  <w:pPr>
                    <w:pStyle w:val="Compact"/>
                    <w:jc w:val="left"/>
                    <w:jc w:val="center"/>
                  </w:pPr>
                  <w:r>
                    <w:t xml:space="preserve">NH</w:t>
                  </w:r>
                  <w:r>
                    <w:rPr>
                      <w:vertAlign w:val="subscript"/>
                    </w:rPr>
                    <w:t xml:space="preserve">4</w:t>
                  </w:r>
                  <w:r>
                    <w:t xml:space="preserve">-N (μg L</w:t>
                  </w:r>
                  <w:r>
                    <w:rPr>
                      <w:vertAlign w:val="superscript"/>
                    </w:rPr>
                    <w:t xml:space="preserve">-1</w:t>
                  </w:r>
                  <w:r>
                    <w:t xml:space="preserve">)</w:t>
                  </w:r>
                </w:p>
              </w:tc>
              <w:tc>
                <w:tcPr/>
                <w:p>
                  <w:pPr>
                    <w:pStyle w:val="Compact"/>
                    <w:jc w:val="left"/>
                    <w:jc w:val="center"/>
                  </w:pPr>
                  <w:r>
                    <w:t xml:space="preserve">80 ± 71</w:t>
                  </w:r>
                </w:p>
              </w:tc>
              <w:tc>
                <w:tcPr/>
                <w:p>
                  <w:pPr>
                    <w:pStyle w:val="Compact"/>
                    <w:jc w:val="left"/>
                    <w:jc w:val="center"/>
                  </w:pPr>
                  <w:r>
                    <w:t xml:space="preserve">67 ± 56</w:t>
                  </w:r>
                </w:p>
              </w:tc>
              <w:tc>
                <w:tcPr/>
                <w:p>
                  <w:pPr>
                    <w:pStyle w:val="Compact"/>
                    <w:jc w:val="left"/>
                    <w:jc w:val="center"/>
                  </w:pPr>
                  <w:r>
                    <w:t xml:space="preserve">73 ± 50</w:t>
                  </w:r>
                </w:p>
              </w:tc>
              <w:tc>
                <w:tcPr/>
                <w:p>
                  <w:pPr>
                    <w:pStyle w:val="Compact"/>
                    <w:jc w:val="left"/>
                    <w:jc w:val="center"/>
                  </w:pPr>
                  <w:r>
                    <w:rPr>
                      <w:i/>
                      <w:iCs/>
                    </w:rPr>
                    <w:t xml:space="preserve">p</w:t>
                  </w:r>
                  <w:r>
                    <w:t xml:space="preserve"> </w:t>
                  </w:r>
                  <w:r>
                    <w:t xml:space="preserve">= 0.7645</w:t>
                  </w:r>
                </w:p>
              </w:tc>
            </w:tr>
            <w:tr>
              <w:tc>
                <w:tcPr/>
                <w:p>
                  <w:pPr>
                    <w:pStyle w:val="Compact"/>
                    <w:jc w:val="left"/>
                    <w:jc w:val="center"/>
                  </w:pPr>
                  <w:r>
                    <w:t xml:space="preserve">NO</w:t>
                  </w:r>
                  <w:r>
                    <w:rPr>
                      <w:vertAlign w:val="subscript"/>
                    </w:rPr>
                    <w:t xml:space="preserve">3</w:t>
                  </w:r>
                  <w:r>
                    <w:t xml:space="preserve">-N (μg L</w:t>
                  </w:r>
                  <w:r>
                    <w:rPr>
                      <w:vertAlign w:val="superscript"/>
                    </w:rPr>
                    <w:t xml:space="preserve">-1</w:t>
                  </w:r>
                  <w:r>
                    <w:t xml:space="preserve">)</w:t>
                  </w:r>
                </w:p>
              </w:tc>
              <w:tc>
                <w:tcPr/>
                <w:p>
                  <w:pPr>
                    <w:pStyle w:val="Compact"/>
                    <w:jc w:val="left"/>
                    <w:jc w:val="center"/>
                  </w:pPr>
                  <w:r>
                    <w:t xml:space="preserve">1438 ± 153</w:t>
                  </w:r>
                </w:p>
              </w:tc>
              <w:tc>
                <w:tcPr/>
                <w:p>
                  <w:pPr>
                    <w:pStyle w:val="Compact"/>
                    <w:jc w:val="left"/>
                    <w:jc w:val="center"/>
                  </w:pPr>
                  <w:r>
                    <w:t xml:space="preserve">1441 ± 133</w:t>
                  </w:r>
                </w:p>
              </w:tc>
              <w:tc>
                <w:tcPr/>
                <w:p>
                  <w:pPr>
                    <w:pStyle w:val="Compact"/>
                    <w:jc w:val="left"/>
                    <w:jc w:val="center"/>
                  </w:pPr>
                  <w:r>
                    <w:t xml:space="preserve">1435 ± 142</w:t>
                  </w:r>
                </w:p>
              </w:tc>
              <w:tc>
                <w:tcPr/>
                <w:p>
                  <w:pPr>
                    <w:pStyle w:val="Compact"/>
                    <w:jc w:val="left"/>
                    <w:jc w:val="center"/>
                  </w:pPr>
                  <w:r>
                    <w:rPr>
                      <w:i/>
                      <w:iCs/>
                    </w:rPr>
                    <w:t xml:space="preserve">p</w:t>
                  </w:r>
                  <w:r>
                    <w:t xml:space="preserve"> </w:t>
                  </w:r>
                  <w:r>
                    <w:t xml:space="preserve">= 0.9866</w:t>
                  </w:r>
                </w:p>
              </w:tc>
            </w:tr>
            <w:tr>
              <w:tc>
                <w:tcPr/>
                <w:p>
                  <w:pPr>
                    <w:pStyle w:val="Compact"/>
                    <w:jc w:val="left"/>
                    <w:jc w:val="center"/>
                  </w:pPr>
                  <w:r>
                    <w:t xml:space="preserve">pH</w:t>
                  </w:r>
                </w:p>
              </w:tc>
              <w:tc>
                <w:tcPr/>
                <w:p>
                  <w:pPr>
                    <w:pStyle w:val="Compact"/>
                    <w:jc w:val="left"/>
                    <w:jc w:val="center"/>
                  </w:pPr>
                  <w:r>
                    <w:t xml:space="preserve">8.4 ± 0.1</w:t>
                  </w:r>
                </w:p>
              </w:tc>
              <w:tc>
                <w:tcPr/>
                <w:p>
                  <w:pPr>
                    <w:pStyle w:val="Compact"/>
                    <w:jc w:val="left"/>
                    <w:jc w:val="center"/>
                  </w:pPr>
                  <w:r>
                    <w:t xml:space="preserve">8.4 ± 0.1</w:t>
                  </w:r>
                </w:p>
              </w:tc>
              <w:tc>
                <w:tcPr/>
                <w:p>
                  <w:pPr>
                    <w:pStyle w:val="Compact"/>
                    <w:jc w:val="left"/>
                    <w:jc w:val="center"/>
                  </w:pPr>
                  <w:r>
                    <w:t xml:space="preserve">8.4 ± 0.1</w:t>
                  </w:r>
                </w:p>
              </w:tc>
              <w:tc>
                <w:tcPr/>
                <w:p>
                  <w:pPr>
                    <w:pStyle w:val="Compact"/>
                    <w:jc w:val="left"/>
                    <w:jc w:val="center"/>
                  </w:pPr>
                  <w:r>
                    <w:rPr>
                      <w:i/>
                      <w:iCs/>
                    </w:rPr>
                    <w:t xml:space="preserve">p</w:t>
                  </w:r>
                  <w:r>
                    <w:t xml:space="preserve"> </w:t>
                  </w:r>
                  <w:r>
                    <w:t xml:space="preserve">= 0.9002</w:t>
                  </w:r>
                </w:p>
              </w:tc>
            </w:tr>
            <w:tr>
              <w:tc>
                <w:tcPr/>
                <w:p>
                  <w:pPr>
                    <w:pStyle w:val="Compact"/>
                    <w:jc w:val="left"/>
                    <w:jc w:val="center"/>
                  </w:pPr>
                  <w:r>
                    <w:t xml:space="preserve">DO (mg L</w:t>
                  </w:r>
                  <w:r>
                    <w:rPr>
                      <w:vertAlign w:val="superscript"/>
                    </w:rPr>
                    <w:t xml:space="preserve">-1</w:t>
                  </w:r>
                  <w:r>
                    <w:t xml:space="preserve">)</w:t>
                  </w:r>
                </w:p>
              </w:tc>
              <w:tc>
                <w:tcPr/>
                <w:p>
                  <w:pPr>
                    <w:pStyle w:val="Compact"/>
                    <w:jc w:val="left"/>
                    <w:jc w:val="center"/>
                  </w:pPr>
                  <w:r>
                    <w:t xml:space="preserve">5.8 ± 2.2</w:t>
                  </w:r>
                </w:p>
              </w:tc>
              <w:tc>
                <w:tcPr/>
                <w:p>
                  <w:pPr>
                    <w:pStyle w:val="Compact"/>
                    <w:jc w:val="left"/>
                    <w:jc w:val="center"/>
                  </w:pPr>
                  <w:r>
                    <w:t xml:space="preserve">7.7 ± 0.8</w:t>
                  </w:r>
                </w:p>
              </w:tc>
              <w:tc>
                <w:tcPr/>
                <w:p>
                  <w:pPr>
                    <w:pStyle w:val="Compact"/>
                    <w:jc w:val="left"/>
                    <w:jc w:val="center"/>
                  </w:pPr>
                  <w:r>
                    <w:t xml:space="preserve">8.0 ± 0.5</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Turb. (NTU)</w:t>
                  </w:r>
                </w:p>
              </w:tc>
              <w:tc>
                <w:tcPr/>
                <w:p>
                  <w:pPr>
                    <w:pStyle w:val="Compact"/>
                    <w:jc w:val="left"/>
                    <w:jc w:val="center"/>
                  </w:pPr>
                  <w:r>
                    <w:t xml:space="preserve">17.2 ± 39.8</w:t>
                  </w:r>
                </w:p>
              </w:tc>
              <w:tc>
                <w:tcPr/>
                <w:p>
                  <w:pPr>
                    <w:pStyle w:val="Compact"/>
                    <w:jc w:val="left"/>
                    <w:jc w:val="center"/>
                  </w:pPr>
                  <w:r>
                    <w:t xml:space="preserve">5.5 ± 6.3</w:t>
                  </w:r>
                </w:p>
              </w:tc>
              <w:tc>
                <w:tcPr/>
                <w:p>
                  <w:pPr>
                    <w:pStyle w:val="Compact"/>
                    <w:jc w:val="left"/>
                    <w:jc w:val="center"/>
                  </w:pPr>
                  <w:r>
                    <w:t xml:space="preserve">4.7 ± 5.4</w:t>
                  </w:r>
                </w:p>
              </w:tc>
              <w:tc>
                <w:tcPr/>
                <w:p>
                  <w:pPr>
                    <w:pStyle w:val="Compact"/>
                    <w:jc w:val="left"/>
                    <w:jc w:val="center"/>
                  </w:pPr>
                  <w:r>
                    <w:rPr>
                      <w:i/>
                      <w:iCs/>
                    </w:rPr>
                    <w:t xml:space="preserve">p</w:t>
                  </w:r>
                  <w:r>
                    <w:t xml:space="preserve"> </w:t>
                  </w:r>
                  <w:r>
                    <w:t xml:space="preserve">= 0.1245</w:t>
                  </w:r>
                </w:p>
              </w:tc>
            </w:tr>
            <w:tr>
              <w:tc>
                <w:tcPr/>
                <w:p>
                  <w:pPr>
                    <w:pStyle w:val="Compact"/>
                    <w:jc w:val="left"/>
                    <w:jc w:val="center"/>
                  </w:pPr>
                  <w:r>
                    <w:t xml:space="preserve">Temp. (°C)</w:t>
                  </w:r>
                </w:p>
              </w:tc>
              <w:tc>
                <w:tcPr/>
                <w:p>
                  <w:pPr>
                    <w:pStyle w:val="Compact"/>
                    <w:jc w:val="left"/>
                    <w:jc w:val="center"/>
                  </w:pPr>
                  <w:r>
                    <w:t xml:space="preserve">21.5 ± 1.0</w:t>
                  </w:r>
                </w:p>
              </w:tc>
              <w:tc>
                <w:tcPr/>
                <w:p>
                  <w:pPr>
                    <w:pStyle w:val="Compact"/>
                    <w:jc w:val="left"/>
                    <w:jc w:val="center"/>
                  </w:pPr>
                  <w:r>
                    <w:t xml:space="preserve">22.2 ± 0.8</w:t>
                  </w:r>
                </w:p>
              </w:tc>
              <w:tc>
                <w:tcPr/>
                <w:p>
                  <w:pPr>
                    <w:pStyle w:val="Compact"/>
                    <w:jc w:val="left"/>
                    <w:jc w:val="center"/>
                  </w:pPr>
                  <w:r>
                    <w:t xml:space="preserve">22.8 ± 0.8</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Salinity (psu)</w:t>
                  </w:r>
                </w:p>
              </w:tc>
              <w:tc>
                <w:tcPr/>
                <w:p>
                  <w:pPr>
                    <w:pStyle w:val="Compact"/>
                    <w:jc w:val="left"/>
                    <w:jc w:val="center"/>
                  </w:pPr>
                  <w:r>
                    <w:t xml:space="preserve">0.16 ± 0.01</w:t>
                  </w:r>
                </w:p>
              </w:tc>
              <w:tc>
                <w:tcPr/>
                <w:p>
                  <w:pPr>
                    <w:pStyle w:val="Compact"/>
                    <w:jc w:val="left"/>
                    <w:jc w:val="center"/>
                  </w:pPr>
                  <w:r>
                    <w:t xml:space="preserve">0.16 ± 0.01</w:t>
                  </w:r>
                </w:p>
              </w:tc>
              <w:tc>
                <w:tcPr/>
                <w:p>
                  <w:pPr>
                    <w:pStyle w:val="Compact"/>
                    <w:jc w:val="left"/>
                    <w:jc w:val="center"/>
                  </w:pPr>
                  <w:r>
                    <w:t xml:space="preserve">0.16 ± 0.01</w:t>
                  </w:r>
                </w:p>
              </w:tc>
              <w:tc>
                <w:tcPr/>
                <w:p>
                  <w:pPr>
                    <w:pStyle w:val="Compact"/>
                    <w:jc w:val="left"/>
                    <w:jc w:val="center"/>
                  </w:pPr>
                  <w:r>
                    <w:rPr>
                      <w:i/>
                      <w:iCs/>
                    </w:rPr>
                    <w:t xml:space="preserve">p</w:t>
                  </w:r>
                  <w:r>
                    <w:t xml:space="preserve"> </w:t>
                  </w:r>
                  <w:r>
                    <w:t xml:space="preserve">= 0.5897</w:t>
                  </w:r>
                </w:p>
              </w:tc>
            </w:tr>
            <w:tr>
              <w:tc>
                <w:tcPr/>
                <w:p>
                  <w:pPr>
                    <w:pStyle w:val="Compact"/>
                    <w:jc w:val="left"/>
                    <w:jc w:val="center"/>
                  </w:pPr>
                  <w:r>
                    <w:t xml:space="preserve">Cond. (μs cm</w:t>
                  </w:r>
                  <w:r>
                    <w:rPr>
                      <w:vertAlign w:val="superscript"/>
                    </w:rPr>
                    <w:t xml:space="preserve">-1</w:t>
                  </w:r>
                  <w:r>
                    <w:t xml:space="preserve">)</w:t>
                  </w:r>
                </w:p>
              </w:tc>
              <w:tc>
                <w:tcPr/>
                <w:p>
                  <w:pPr>
                    <w:pStyle w:val="Compact"/>
                    <w:jc w:val="left"/>
                    <w:jc w:val="center"/>
                  </w:pPr>
                  <w:r>
                    <w:t xml:space="preserve">342.9 ± 20.4</w:t>
                  </w:r>
                </w:p>
              </w:tc>
              <w:tc>
                <w:tcPr/>
                <w:p>
                  <w:pPr>
                    <w:pStyle w:val="Compact"/>
                    <w:jc w:val="left"/>
                    <w:jc w:val="center"/>
                  </w:pPr>
                  <w:r>
                    <w:t xml:space="preserve">337.4 ± 15.4</w:t>
                  </w:r>
                </w:p>
              </w:tc>
              <w:tc>
                <w:tcPr/>
                <w:p>
                  <w:pPr>
                    <w:pStyle w:val="Compact"/>
                    <w:jc w:val="left"/>
                    <w:jc w:val="center"/>
                  </w:pPr>
                  <w:r>
                    <w:t xml:space="preserve">337.9 ± 13.9</w:t>
                  </w:r>
                </w:p>
              </w:tc>
              <w:tc>
                <w:tcPr/>
                <w:p>
                  <w:pPr>
                    <w:pStyle w:val="Compact"/>
                    <w:jc w:val="left"/>
                    <w:jc w:val="center"/>
                  </w:pPr>
                  <w:r>
                    <w:rPr>
                      <w:i/>
                      <w:iCs/>
                    </w:rPr>
                    <w:t xml:space="preserve">p</w:t>
                  </w:r>
                  <w:r>
                    <w:t xml:space="preserve"> </w:t>
                  </w:r>
                  <w:r>
                    <w:t xml:space="preserve">= 0.4739</w:t>
                  </w:r>
                </w:p>
              </w:tc>
            </w:tr>
            <w:tr>
              <w:tc>
                <w:tcPr/>
                <w:p>
                  <w:pPr>
                    <w:pStyle w:val="Compact"/>
                    <w:jc w:val="left"/>
                    <w:jc w:val="center"/>
                  </w:pPr>
                  <w:r>
                    <w:t xml:space="preserve">TDS (mg L</w:t>
                  </w:r>
                  <w:r>
                    <w:rPr>
                      <w:vertAlign w:val="superscript"/>
                    </w:rPr>
                    <w:t xml:space="preserve">-1</w:t>
                  </w:r>
                  <w:r>
                    <w:t xml:space="preserve">)</w:t>
                  </w:r>
                </w:p>
              </w:tc>
              <w:tc>
                <w:tcPr/>
                <w:p>
                  <w:pPr>
                    <w:pStyle w:val="Compact"/>
                    <w:jc w:val="left"/>
                    <w:jc w:val="center"/>
                  </w:pPr>
                  <w:r>
                    <w:t xml:space="preserve">221.5 ± 13.1</w:t>
                  </w:r>
                </w:p>
              </w:tc>
              <w:tc>
                <w:tcPr/>
                <w:p>
                  <w:pPr>
                    <w:pStyle w:val="Compact"/>
                    <w:jc w:val="left"/>
                    <w:jc w:val="center"/>
                  </w:pPr>
                  <w:r>
                    <w:t xml:space="preserve">218.1 ± 10.0</w:t>
                  </w:r>
                </w:p>
              </w:tc>
              <w:tc>
                <w:tcPr/>
                <w:p>
                  <w:pPr>
                    <w:pStyle w:val="Compact"/>
                    <w:jc w:val="left"/>
                    <w:jc w:val="center"/>
                  </w:pPr>
                  <w:r>
                    <w:t xml:space="preserve">218.8 ± 8.9</w:t>
                  </w:r>
                </w:p>
              </w:tc>
              <w:tc>
                <w:tcPr/>
                <w:p>
                  <w:pPr>
                    <w:pStyle w:val="Compact"/>
                    <w:jc w:val="left"/>
                    <w:jc w:val="center"/>
                  </w:pPr>
                  <w:r>
                    <w:rPr>
                      <w:i/>
                      <w:iCs/>
                    </w:rPr>
                    <w:t xml:space="preserve">p</w:t>
                  </w:r>
                  <w:r>
                    <w:t xml:space="preserve"> </w:t>
                  </w:r>
                  <w:r>
                    <w:t xml:space="preserve">= 0.5300</w:t>
                  </w:r>
                </w:p>
              </w:tc>
            </w:tr>
            <w:tr>
              <w:tc>
                <w:tcPr/>
                <w:p>
                  <w:pPr>
                    <w:pStyle w:val="Compact"/>
                    <w:jc w:val="left"/>
                    <w:jc w:val="center"/>
                  </w:pPr>
                  <w:r>
                    <w:t xml:space="preserve">Chl</w:t>
                  </w:r>
                  <w:r>
                    <w:t xml:space="preserve"> </w:t>
                  </w:r>
                  <w:r>
                    <w:rPr>
                      <w:i/>
                      <w:iCs/>
                    </w:rPr>
                    <w:t xml:space="preserve">a</w:t>
                  </w:r>
                  <w:r>
                    <w:t xml:space="preserve"> </w:t>
                  </w:r>
                  <w:r>
                    <w:t xml:space="preserve">(μg L</w:t>
                  </w:r>
                  <w:r>
                    <w:rPr>
                      <w:vertAlign w:val="superscript"/>
                    </w:rPr>
                    <w:t xml:space="preserve">-1</w:t>
                  </w:r>
                  <w:r>
                    <w:t xml:space="preserve">)</w:t>
                  </w:r>
                </w:p>
              </w:tc>
              <w:tc>
                <w:tcPr/>
                <w:p>
                  <w:pPr>
                    <w:pStyle w:val="Compact"/>
                    <w:jc w:val="left"/>
                    <w:jc w:val="center"/>
                  </w:pPr>
                  <w:r>
                    <w:t xml:space="preserve">7.3 ± 14.8</w:t>
                  </w:r>
                </w:p>
              </w:tc>
              <w:tc>
                <w:tcPr/>
                <w:p>
                  <w:pPr>
                    <w:pStyle w:val="Compact"/>
                    <w:jc w:val="left"/>
                    <w:jc w:val="center"/>
                  </w:pPr>
                  <w:r>
                    <w:t xml:space="preserve">7.8 ± 13.1</w:t>
                  </w:r>
                </w:p>
              </w:tc>
              <w:tc>
                <w:tcPr/>
                <w:p>
                  <w:pPr>
                    <w:pStyle w:val="Compact"/>
                    <w:jc w:val="left"/>
                    <w:jc w:val="center"/>
                  </w:pPr>
                  <w:r>
                    <w:t xml:space="preserve">7.3 ± 6.3</w:t>
                  </w:r>
                </w:p>
              </w:tc>
              <w:tc>
                <w:tcPr/>
                <w:p>
                  <w:pPr>
                    <w:pStyle w:val="Compact"/>
                    <w:jc w:val="left"/>
                    <w:jc w:val="center"/>
                  </w:pPr>
                  <w:r>
                    <w:rPr>
                      <w:i/>
                      <w:iCs/>
                    </w:rPr>
                    <w:t xml:space="preserve">p</w:t>
                  </w:r>
                  <w:r>
                    <w:t xml:space="preserve"> </w:t>
                  </w:r>
                  <w:r>
                    <w:t xml:space="preserve">= 0.9861</w:t>
                  </w:r>
                </w:p>
              </w:tc>
            </w:tr>
            <w:tr>
              <w:tc>
                <w:tcPr/>
                <w:p>
                  <w:pPr>
                    <w:pStyle w:val="Compact"/>
                    <w:jc w:val="left"/>
                    <w:jc w:val="center"/>
                  </w:pPr>
                  <w:r>
                    <w:t xml:space="preserve">PC (μg L</w:t>
                  </w:r>
                  <w:r>
                    <w:rPr>
                      <w:vertAlign w:val="superscript"/>
                    </w:rPr>
                    <w:t xml:space="preserve">-1</w:t>
                  </w:r>
                  <w:r>
                    <w:t xml:space="preserve">)</w:t>
                  </w:r>
                </w:p>
              </w:tc>
              <w:tc>
                <w:tcPr/>
                <w:p>
                  <w:pPr>
                    <w:pStyle w:val="Compact"/>
                    <w:jc w:val="left"/>
                    <w:jc w:val="center"/>
                  </w:pPr>
                  <w:r>
                    <w:t xml:space="preserve">0.1 ± 0.22</w:t>
                  </w:r>
                </w:p>
              </w:tc>
              <w:tc>
                <w:tcPr/>
                <w:p>
                  <w:pPr>
                    <w:pStyle w:val="Compact"/>
                    <w:jc w:val="left"/>
                    <w:jc w:val="center"/>
                  </w:pPr>
                  <w:r>
                    <w:t xml:space="preserve">0.2 ± 0.2</w:t>
                  </w:r>
                </w:p>
              </w:tc>
              <w:tc>
                <w:tcPr/>
                <w:p>
                  <w:pPr>
                    <w:pStyle w:val="Compact"/>
                    <w:jc w:val="left"/>
                    <w:jc w:val="center"/>
                  </w:pPr>
                  <w:r>
                    <w:t xml:space="preserve">0.3 ± 0.2</w:t>
                  </w:r>
                </w:p>
              </w:tc>
              <w:tc>
                <w:tcPr/>
                <w:p>
                  <w:pPr>
                    <w:pStyle w:val="Compact"/>
                    <w:jc w:val="left"/>
                    <w:jc w:val="center"/>
                  </w:pPr>
                  <w:r>
                    <w:rPr>
                      <w:i/>
                      <w:iCs/>
                    </w:rPr>
                    <w:t xml:space="preserve">p</w:t>
                  </w:r>
                  <w:r>
                    <w:t xml:space="preserve"> </w:t>
                  </w:r>
                  <w:r>
                    <w:t xml:space="preserve">= 0.0191</w:t>
                  </w:r>
                </w:p>
              </w:tc>
            </w:tr>
            <w:tr>
              <w:tc>
                <w:tcPr/>
                <w:p>
                  <w:pPr>
                    <w:pStyle w:val="Compact"/>
                    <w:jc w:val="left"/>
                    <w:jc w:val="center"/>
                  </w:pPr>
                  <w:r>
                    <w:t xml:space="preserve">ORP (mv)</w:t>
                  </w:r>
                </w:p>
              </w:tc>
              <w:tc>
                <w:tcPr/>
                <w:p>
                  <w:pPr>
                    <w:pStyle w:val="Compact"/>
                    <w:jc w:val="left"/>
                    <w:jc w:val="center"/>
                  </w:pPr>
                  <w:r>
                    <w:t xml:space="preserve">-75.4 ± 214.4</w:t>
                  </w:r>
                </w:p>
              </w:tc>
              <w:tc>
                <w:tcPr/>
                <w:p>
                  <w:pPr>
                    <w:pStyle w:val="Compact"/>
                    <w:jc w:val="left"/>
                    <w:jc w:val="center"/>
                  </w:pPr>
                  <w:r>
                    <w:t xml:space="preserve">-75.9 ± 214.4</w:t>
                  </w:r>
                </w:p>
              </w:tc>
              <w:tc>
                <w:tcPr/>
                <w:p>
                  <w:pPr>
                    <w:pStyle w:val="Compact"/>
                    <w:jc w:val="left"/>
                    <w:jc w:val="center"/>
                  </w:pPr>
                  <w:r>
                    <w:t xml:space="preserve">-81.3 ± 216.0</w:t>
                  </w:r>
                </w:p>
              </w:tc>
              <w:tc>
                <w:tcPr/>
                <w:p>
                  <w:pPr>
                    <w:pStyle w:val="Compact"/>
                    <w:jc w:val="left"/>
                    <w:jc w:val="center"/>
                  </w:pPr>
                  <w:r>
                    <w:rPr>
                      <w:i/>
                      <w:iCs/>
                    </w:rPr>
                    <w:t xml:space="preserve">p</w:t>
                  </w:r>
                  <w:r>
                    <w:t xml:space="preserve"> </w:t>
                  </w:r>
                  <w:r>
                    <w:t xml:space="preserve">= 0.9946</w:t>
                  </w:r>
                </w:p>
              </w:tc>
            </w:tr>
          </w:tbl>
          <w:bookmarkEnd w:id="67"/>
          <w:p/>
        </w:tc>
      </w:tr>
    </w:tbl>
    <w:p>
      <w:r>
        <w:br w:type="page"/>
      </w:r>
    </w:p>
    <w:tbl>
      <w:tblPr>
        <w:tblStyle w:val="Table"/>
        <w:tblW w:type="pct" w:w="5000"/>
        <w:tblLayout w:type="fixed"/>
        <w:tblLook w:firstRow="0" w:lastRow="0" w:firstColumn="0" w:lastColumn="0" w:noHBand="0" w:noVBand="0" w:val="0000"/>
      </w:tblPr>
      <w:tblGrid>
        <w:gridCol w:w="7920"/>
      </w:tblGrid>
      <w:tr>
        <w:tc>
          <w:tcPr/>
          <w:bookmarkStart w:id="68" w:name="tbl-ZXDwq2summary"/>
          <w:p>
            <w:pPr>
              <w:jc w:val="center"/>
            </w:pPr>
            <w:pPr>
              <w:jc w:val="start"/>
              <w:spacing w:before="200"/>
              <w:pStyle w:val="ImageCaption"/>
            </w:pPr>
            <w:r>
              <w:t xml:space="preserve">Table 8 Main water quality in surface layer ZXD reservoir during the investigation period (Apri 2021, n = 71), all values are expressed as mean values with standard deviations, variance analysis were performed to compare the differences.</w:t>
            </w:r>
          </w:p>
          <w:tbl>
            <w:tblPr>
              <w:tblStyle w:val="Table"/>
              <w:tblW w:type="pct" w:w="5000"/>
              <w:tblLayout w:type="fixed"/>
              <w:tblLook w:firstRow="1" w:lastRow="0" w:firstColumn="0" w:lastColumn="0" w:noHBand="0" w:noVBand="0" w:val="0020"/>
            </w:tblPr>
            <w:tblGrid>
              <w:gridCol w:w="1218"/>
              <w:gridCol w:w="974"/>
              <w:gridCol w:w="913"/>
              <w:gridCol w:w="913"/>
              <w:gridCol w:w="913"/>
              <w:gridCol w:w="913"/>
              <w:gridCol w:w="913"/>
              <w:gridCol w:w="1157"/>
            </w:tblGrid>
            <w:tr>
              <w:trPr>
                <w:tblHeader w:val="on"/>
              </w:trPr>
              <w:tc>
                <w:tcPr/>
                <w:p>
                  <w:pPr>
                    <w:pStyle w:val="Compact"/>
                    <w:jc w:val="left"/>
                    <w:jc w:val="center"/>
                  </w:pPr>
                  <w:r>
                    <w:rPr>
                      <w:b/>
                      <w:bCs/>
                    </w:rPr>
                    <w:t xml:space="preserve">Parameter</w:t>
                  </w:r>
                </w:p>
              </w:tc>
              <w:tc>
                <w:tcPr/>
                <w:p>
                  <w:pPr>
                    <w:pStyle w:val="Compact"/>
                    <w:jc w:val="left"/>
                    <w:jc w:val="center"/>
                  </w:pPr>
                  <w:r>
                    <w:rPr>
                      <w:b/>
                      <w:bCs/>
                    </w:rPr>
                    <w:t xml:space="preserve">ZXD01</w:t>
                  </w:r>
                </w:p>
              </w:tc>
              <w:tc>
                <w:tcPr/>
                <w:p>
                  <w:pPr>
                    <w:pStyle w:val="Compact"/>
                    <w:jc w:val="left"/>
                    <w:jc w:val="center"/>
                  </w:pPr>
                  <w:r>
                    <w:rPr>
                      <w:b/>
                      <w:bCs/>
                    </w:rPr>
                    <w:t xml:space="preserve">ZXD02</w:t>
                  </w:r>
                </w:p>
              </w:tc>
              <w:tc>
                <w:tcPr/>
                <w:p>
                  <w:pPr>
                    <w:pStyle w:val="Compact"/>
                    <w:jc w:val="left"/>
                    <w:jc w:val="center"/>
                  </w:pPr>
                  <w:r>
                    <w:rPr>
                      <w:b/>
                      <w:bCs/>
                    </w:rPr>
                    <w:t xml:space="preserve">ZXD03</w:t>
                  </w:r>
                </w:p>
              </w:tc>
              <w:tc>
                <w:tcPr/>
                <w:p>
                  <w:pPr>
                    <w:pStyle w:val="Compact"/>
                    <w:jc w:val="left"/>
                    <w:jc w:val="center"/>
                  </w:pPr>
                  <w:r>
                    <w:rPr>
                      <w:b/>
                      <w:bCs/>
                    </w:rPr>
                    <w:t xml:space="preserve">ZXD04</w:t>
                  </w:r>
                </w:p>
              </w:tc>
              <w:tc>
                <w:tcPr/>
                <w:p>
                  <w:pPr>
                    <w:pStyle w:val="Compact"/>
                    <w:jc w:val="left"/>
                    <w:jc w:val="center"/>
                  </w:pPr>
                  <w:r>
                    <w:rPr>
                      <w:b/>
                      <w:bCs/>
                    </w:rPr>
                    <w:t xml:space="preserve">ZXD05</w:t>
                  </w:r>
                </w:p>
              </w:tc>
              <w:tc>
                <w:tcPr/>
                <w:p>
                  <w:pPr>
                    <w:pStyle w:val="Compact"/>
                    <w:jc w:val="left"/>
                    <w:jc w:val="center"/>
                  </w:pPr>
                  <w:r>
                    <w:rPr>
                      <w:b/>
                      <w:bCs/>
                    </w:rPr>
                    <w:t xml:space="preserve">ZXD06</w:t>
                  </w:r>
                </w:p>
              </w:tc>
              <w:tc>
                <w:tcPr/>
                <w:p>
                  <w:pPr>
                    <w:pStyle w:val="Compact"/>
                    <w:jc w:val="left"/>
                    <w:jc w:val="center"/>
                  </w:pPr>
                  <w:r>
                    <w:rPr>
                      <w:b/>
                      <w:bCs/>
                      <w:i/>
                      <w:iCs/>
                    </w:rPr>
                    <w:t xml:space="preserve">p</w:t>
                  </w:r>
                  <w:r>
                    <w:rPr>
                      <w:b/>
                      <w:bCs/>
                    </w:rPr>
                    <w:t xml:space="preserve">-value</w:t>
                  </w:r>
                </w:p>
              </w:tc>
            </w:tr>
            <w:tr>
              <w:tc>
                <w:tcPr/>
                <w:p>
                  <w:pPr>
                    <w:pStyle w:val="Compact"/>
                    <w:jc w:val="left"/>
                    <w:jc w:val="center"/>
                  </w:pPr>
                  <w:r>
                    <w:t xml:space="preserve">MIB</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16.3 ± 9.0</w:t>
                  </w:r>
                </w:p>
              </w:tc>
              <w:tc>
                <w:tcPr/>
                <w:p>
                  <w:pPr>
                    <w:pStyle w:val="Compact"/>
                    <w:jc w:val="left"/>
                    <w:jc w:val="center"/>
                  </w:pPr>
                  <w:r>
                    <w:t xml:space="preserve">12.1 ± 9.2</w:t>
                  </w:r>
                </w:p>
              </w:tc>
              <w:tc>
                <w:tcPr/>
                <w:p>
                  <w:pPr>
                    <w:pStyle w:val="Compact"/>
                    <w:jc w:val="left"/>
                    <w:jc w:val="center"/>
                  </w:pPr>
                  <w:r>
                    <w:t xml:space="preserve">16.9 ± 8.8</w:t>
                  </w:r>
                </w:p>
              </w:tc>
              <w:tc>
                <w:tcPr/>
                <w:p>
                  <w:pPr>
                    <w:pStyle w:val="Compact"/>
                    <w:jc w:val="left"/>
                    <w:jc w:val="center"/>
                  </w:pPr>
                  <w:r>
                    <w:t xml:space="preserve">11.8 ± 11.0</w:t>
                  </w:r>
                </w:p>
              </w:tc>
              <w:tc>
                <w:tcPr/>
                <w:p>
                  <w:pPr>
                    <w:pStyle w:val="Compact"/>
                    <w:jc w:val="left"/>
                    <w:jc w:val="center"/>
                  </w:pPr>
                  <w:r>
                    <w:t xml:space="preserve">16.4 ± 9.3</w:t>
                  </w:r>
                </w:p>
              </w:tc>
              <w:tc>
                <w:tcPr/>
                <w:p>
                  <w:pPr>
                    <w:pStyle w:val="Compact"/>
                    <w:jc w:val="left"/>
                    <w:jc w:val="center"/>
                  </w:pPr>
                  <w:r>
                    <w:t xml:space="preserve">18.2 ± 9.8</w:t>
                  </w:r>
                </w:p>
              </w:tc>
              <w:tc>
                <w:tcPr/>
                <w:p>
                  <w:pPr>
                    <w:pStyle w:val="Compact"/>
                    <w:jc w:val="left"/>
                    <w:jc w:val="center"/>
                  </w:pPr>
                  <w:r>
                    <w:rPr>
                      <w:i/>
                      <w:iCs/>
                    </w:rPr>
                    <w:t xml:space="preserve">p</w:t>
                  </w:r>
                  <w:r>
                    <w:t xml:space="preserve"> </w:t>
                  </w:r>
                  <w:r>
                    <w:t xml:space="preserve">= 0.4704</w:t>
                  </w:r>
                </w:p>
              </w:tc>
            </w:tr>
            <w:tr>
              <w:tc>
                <w:tcPr/>
                <w:p>
                  <w:pPr>
                    <w:pStyle w:val="Compact"/>
                    <w:jc w:val="left"/>
                    <w:jc w:val="center"/>
                  </w:pPr>
                  <w:r>
                    <w:t xml:space="preserve">GSM</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4.8 ± 0.3</w:t>
                  </w:r>
                </w:p>
              </w:tc>
              <w:tc>
                <w:tcPr/>
                <w:p>
                  <w:pPr>
                    <w:pStyle w:val="Compact"/>
                    <w:jc w:val="left"/>
                    <w:jc w:val="center"/>
                  </w:pPr>
                  <w:r>
                    <w:t xml:space="preserve">4.7 ± 0.1</w:t>
                  </w:r>
                </w:p>
              </w:tc>
              <w:tc>
                <w:tcPr/>
                <w:p>
                  <w:pPr>
                    <w:pStyle w:val="Compact"/>
                    <w:jc w:val="left"/>
                    <w:jc w:val="center"/>
                  </w:pPr>
                  <w:r>
                    <w:t xml:space="preserve">4.7 ± 0.1</w:t>
                  </w:r>
                </w:p>
              </w:tc>
              <w:tc>
                <w:tcPr/>
                <w:p>
                  <w:pPr>
                    <w:pStyle w:val="Compact"/>
                    <w:jc w:val="left"/>
                    <w:jc w:val="center"/>
                  </w:pPr>
                  <w:r>
                    <w:t xml:space="preserve">4.4 ± 1.1</w:t>
                  </w:r>
                </w:p>
              </w:tc>
              <w:tc>
                <w:tcPr/>
                <w:p>
                  <w:pPr>
                    <w:pStyle w:val="Compact"/>
                    <w:jc w:val="left"/>
                    <w:jc w:val="center"/>
                  </w:pPr>
                  <w:r>
                    <w:t xml:space="preserve">4.8 ± 0.2</w:t>
                  </w:r>
                </w:p>
              </w:tc>
              <w:tc>
                <w:tcPr/>
                <w:p>
                  <w:pPr>
                    <w:pStyle w:val="Compact"/>
                    <w:jc w:val="left"/>
                    <w:jc w:val="center"/>
                  </w:pPr>
                  <w:r>
                    <w:t xml:space="preserve">4.7 ± 0.2</w:t>
                  </w:r>
                </w:p>
              </w:tc>
              <w:tc>
                <w:tcPr/>
                <w:p>
                  <w:pPr>
                    <w:pStyle w:val="Compact"/>
                    <w:jc w:val="left"/>
                    <w:jc w:val="center"/>
                  </w:pPr>
                  <w:r>
                    <w:rPr>
                      <w:i/>
                      <w:iCs/>
                    </w:rPr>
                    <w:t xml:space="preserve">p</w:t>
                  </w:r>
                  <w:r>
                    <w:t xml:space="preserve"> </w:t>
                  </w:r>
                  <w:r>
                    <w:t xml:space="preserve">= 0.3951</w:t>
                  </w:r>
                </w:p>
              </w:tc>
            </w:tr>
            <w:tr>
              <w:tc>
                <w:tcPr/>
                <w:p>
                  <w:pPr>
                    <w:pStyle w:val="Compact"/>
                    <w:jc w:val="left"/>
                    <w:jc w:val="center"/>
                  </w:pPr>
                  <w:r>
                    <w:t xml:space="preserve">MIB</w:t>
                  </w:r>
                  <w:r>
                    <w:rPr>
                      <w:vertAlign w:val="subscript"/>
                    </w:rPr>
                    <w:t xml:space="preserve">d</w:t>
                  </w:r>
                  <w:r>
                    <w:t xml:space="preserve"> </w:t>
                  </w:r>
                  <w:r>
                    <w:t xml:space="preserve">(ng L</w:t>
                  </w:r>
                  <w:r>
                    <w:rPr>
                      <w:vertAlign w:val="superscript"/>
                    </w:rPr>
                    <w:t xml:space="preserve">-1</w:t>
                  </w:r>
                  <w:r>
                    <w:t xml:space="preserve">)</w:t>
                  </w:r>
                </w:p>
              </w:tc>
              <w:tc>
                <w:tcPr/>
                <w:p>
                  <w:pPr>
                    <w:pStyle w:val="Compact"/>
                    <w:jc w:val="left"/>
                    <w:jc w:val="center"/>
                  </w:pPr>
                  <w:r>
                    <w:t xml:space="preserve">11.1 ± 4.0</w:t>
                  </w:r>
                </w:p>
              </w:tc>
              <w:tc>
                <w:tcPr/>
                <w:p>
                  <w:pPr>
                    <w:pStyle w:val="Compact"/>
                    <w:jc w:val="left"/>
                    <w:jc w:val="center"/>
                  </w:pPr>
                  <w:r>
                    <w:t xml:space="preserve">8.9 ± 5.9</w:t>
                  </w:r>
                </w:p>
              </w:tc>
              <w:tc>
                <w:tcPr/>
                <w:p>
                  <w:pPr>
                    <w:pStyle w:val="Compact"/>
                    <w:jc w:val="left"/>
                    <w:jc w:val="center"/>
                  </w:pPr>
                  <w:r>
                    <w:t xml:space="preserve">11.2 ± 5.3</w:t>
                  </w:r>
                </w:p>
              </w:tc>
              <w:tc>
                <w:tcPr/>
                <w:p>
                  <w:pPr>
                    <w:pStyle w:val="Compact"/>
                    <w:jc w:val="left"/>
                    <w:jc w:val="center"/>
                  </w:pPr>
                  <w:r>
                    <w:t xml:space="preserve">10.5 ± 7.3</w:t>
                  </w:r>
                </w:p>
              </w:tc>
              <w:tc>
                <w:tcPr/>
                <w:p>
                  <w:pPr>
                    <w:pStyle w:val="Compact"/>
                    <w:jc w:val="left"/>
                    <w:jc w:val="center"/>
                  </w:pPr>
                  <w:r>
                    <w:t xml:space="preserve">12.4 ± 6.3</w:t>
                  </w:r>
                </w:p>
              </w:tc>
              <w:tc>
                <w:tcPr/>
                <w:p>
                  <w:pPr>
                    <w:pStyle w:val="Compact"/>
                    <w:jc w:val="left"/>
                    <w:jc w:val="center"/>
                  </w:pPr>
                  <w:r>
                    <w:t xml:space="preserve">12.0 ± 4.8</w:t>
                  </w:r>
                </w:p>
              </w:tc>
              <w:tc>
                <w:tcPr/>
                <w:p>
                  <w:pPr>
                    <w:pStyle w:val="Compact"/>
                    <w:jc w:val="left"/>
                    <w:jc w:val="center"/>
                  </w:pPr>
                  <w:r>
                    <w:rPr>
                      <w:i/>
                      <w:iCs/>
                    </w:rPr>
                    <w:t xml:space="preserve">p</w:t>
                  </w:r>
                  <w:r>
                    <w:t xml:space="preserve"> </w:t>
                  </w:r>
                  <w:r>
                    <w:t xml:space="preserve">= 0.7544</w:t>
                  </w:r>
                </w:p>
              </w:tc>
            </w:tr>
            <w:tr>
              <w:tc>
                <w:tcPr/>
                <w:p>
                  <w:pPr>
                    <w:pStyle w:val="Compact"/>
                    <w:jc w:val="left"/>
                    <w:jc w:val="center"/>
                  </w:pPr>
                  <w:r>
                    <w:t xml:space="preserve">GSM</w:t>
                  </w:r>
                  <w:r>
                    <w:rPr>
                      <w:vertAlign w:val="subscript"/>
                    </w:rPr>
                    <w:t xml:space="preserve">d</w:t>
                  </w:r>
                  <w:r>
                    <w:t xml:space="preserve"> </w:t>
                  </w:r>
                  <w:r>
                    <w:t xml:space="preserve">(ng L</w:t>
                  </w:r>
                  <w:r>
                    <w:rPr>
                      <w:vertAlign w:val="superscript"/>
                    </w:rPr>
                    <w:t xml:space="preserve">-1</w:t>
                  </w:r>
                  <w:r>
                    <w:t xml:space="preserve">)</w:t>
                  </w:r>
                </w:p>
              </w:tc>
              <w:tc>
                <w:tcPr/>
                <w:p>
                  <w:pPr>
                    <w:pStyle w:val="Compact"/>
                    <w:jc w:val="left"/>
                    <w:jc w:val="center"/>
                  </w:pPr>
                  <w:r>
                    <w:t xml:space="preserve">6.9 ± 0.5</w:t>
                  </w:r>
                </w:p>
              </w:tc>
              <w:tc>
                <w:tcPr/>
                <w:p>
                  <w:pPr>
                    <w:pStyle w:val="Compact"/>
                    <w:jc w:val="left"/>
                    <w:jc w:val="center"/>
                  </w:pPr>
                  <w:r>
                    <w:t xml:space="preserve">5.8 ± 0.7</w:t>
                  </w:r>
                </w:p>
              </w:tc>
              <w:tc>
                <w:tcPr/>
                <w:p>
                  <w:pPr>
                    <w:pStyle w:val="Compact"/>
                    <w:jc w:val="left"/>
                    <w:jc w:val="center"/>
                  </w:pPr>
                  <w:r>
                    <w:t xml:space="preserve">5.9 ± 0.8</w:t>
                  </w:r>
                </w:p>
              </w:tc>
              <w:tc>
                <w:tcPr/>
                <w:p>
                  <w:pPr>
                    <w:pStyle w:val="Compact"/>
                    <w:jc w:val="left"/>
                    <w:jc w:val="center"/>
                  </w:pPr>
                  <w:r>
                    <w:t xml:space="preserve">6.6 ± 1.0</w:t>
                  </w:r>
                </w:p>
              </w:tc>
              <w:tc>
                <w:tcPr/>
                <w:p>
                  <w:pPr>
                    <w:pStyle w:val="Compact"/>
                    <w:jc w:val="left"/>
                    <w:jc w:val="center"/>
                  </w:pPr>
                  <w:r>
                    <w:t xml:space="preserve">6.2 ± 0.8</w:t>
                  </w:r>
                </w:p>
              </w:tc>
              <w:tc>
                <w:tcPr/>
                <w:p>
                  <w:pPr>
                    <w:pStyle w:val="Compact"/>
                    <w:jc w:val="left"/>
                    <w:jc w:val="center"/>
                  </w:pPr>
                  <w:r>
                    <w:t xml:space="preserve">6.0 ± 1.1</w:t>
                  </w:r>
                </w:p>
              </w:tc>
              <w:tc>
                <w:tcPr/>
                <w:p>
                  <w:pPr>
                    <w:pStyle w:val="Compact"/>
                    <w:jc w:val="left"/>
                    <w:jc w:val="center"/>
                  </w:pPr>
                  <w:r>
                    <w:rPr>
                      <w:i/>
                      <w:iCs/>
                    </w:rPr>
                    <w:t xml:space="preserve">p</w:t>
                  </w:r>
                  <w:r>
                    <w:t xml:space="preserve"> </w:t>
                  </w:r>
                  <w:r>
                    <w:t xml:space="preserve">= 0.0105</w:t>
                  </w:r>
                </w:p>
              </w:tc>
            </w:tr>
            <w:tr>
              <w:tc>
                <w:tcPr/>
                <w:p>
                  <w:pPr>
                    <w:pStyle w:val="Compact"/>
                    <w:jc w:val="left"/>
                    <w:jc w:val="center"/>
                  </w:pPr>
                  <w:r>
                    <w:t xml:space="preserve">TN (μg L</w:t>
                  </w:r>
                  <w:r>
                    <w:rPr>
                      <w:vertAlign w:val="superscript"/>
                    </w:rPr>
                    <w:t xml:space="preserve">-1</w:t>
                  </w:r>
                  <w:r>
                    <w:t xml:space="preserve">)</w:t>
                  </w:r>
                </w:p>
              </w:tc>
              <w:tc>
                <w:tcPr/>
                <w:p>
                  <w:pPr>
                    <w:pStyle w:val="Compact"/>
                    <w:jc w:val="left"/>
                    <w:jc w:val="center"/>
                  </w:pPr>
                  <w:r>
                    <w:t xml:space="preserve">1620 ± 62</w:t>
                  </w:r>
                </w:p>
              </w:tc>
              <w:tc>
                <w:tcPr/>
                <w:p>
                  <w:pPr>
                    <w:pStyle w:val="Compact"/>
                    <w:jc w:val="left"/>
                    <w:jc w:val="center"/>
                  </w:pPr>
                  <w:r>
                    <w:t xml:space="preserve">1649 ± 136</w:t>
                  </w:r>
                </w:p>
              </w:tc>
              <w:tc>
                <w:tcPr/>
                <w:p>
                  <w:pPr>
                    <w:pStyle w:val="Compact"/>
                    <w:jc w:val="left"/>
                    <w:jc w:val="center"/>
                  </w:pPr>
                  <w:r>
                    <w:t xml:space="preserve">1548 ± 137</w:t>
                  </w:r>
                </w:p>
              </w:tc>
              <w:tc>
                <w:tcPr/>
                <w:p>
                  <w:pPr>
                    <w:pStyle w:val="Compact"/>
                    <w:jc w:val="left"/>
                    <w:jc w:val="center"/>
                  </w:pPr>
                  <w:r>
                    <w:t xml:space="preserve">1640 ± 203</w:t>
                  </w:r>
                </w:p>
              </w:tc>
              <w:tc>
                <w:tcPr/>
                <w:p>
                  <w:pPr>
                    <w:pStyle w:val="Compact"/>
                    <w:jc w:val="left"/>
                    <w:jc w:val="center"/>
                  </w:pPr>
                  <w:r>
                    <w:t xml:space="preserve">1608 ± 160</w:t>
                  </w:r>
                </w:p>
              </w:tc>
              <w:tc>
                <w:tcPr/>
                <w:p>
                  <w:pPr>
                    <w:pStyle w:val="Compact"/>
                    <w:jc w:val="left"/>
                    <w:jc w:val="center"/>
                  </w:pPr>
                  <w:r>
                    <w:t xml:space="preserve">1625 ± 131</w:t>
                  </w:r>
                </w:p>
              </w:tc>
              <w:tc>
                <w:tcPr/>
                <w:p>
                  <w:pPr>
                    <w:pStyle w:val="Compact"/>
                    <w:jc w:val="left"/>
                    <w:jc w:val="center"/>
                  </w:pPr>
                  <w:r>
                    <w:rPr>
                      <w:i/>
                      <w:iCs/>
                    </w:rPr>
                    <w:t xml:space="preserve">p</w:t>
                  </w:r>
                  <w:r>
                    <w:t xml:space="preserve"> </w:t>
                  </w:r>
                  <w:r>
                    <w:t xml:space="preserve">= 0.6064</w:t>
                  </w:r>
                </w:p>
              </w:tc>
            </w:tr>
            <w:tr>
              <w:tc>
                <w:tcPr/>
                <w:p>
                  <w:pPr>
                    <w:pStyle w:val="Compact"/>
                    <w:jc w:val="left"/>
                    <w:jc w:val="center"/>
                  </w:pPr>
                  <w:r>
                    <w:t xml:space="preserve">TP (μg L</w:t>
                  </w:r>
                  <w:r>
                    <w:rPr>
                      <w:vertAlign w:val="superscript"/>
                    </w:rPr>
                    <w:t xml:space="preserve">-1</w:t>
                  </w:r>
                  <w:r>
                    <w:t xml:space="preserve">)</w:t>
                  </w:r>
                </w:p>
              </w:tc>
              <w:tc>
                <w:tcPr/>
                <w:p>
                  <w:pPr>
                    <w:pStyle w:val="Compact"/>
                    <w:jc w:val="left"/>
                    <w:jc w:val="center"/>
                  </w:pPr>
                  <w:r>
                    <w:t xml:space="preserve">15 ± 3</w:t>
                  </w:r>
                </w:p>
              </w:tc>
              <w:tc>
                <w:tcPr/>
                <w:p>
                  <w:pPr>
                    <w:pStyle w:val="Compact"/>
                    <w:jc w:val="left"/>
                    <w:jc w:val="center"/>
                  </w:pPr>
                  <w:r>
                    <w:t xml:space="preserve">15 ± 3</w:t>
                  </w:r>
                </w:p>
              </w:tc>
              <w:tc>
                <w:tcPr/>
                <w:p>
                  <w:pPr>
                    <w:pStyle w:val="Compact"/>
                    <w:jc w:val="left"/>
                    <w:jc w:val="center"/>
                  </w:pPr>
                  <w:r>
                    <w:t xml:space="preserve">14 ± 4</w:t>
                  </w:r>
                </w:p>
              </w:tc>
              <w:tc>
                <w:tcPr/>
                <w:p>
                  <w:pPr>
                    <w:pStyle w:val="Compact"/>
                    <w:jc w:val="left"/>
                    <w:jc w:val="center"/>
                  </w:pPr>
                  <w:r>
                    <w:t xml:space="preserve">14 ± 3</w:t>
                  </w:r>
                </w:p>
              </w:tc>
              <w:tc>
                <w:tcPr/>
                <w:p>
                  <w:pPr>
                    <w:pStyle w:val="Compact"/>
                    <w:jc w:val="left"/>
                    <w:jc w:val="center"/>
                  </w:pPr>
                  <w:r>
                    <w:t xml:space="preserve">16 ± 3</w:t>
                  </w:r>
                </w:p>
              </w:tc>
              <w:tc>
                <w:tcPr/>
                <w:p>
                  <w:pPr>
                    <w:pStyle w:val="Compact"/>
                    <w:jc w:val="left"/>
                    <w:jc w:val="center"/>
                  </w:pPr>
                  <w:r>
                    <w:t xml:space="preserve">15 ± 3</w:t>
                  </w:r>
                </w:p>
              </w:tc>
              <w:tc>
                <w:tcPr/>
                <w:p>
                  <w:pPr>
                    <w:pStyle w:val="Compact"/>
                    <w:jc w:val="left"/>
                    <w:jc w:val="center"/>
                  </w:pPr>
                  <w:r>
                    <w:rPr>
                      <w:i/>
                      <w:iCs/>
                    </w:rPr>
                    <w:t xml:space="preserve">p</w:t>
                  </w:r>
                  <w:r>
                    <w:t xml:space="preserve"> </w:t>
                  </w:r>
                  <w:r>
                    <w:t xml:space="preserve">= 0.8021</w:t>
                  </w:r>
                </w:p>
              </w:tc>
            </w:tr>
            <w:tr>
              <w:tc>
                <w:tcPr/>
                <w:p>
                  <w:pPr>
                    <w:pStyle w:val="Compact"/>
                    <w:jc w:val="left"/>
                    <w:jc w:val="center"/>
                  </w:pPr>
                  <w:r>
                    <w:t xml:space="preserve">NH</w:t>
                  </w:r>
                  <w:r>
                    <w:rPr>
                      <w:vertAlign w:val="subscript"/>
                    </w:rPr>
                    <w:t xml:space="preserve">4</w:t>
                  </w:r>
                  <w:r>
                    <w:t xml:space="preserve">-N (μg L</w:t>
                  </w:r>
                  <w:r>
                    <w:rPr>
                      <w:vertAlign w:val="superscript"/>
                    </w:rPr>
                    <w:t xml:space="preserve">-1</w:t>
                  </w:r>
                  <w:r>
                    <w:t xml:space="preserve">)</w:t>
                  </w:r>
                </w:p>
              </w:tc>
              <w:tc>
                <w:tcPr/>
                <w:p>
                  <w:pPr>
                    <w:pStyle w:val="Compact"/>
                    <w:jc w:val="left"/>
                    <w:jc w:val="center"/>
                  </w:pPr>
                  <w:r>
                    <w:t xml:space="preserve">67 ± 59</w:t>
                  </w:r>
                </w:p>
              </w:tc>
              <w:tc>
                <w:tcPr/>
                <w:p>
                  <w:pPr>
                    <w:pStyle w:val="Compact"/>
                    <w:jc w:val="left"/>
                    <w:jc w:val="center"/>
                  </w:pPr>
                  <w:r>
                    <w:t xml:space="preserve">71 ± 76</w:t>
                  </w:r>
                </w:p>
              </w:tc>
              <w:tc>
                <w:tcPr/>
                <w:p>
                  <w:pPr>
                    <w:pStyle w:val="Compact"/>
                    <w:jc w:val="left"/>
                    <w:jc w:val="center"/>
                  </w:pPr>
                  <w:r>
                    <w:t xml:space="preserve">70 ± 59</w:t>
                  </w:r>
                </w:p>
              </w:tc>
              <w:tc>
                <w:tcPr/>
                <w:p>
                  <w:pPr>
                    <w:pStyle w:val="Compact"/>
                    <w:jc w:val="left"/>
                    <w:jc w:val="center"/>
                  </w:pPr>
                  <w:r>
                    <w:t xml:space="preserve">81 ± 45</w:t>
                  </w:r>
                </w:p>
              </w:tc>
              <w:tc>
                <w:tcPr/>
                <w:p>
                  <w:pPr>
                    <w:pStyle w:val="Compact"/>
                    <w:jc w:val="left"/>
                    <w:jc w:val="center"/>
                  </w:pPr>
                  <w:r>
                    <w:t xml:space="preserve">75 ± 67</w:t>
                  </w:r>
                </w:p>
              </w:tc>
              <w:tc>
                <w:tcPr/>
                <w:p>
                  <w:pPr>
                    <w:pStyle w:val="Compact"/>
                    <w:jc w:val="left"/>
                    <w:jc w:val="center"/>
                  </w:pPr>
                  <w:r>
                    <w:t xml:space="preserve">74 ± 57</w:t>
                  </w:r>
                </w:p>
              </w:tc>
              <w:tc>
                <w:tcPr/>
                <w:p>
                  <w:pPr>
                    <w:pStyle w:val="Compact"/>
                    <w:jc w:val="left"/>
                    <w:jc w:val="center"/>
                  </w:pPr>
                  <w:r>
                    <w:rPr>
                      <w:i/>
                      <w:iCs/>
                    </w:rPr>
                    <w:t xml:space="preserve">p</w:t>
                  </w:r>
                  <w:r>
                    <w:t xml:space="preserve"> </w:t>
                  </w:r>
                  <w:r>
                    <w:t xml:space="preserve">= 0.9955</w:t>
                  </w:r>
                </w:p>
              </w:tc>
            </w:tr>
            <w:tr>
              <w:tc>
                <w:tcPr/>
                <w:p>
                  <w:pPr>
                    <w:pStyle w:val="Compact"/>
                    <w:jc w:val="left"/>
                    <w:jc w:val="center"/>
                  </w:pPr>
                  <w:r>
                    <w:t xml:space="preserve">NO</w:t>
                  </w:r>
                  <w:r>
                    <w:rPr>
                      <w:vertAlign w:val="subscript"/>
                    </w:rPr>
                    <w:t xml:space="preserve">3</w:t>
                  </w:r>
                  <w:r>
                    <w:t xml:space="preserve">-N (μg L</w:t>
                  </w:r>
                  <w:r>
                    <w:rPr>
                      <w:vertAlign w:val="superscript"/>
                    </w:rPr>
                    <w:t xml:space="preserve">-1</w:t>
                  </w:r>
                  <w:r>
                    <w:t xml:space="preserve">)</w:t>
                  </w:r>
                </w:p>
              </w:tc>
              <w:tc>
                <w:tcPr/>
                <w:p>
                  <w:pPr>
                    <w:pStyle w:val="Compact"/>
                    <w:jc w:val="left"/>
                    <w:jc w:val="center"/>
                  </w:pPr>
                  <w:r>
                    <w:t xml:space="preserve">1422 ± 63</w:t>
                  </w:r>
                </w:p>
              </w:tc>
              <w:tc>
                <w:tcPr/>
                <w:p>
                  <w:pPr>
                    <w:pStyle w:val="Compact"/>
                    <w:jc w:val="left"/>
                    <w:jc w:val="center"/>
                  </w:pPr>
                  <w:r>
                    <w:t xml:space="preserve">1491 ± 110</w:t>
                  </w:r>
                </w:p>
              </w:tc>
              <w:tc>
                <w:tcPr/>
                <w:p>
                  <w:pPr>
                    <w:pStyle w:val="Compact"/>
                    <w:jc w:val="left"/>
                    <w:jc w:val="center"/>
                  </w:pPr>
                  <w:r>
                    <w:t xml:space="preserve">1366 ± 166</w:t>
                  </w:r>
                </w:p>
              </w:tc>
              <w:tc>
                <w:tcPr/>
                <w:p>
                  <w:pPr>
                    <w:pStyle w:val="Compact"/>
                    <w:jc w:val="left"/>
                    <w:jc w:val="center"/>
                  </w:pPr>
                  <w:r>
                    <w:t xml:space="preserve">1495 ± 189</w:t>
                  </w:r>
                </w:p>
              </w:tc>
              <w:tc>
                <w:tcPr/>
                <w:p>
                  <w:pPr>
                    <w:pStyle w:val="Compact"/>
                    <w:jc w:val="left"/>
                    <w:jc w:val="center"/>
                  </w:pPr>
                  <w:r>
                    <w:t xml:space="preserve">1442 ± 145</w:t>
                  </w:r>
                </w:p>
              </w:tc>
              <w:tc>
                <w:tcPr/>
                <w:p>
                  <w:pPr>
                    <w:pStyle w:val="Compact"/>
                    <w:jc w:val="left"/>
                    <w:jc w:val="center"/>
                  </w:pPr>
                  <w:r>
                    <w:t xml:space="preserve">1418 ± 120</w:t>
                  </w:r>
                </w:p>
              </w:tc>
              <w:tc>
                <w:tcPr/>
                <w:p>
                  <w:pPr>
                    <w:pStyle w:val="Compact"/>
                    <w:jc w:val="left"/>
                    <w:jc w:val="center"/>
                  </w:pPr>
                  <w:r>
                    <w:rPr>
                      <w:i/>
                      <w:iCs/>
                    </w:rPr>
                    <w:t xml:space="preserve">p</w:t>
                  </w:r>
                  <w:r>
                    <w:t xml:space="preserve"> </w:t>
                  </w:r>
                  <w:r>
                    <w:t xml:space="preserve">= 0.2115</w:t>
                  </w:r>
                </w:p>
              </w:tc>
            </w:tr>
            <w:tr>
              <w:tc>
                <w:tcPr/>
                <w:p>
                  <w:pPr>
                    <w:pStyle w:val="Compact"/>
                    <w:jc w:val="left"/>
                    <w:jc w:val="center"/>
                  </w:pPr>
                  <w:r>
                    <w:t xml:space="preserve">pH</w:t>
                  </w:r>
                </w:p>
              </w:tc>
              <w:tc>
                <w:tcPr/>
                <w:p>
                  <w:pPr>
                    <w:pStyle w:val="Compact"/>
                    <w:jc w:val="left"/>
                    <w:jc w:val="center"/>
                  </w:pPr>
                  <w:r>
                    <w:t xml:space="preserve">8.4 ± 0.1</w:t>
                  </w:r>
                </w:p>
              </w:tc>
              <w:tc>
                <w:tcPr/>
                <w:p>
                  <w:pPr>
                    <w:pStyle w:val="Compact"/>
                    <w:jc w:val="left"/>
                    <w:jc w:val="center"/>
                  </w:pPr>
                  <w:r>
                    <w:t xml:space="preserve">8.4 ± 0.1</w:t>
                  </w:r>
                </w:p>
              </w:tc>
              <w:tc>
                <w:tcPr/>
                <w:p>
                  <w:pPr>
                    <w:pStyle w:val="Compact"/>
                    <w:jc w:val="left"/>
                    <w:jc w:val="center"/>
                  </w:pPr>
                  <w:r>
                    <w:t xml:space="preserve">8.4 ± 0.1</w:t>
                  </w:r>
                </w:p>
              </w:tc>
              <w:tc>
                <w:tcPr/>
                <w:p>
                  <w:pPr>
                    <w:pStyle w:val="Compact"/>
                    <w:jc w:val="left"/>
                    <w:jc w:val="center"/>
                  </w:pPr>
                  <w:r>
                    <w:t xml:space="preserve">8.4 ± 0.1</w:t>
                  </w:r>
                </w:p>
              </w:tc>
              <w:tc>
                <w:tcPr/>
                <w:p>
                  <w:pPr>
                    <w:pStyle w:val="Compact"/>
                    <w:jc w:val="left"/>
                    <w:jc w:val="center"/>
                  </w:pPr>
                  <w:r>
                    <w:t xml:space="preserve">8.4 ± 0.1</w:t>
                  </w:r>
                </w:p>
              </w:tc>
              <w:tc>
                <w:tcPr/>
                <w:p>
                  <w:pPr>
                    <w:pStyle w:val="Compact"/>
                    <w:jc w:val="left"/>
                    <w:jc w:val="center"/>
                  </w:pPr>
                  <w:r>
                    <w:t xml:space="preserve">8.4 ± 0.1</w:t>
                  </w:r>
                </w:p>
              </w:tc>
              <w:tc>
                <w:tcPr/>
                <w:p>
                  <w:pPr>
                    <w:pStyle w:val="Compact"/>
                    <w:jc w:val="left"/>
                    <w:jc w:val="center"/>
                  </w:pPr>
                  <w:r>
                    <w:rPr>
                      <w:i/>
                      <w:iCs/>
                    </w:rPr>
                    <w:t xml:space="preserve">p</w:t>
                  </w:r>
                  <w:r>
                    <w:t xml:space="preserve"> </w:t>
                  </w:r>
                  <w:r>
                    <w:t xml:space="preserve">= 0.9492</w:t>
                  </w:r>
                </w:p>
              </w:tc>
            </w:tr>
            <w:tr>
              <w:tc>
                <w:tcPr/>
                <w:p>
                  <w:pPr>
                    <w:pStyle w:val="Compact"/>
                    <w:jc w:val="left"/>
                    <w:jc w:val="center"/>
                  </w:pPr>
                  <w:r>
                    <w:t xml:space="preserve">DO (mg L</w:t>
                  </w:r>
                  <w:r>
                    <w:rPr>
                      <w:vertAlign w:val="superscript"/>
                    </w:rPr>
                    <w:t xml:space="preserve">-1</w:t>
                  </w:r>
                  <w:r>
                    <w:t xml:space="preserve">)</w:t>
                  </w:r>
                </w:p>
              </w:tc>
              <w:tc>
                <w:tcPr/>
                <w:p>
                  <w:pPr>
                    <w:pStyle w:val="Compact"/>
                    <w:jc w:val="left"/>
                    <w:jc w:val="center"/>
                  </w:pPr>
                  <w:r>
                    <w:t xml:space="preserve">7.6 ± 0.8</w:t>
                  </w:r>
                </w:p>
              </w:tc>
              <w:tc>
                <w:tcPr/>
                <w:p>
                  <w:pPr>
                    <w:pStyle w:val="Compact"/>
                    <w:jc w:val="left"/>
                    <w:jc w:val="center"/>
                  </w:pPr>
                  <w:r>
                    <w:t xml:space="preserve">7.2 ± 1.3</w:t>
                  </w:r>
                </w:p>
              </w:tc>
              <w:tc>
                <w:tcPr/>
                <w:p>
                  <w:pPr>
                    <w:pStyle w:val="Compact"/>
                    <w:jc w:val="left"/>
                    <w:jc w:val="center"/>
                  </w:pPr>
                  <w:r>
                    <w:t xml:space="preserve">6.1 ± 2.8</w:t>
                  </w:r>
                </w:p>
              </w:tc>
              <w:tc>
                <w:tcPr/>
                <w:p>
                  <w:pPr>
                    <w:pStyle w:val="Compact"/>
                    <w:jc w:val="left"/>
                    <w:jc w:val="center"/>
                  </w:pPr>
                  <w:r>
                    <w:t xml:space="preserve">7.3 ± 1.3</w:t>
                  </w:r>
                </w:p>
              </w:tc>
              <w:tc>
                <w:tcPr/>
                <w:p>
                  <w:pPr>
                    <w:pStyle w:val="Compact"/>
                    <w:jc w:val="left"/>
                    <w:jc w:val="center"/>
                  </w:pPr>
                  <w:r>
                    <w:t xml:space="preserve">7.7 ± 0.9</w:t>
                  </w:r>
                </w:p>
              </w:tc>
              <w:tc>
                <w:tcPr/>
                <w:p>
                  <w:pPr>
                    <w:pStyle w:val="Compact"/>
                    <w:jc w:val="left"/>
                    <w:jc w:val="center"/>
                  </w:pPr>
                  <w:r>
                    <w:t xml:space="preserve">7.2 ± 1.7</w:t>
                  </w:r>
                </w:p>
              </w:tc>
              <w:tc>
                <w:tcPr/>
                <w:p>
                  <w:pPr>
                    <w:pStyle w:val="Compact"/>
                    <w:jc w:val="left"/>
                    <w:jc w:val="center"/>
                  </w:pPr>
                  <w:r>
                    <w:rPr>
                      <w:i/>
                      <w:iCs/>
                    </w:rPr>
                    <w:t xml:space="preserve">p</w:t>
                  </w:r>
                  <w:r>
                    <w:t xml:space="preserve"> </w:t>
                  </w:r>
                  <w:r>
                    <w:t xml:space="preserve">= 0.1643</w:t>
                  </w:r>
                </w:p>
              </w:tc>
            </w:tr>
            <w:tr>
              <w:tc>
                <w:tcPr/>
                <w:p>
                  <w:pPr>
                    <w:pStyle w:val="Compact"/>
                    <w:jc w:val="left"/>
                    <w:jc w:val="center"/>
                  </w:pPr>
                  <w:r>
                    <w:t xml:space="preserve">Turb. (NTU)</w:t>
                  </w:r>
                </w:p>
              </w:tc>
              <w:tc>
                <w:tcPr/>
                <w:p>
                  <w:pPr>
                    <w:pStyle w:val="Compact"/>
                    <w:jc w:val="left"/>
                    <w:jc w:val="center"/>
                  </w:pPr>
                  <w:r>
                    <w:t xml:space="preserve">3.2 ± 2.0</w:t>
                  </w:r>
                </w:p>
              </w:tc>
              <w:tc>
                <w:tcPr/>
                <w:p>
                  <w:pPr>
                    <w:pStyle w:val="Compact"/>
                    <w:jc w:val="left"/>
                    <w:jc w:val="center"/>
                  </w:pPr>
                  <w:r>
                    <w:t xml:space="preserve">29.5 ± 55.1</w:t>
                  </w:r>
                </w:p>
              </w:tc>
              <w:tc>
                <w:tcPr/>
                <w:p>
                  <w:pPr>
                    <w:pStyle w:val="Compact"/>
                    <w:jc w:val="left"/>
                    <w:jc w:val="center"/>
                  </w:pPr>
                  <w:r>
                    <w:t xml:space="preserve">3.0 ± 2.6</w:t>
                  </w:r>
                </w:p>
              </w:tc>
              <w:tc>
                <w:tcPr/>
                <w:p>
                  <w:pPr>
                    <w:pStyle w:val="Compact"/>
                    <w:jc w:val="left"/>
                    <w:jc w:val="center"/>
                  </w:pPr>
                  <w:r>
                    <w:t xml:space="preserve">7.9 ± 9.9</w:t>
                  </w:r>
                </w:p>
              </w:tc>
              <w:tc>
                <w:tcPr/>
                <w:p>
                  <w:pPr>
                    <w:pStyle w:val="Compact"/>
                    <w:jc w:val="left"/>
                    <w:jc w:val="center"/>
                  </w:pPr>
                  <w:r>
                    <w:t xml:space="preserve">4.9 ± 5.4</w:t>
                  </w:r>
                </w:p>
              </w:tc>
              <w:tc>
                <w:tcPr/>
                <w:p>
                  <w:pPr>
                    <w:pStyle w:val="Compact"/>
                    <w:jc w:val="left"/>
                    <w:jc w:val="center"/>
                  </w:pPr>
                  <w:r>
                    <w:t xml:space="preserve">7.4 ± 10.0</w:t>
                  </w:r>
                </w:p>
              </w:tc>
              <w:tc>
                <w:tcPr/>
                <w:p>
                  <w:pPr>
                    <w:pStyle w:val="Compact"/>
                    <w:jc w:val="left"/>
                    <w:jc w:val="center"/>
                  </w:pPr>
                  <w:r>
                    <w:rPr>
                      <w:i/>
                      <w:iCs/>
                    </w:rPr>
                    <w:t xml:space="preserve">p</w:t>
                  </w:r>
                  <w:r>
                    <w:t xml:space="preserve"> </w:t>
                  </w:r>
                  <w:r>
                    <w:t xml:space="preserve">= 0.0593</w:t>
                  </w:r>
                </w:p>
              </w:tc>
            </w:tr>
            <w:tr>
              <w:tc>
                <w:tcPr/>
                <w:p>
                  <w:pPr>
                    <w:pStyle w:val="Compact"/>
                    <w:jc w:val="left"/>
                    <w:jc w:val="center"/>
                  </w:pPr>
                  <w:r>
                    <w:t xml:space="preserve">Temp. (°C)</w:t>
                  </w:r>
                </w:p>
              </w:tc>
              <w:tc>
                <w:tcPr/>
                <w:p>
                  <w:pPr>
                    <w:pStyle w:val="Compact"/>
                    <w:jc w:val="left"/>
                    <w:jc w:val="center"/>
                  </w:pPr>
                  <w:r>
                    <w:t xml:space="preserve">22.3 ± 0.8</w:t>
                  </w:r>
                </w:p>
              </w:tc>
              <w:tc>
                <w:tcPr/>
                <w:p>
                  <w:pPr>
                    <w:pStyle w:val="Compact"/>
                    <w:jc w:val="left"/>
                    <w:jc w:val="center"/>
                  </w:pPr>
                  <w:r>
                    <w:t xml:space="preserve">22.2 ± 1.4</w:t>
                  </w:r>
                </w:p>
              </w:tc>
              <w:tc>
                <w:tcPr/>
                <w:p>
                  <w:pPr>
                    <w:pStyle w:val="Compact"/>
                    <w:jc w:val="left"/>
                    <w:jc w:val="center"/>
                  </w:pPr>
                  <w:r>
                    <w:t xml:space="preserve">21.8 ± 1.2</w:t>
                  </w:r>
                </w:p>
              </w:tc>
              <w:tc>
                <w:tcPr/>
                <w:p>
                  <w:pPr>
                    <w:pStyle w:val="Compact"/>
                    <w:jc w:val="left"/>
                    <w:jc w:val="center"/>
                  </w:pPr>
                  <w:r>
                    <w:t xml:space="preserve">21.9 ± 0.9</w:t>
                  </w:r>
                </w:p>
              </w:tc>
              <w:tc>
                <w:tcPr/>
                <w:p>
                  <w:pPr>
                    <w:pStyle w:val="Compact"/>
                    <w:jc w:val="left"/>
                    <w:jc w:val="center"/>
                  </w:pPr>
                  <w:r>
                    <w:t xml:space="preserve">22.5 ± 0.8</w:t>
                  </w:r>
                </w:p>
              </w:tc>
              <w:tc>
                <w:tcPr/>
                <w:p>
                  <w:pPr>
                    <w:pStyle w:val="Compact"/>
                    <w:jc w:val="left"/>
                    <w:jc w:val="center"/>
                  </w:pPr>
                  <w:r>
                    <w:t xml:space="preserve">22.2 ± 0.9</w:t>
                  </w:r>
                </w:p>
              </w:tc>
              <w:tc>
                <w:tcPr/>
                <w:p>
                  <w:pPr>
                    <w:pStyle w:val="Compact"/>
                    <w:jc w:val="left"/>
                    <w:jc w:val="center"/>
                  </w:pPr>
                  <w:r>
                    <w:rPr>
                      <w:i/>
                      <w:iCs/>
                    </w:rPr>
                    <w:t xml:space="preserve">p</w:t>
                  </w:r>
                  <w:r>
                    <w:t xml:space="preserve"> </w:t>
                  </w:r>
                  <w:r>
                    <w:t xml:space="preserve">= 0.6057</w:t>
                  </w:r>
                </w:p>
              </w:tc>
            </w:tr>
            <w:tr>
              <w:tc>
                <w:tcPr/>
                <w:p>
                  <w:pPr>
                    <w:pStyle w:val="Compact"/>
                    <w:jc w:val="left"/>
                    <w:jc w:val="center"/>
                  </w:pPr>
                  <w:r>
                    <w:t xml:space="preserve">Salinity (psu)</w:t>
                  </w:r>
                </w:p>
              </w:tc>
              <w:tc>
                <w:tcPr/>
                <w:p>
                  <w:pPr>
                    <w:pStyle w:val="Compact"/>
                    <w:jc w:val="left"/>
                    <w:jc w:val="center"/>
                  </w:pPr>
                  <w:r>
                    <w:t xml:space="preserve">0.16 ± 0.01</w:t>
                  </w:r>
                </w:p>
              </w:tc>
              <w:tc>
                <w:tcPr/>
                <w:p>
                  <w:pPr>
                    <w:pStyle w:val="Compact"/>
                    <w:jc w:val="left"/>
                    <w:jc w:val="center"/>
                  </w:pPr>
                  <w:r>
                    <w:t xml:space="preserve">0.16 ± 0.01</w:t>
                  </w:r>
                </w:p>
              </w:tc>
              <w:tc>
                <w:tcPr/>
                <w:p>
                  <w:pPr>
                    <w:pStyle w:val="Compact"/>
                    <w:jc w:val="left"/>
                    <w:jc w:val="center"/>
                  </w:pPr>
                  <w:r>
                    <w:t xml:space="preserve">0.17 ± 0.01</w:t>
                  </w:r>
                </w:p>
              </w:tc>
              <w:tc>
                <w:tcPr/>
                <w:p>
                  <w:pPr>
                    <w:pStyle w:val="Compact"/>
                    <w:jc w:val="left"/>
                    <w:jc w:val="center"/>
                  </w:pPr>
                  <w:r>
                    <w:t xml:space="preserve">0.16 ± 0.01</w:t>
                  </w:r>
                </w:p>
              </w:tc>
              <w:tc>
                <w:tcPr/>
                <w:p>
                  <w:pPr>
                    <w:pStyle w:val="Compact"/>
                    <w:jc w:val="left"/>
                    <w:jc w:val="center"/>
                  </w:pPr>
                  <w:r>
                    <w:t xml:space="preserve">0.16 ± 0.01</w:t>
                  </w:r>
                </w:p>
              </w:tc>
              <w:tc>
                <w:tcPr/>
                <w:p>
                  <w:pPr>
                    <w:pStyle w:val="Compact"/>
                    <w:jc w:val="left"/>
                    <w:jc w:val="center"/>
                  </w:pPr>
                  <w:r>
                    <w:t xml:space="preserve">0.16 ± 0.01</w:t>
                  </w:r>
                </w:p>
              </w:tc>
              <w:tc>
                <w:tcPr/>
                <w:p>
                  <w:pPr>
                    <w:pStyle w:val="Compact"/>
                    <w:jc w:val="left"/>
                    <w:jc w:val="center"/>
                  </w:pPr>
                  <w:r>
                    <w:rPr>
                      <w:i/>
                      <w:iCs/>
                    </w:rPr>
                    <w:t xml:space="preserve">p</w:t>
                  </w:r>
                  <w:r>
                    <w:t xml:space="preserve"> </w:t>
                  </w:r>
                  <w:r>
                    <w:t xml:space="preserve">= 0.4115</w:t>
                  </w:r>
                </w:p>
              </w:tc>
            </w:tr>
            <w:tr>
              <w:tc>
                <w:tcPr/>
                <w:p>
                  <w:pPr>
                    <w:pStyle w:val="Compact"/>
                    <w:jc w:val="left"/>
                    <w:jc w:val="center"/>
                  </w:pPr>
                  <w:r>
                    <w:t xml:space="preserve">Cond. (μs cm</w:t>
                  </w:r>
                  <w:r>
                    <w:rPr>
                      <w:vertAlign w:val="superscript"/>
                    </w:rPr>
                    <w:t xml:space="preserve">-1</w:t>
                  </w:r>
                  <w:r>
                    <w:t xml:space="preserve">)</w:t>
                  </w:r>
                </w:p>
              </w:tc>
              <w:tc>
                <w:tcPr/>
                <w:p>
                  <w:pPr>
                    <w:pStyle w:val="Compact"/>
                    <w:jc w:val="left"/>
                    <w:jc w:val="center"/>
                  </w:pPr>
                  <w:r>
                    <w:t xml:space="preserve">332.0 ± 18.2</w:t>
                  </w:r>
                </w:p>
              </w:tc>
              <w:tc>
                <w:tcPr/>
                <w:p>
                  <w:pPr>
                    <w:pStyle w:val="Compact"/>
                    <w:jc w:val="left"/>
                    <w:jc w:val="center"/>
                  </w:pPr>
                  <w:r>
                    <w:t xml:space="preserve">343.1 ± 17.2</w:t>
                  </w:r>
                </w:p>
              </w:tc>
              <w:tc>
                <w:tcPr/>
                <w:p>
                  <w:pPr>
                    <w:pStyle w:val="Compact"/>
                    <w:jc w:val="left"/>
                    <w:jc w:val="center"/>
                  </w:pPr>
                  <w:r>
                    <w:t xml:space="preserve">344.6 ± 19.1</w:t>
                  </w:r>
                </w:p>
              </w:tc>
              <w:tc>
                <w:tcPr/>
                <w:p>
                  <w:pPr>
                    <w:pStyle w:val="Compact"/>
                    <w:jc w:val="left"/>
                    <w:jc w:val="center"/>
                  </w:pPr>
                  <w:r>
                    <w:t xml:space="preserve">336.3 ± 16.2</w:t>
                  </w:r>
                </w:p>
              </w:tc>
              <w:tc>
                <w:tcPr/>
                <w:p>
                  <w:pPr>
                    <w:pStyle w:val="Compact"/>
                    <w:jc w:val="left"/>
                    <w:jc w:val="center"/>
                  </w:pPr>
                  <w:r>
                    <w:t xml:space="preserve">341.4 ± 14.0</w:t>
                  </w:r>
                </w:p>
              </w:tc>
              <w:tc>
                <w:tcPr/>
                <w:p>
                  <w:pPr>
                    <w:pStyle w:val="Compact"/>
                    <w:jc w:val="left"/>
                    <w:jc w:val="center"/>
                  </w:pPr>
                  <w:r>
                    <w:t xml:space="preserve">339.2 ± 15.2</w:t>
                  </w:r>
                </w:p>
              </w:tc>
              <w:tc>
                <w:tcPr/>
                <w:p>
                  <w:pPr>
                    <w:pStyle w:val="Compact"/>
                    <w:jc w:val="left"/>
                    <w:jc w:val="center"/>
                  </w:pPr>
                  <w:r>
                    <w:rPr>
                      <w:i/>
                      <w:iCs/>
                    </w:rPr>
                    <w:t xml:space="preserve">p</w:t>
                  </w:r>
                  <w:r>
                    <w:t xml:space="preserve"> </w:t>
                  </w:r>
                  <w:r>
                    <w:t xml:space="preserve">= 0.4689</w:t>
                  </w:r>
                </w:p>
              </w:tc>
            </w:tr>
            <w:tr>
              <w:tc>
                <w:tcPr/>
                <w:p>
                  <w:pPr>
                    <w:pStyle w:val="Compact"/>
                    <w:jc w:val="left"/>
                    <w:jc w:val="center"/>
                  </w:pPr>
                  <w:r>
                    <w:t xml:space="preserve">TDS (mg L</w:t>
                  </w:r>
                  <w:r>
                    <w:rPr>
                      <w:vertAlign w:val="superscript"/>
                    </w:rPr>
                    <w:t xml:space="preserve">-1</w:t>
                  </w:r>
                  <w:r>
                    <w:t xml:space="preserve">)</w:t>
                  </w:r>
                </w:p>
              </w:tc>
              <w:tc>
                <w:tcPr/>
                <w:p>
                  <w:pPr>
                    <w:pStyle w:val="Compact"/>
                    <w:jc w:val="left"/>
                    <w:jc w:val="center"/>
                  </w:pPr>
                  <w:r>
                    <w:t xml:space="preserve">214.8 ± 11.6</w:t>
                  </w:r>
                </w:p>
              </w:tc>
              <w:tc>
                <w:tcPr/>
                <w:p>
                  <w:pPr>
                    <w:pStyle w:val="Compact"/>
                    <w:jc w:val="left"/>
                    <w:jc w:val="center"/>
                  </w:pPr>
                  <w:r>
                    <w:t xml:space="preserve">221.7 ± 10.8</w:t>
                  </w:r>
                </w:p>
              </w:tc>
              <w:tc>
                <w:tcPr/>
                <w:p>
                  <w:pPr>
                    <w:pStyle w:val="Compact"/>
                    <w:jc w:val="left"/>
                    <w:jc w:val="center"/>
                  </w:pPr>
                  <w:r>
                    <w:t xml:space="preserve">222.7 ± 12.1</w:t>
                  </w:r>
                </w:p>
              </w:tc>
              <w:tc>
                <w:tcPr/>
                <w:p>
                  <w:pPr>
                    <w:pStyle w:val="Compact"/>
                    <w:jc w:val="left"/>
                    <w:jc w:val="center"/>
                  </w:pPr>
                  <w:r>
                    <w:t xml:space="preserve">217.3 ± 10.8</w:t>
                  </w:r>
                </w:p>
              </w:tc>
              <w:tc>
                <w:tcPr/>
                <w:p>
                  <w:pPr>
                    <w:pStyle w:val="Compact"/>
                    <w:jc w:val="left"/>
                    <w:jc w:val="center"/>
                  </w:pPr>
                  <w:r>
                    <w:t xml:space="preserve">220.8 ± 8.9</w:t>
                  </w:r>
                </w:p>
              </w:tc>
              <w:tc>
                <w:tcPr/>
                <w:p>
                  <w:pPr>
                    <w:pStyle w:val="Compact"/>
                    <w:jc w:val="left"/>
                    <w:jc w:val="center"/>
                  </w:pPr>
                  <w:r>
                    <w:t xml:space="preserve">219.3 ± 9.9</w:t>
                  </w:r>
                </w:p>
              </w:tc>
              <w:tc>
                <w:tcPr/>
                <w:p>
                  <w:pPr>
                    <w:pStyle w:val="Compact"/>
                    <w:jc w:val="left"/>
                    <w:jc w:val="center"/>
                  </w:pPr>
                  <w:r>
                    <w:rPr>
                      <w:i/>
                      <w:iCs/>
                    </w:rPr>
                    <w:t xml:space="preserve">p</w:t>
                  </w:r>
                  <w:r>
                    <w:t xml:space="preserve"> </w:t>
                  </w:r>
                  <w:r>
                    <w:t xml:space="preserve">= 0.4936</w:t>
                  </w:r>
                </w:p>
              </w:tc>
            </w:tr>
            <w:tr>
              <w:tc>
                <w:tcPr/>
                <w:p>
                  <w:pPr>
                    <w:pStyle w:val="Compact"/>
                    <w:jc w:val="left"/>
                    <w:jc w:val="center"/>
                  </w:pPr>
                  <w:r>
                    <w:t xml:space="preserve">Chl</w:t>
                  </w:r>
                  <w:r>
                    <w:t xml:space="preserve"> </w:t>
                  </w:r>
                  <w:r>
                    <w:rPr>
                      <w:i/>
                      <w:iCs/>
                    </w:rPr>
                    <w:t xml:space="preserve">a</w:t>
                  </w:r>
                  <w:r>
                    <w:t xml:space="preserve"> </w:t>
                  </w:r>
                  <w:r>
                    <w:t xml:space="preserve">(μg L</w:t>
                  </w:r>
                  <w:r>
                    <w:rPr>
                      <w:vertAlign w:val="superscript"/>
                    </w:rPr>
                    <w:t xml:space="preserve">-1</w:t>
                  </w:r>
                  <w:r>
                    <w:t xml:space="preserve">)</w:t>
                  </w:r>
                </w:p>
              </w:tc>
              <w:tc>
                <w:tcPr/>
                <w:p>
                  <w:pPr>
                    <w:pStyle w:val="Compact"/>
                    <w:jc w:val="left"/>
                    <w:jc w:val="center"/>
                  </w:pPr>
                  <w:r>
                    <w:t xml:space="preserve">5.5 ± 3.9</w:t>
                  </w:r>
                </w:p>
              </w:tc>
              <w:tc>
                <w:tcPr/>
                <w:p>
                  <w:pPr>
                    <w:pStyle w:val="Compact"/>
                    <w:jc w:val="left"/>
                    <w:jc w:val="center"/>
                  </w:pPr>
                  <w:r>
                    <w:t xml:space="preserve">18.4 ± 25.8</w:t>
                  </w:r>
                </w:p>
              </w:tc>
              <w:tc>
                <w:tcPr/>
                <w:p>
                  <w:pPr>
                    <w:pStyle w:val="Compact"/>
                    <w:jc w:val="left"/>
                    <w:jc w:val="center"/>
                  </w:pPr>
                  <w:r>
                    <w:t xml:space="preserve">5.6 ± 5.5</w:t>
                  </w:r>
                </w:p>
              </w:tc>
              <w:tc>
                <w:tcPr/>
                <w:p>
                  <w:pPr>
                    <w:pStyle w:val="Compact"/>
                    <w:jc w:val="left"/>
                    <w:jc w:val="center"/>
                  </w:pPr>
                  <w:r>
                    <w:t xml:space="preserve">4.2 ± 4.4</w:t>
                  </w:r>
                </w:p>
              </w:tc>
              <w:tc>
                <w:tcPr/>
                <w:p>
                  <w:pPr>
                    <w:pStyle w:val="Compact"/>
                    <w:jc w:val="left"/>
                    <w:jc w:val="center"/>
                  </w:pPr>
                  <w:r>
                    <w:t xml:space="preserve">5.5 ± 4.8</w:t>
                  </w:r>
                </w:p>
              </w:tc>
              <w:tc>
                <w:tcPr/>
                <w:p>
                  <w:pPr>
                    <w:pStyle w:val="Compact"/>
                    <w:jc w:val="left"/>
                    <w:jc w:val="center"/>
                  </w:pPr>
                  <w:r>
                    <w:t xml:space="preserve">6.6 ± 6.4</w:t>
                  </w:r>
                </w:p>
              </w:tc>
              <w:tc>
                <w:tcPr/>
                <w:p>
                  <w:pPr>
                    <w:pStyle w:val="Compact"/>
                    <w:jc w:val="left"/>
                    <w:jc w:val="center"/>
                  </w:pPr>
                  <w:r>
                    <w:rPr>
                      <w:i/>
                      <w:iCs/>
                    </w:rPr>
                    <w:t xml:space="preserve">p</w:t>
                  </w:r>
                  <w:r>
                    <w:t xml:space="preserve"> </w:t>
                  </w:r>
                  <w:r>
                    <w:t xml:space="preserve">= 0.0352</w:t>
                  </w:r>
                </w:p>
              </w:tc>
            </w:tr>
            <w:tr>
              <w:tc>
                <w:tcPr/>
                <w:p>
                  <w:pPr>
                    <w:pStyle w:val="Compact"/>
                    <w:jc w:val="left"/>
                    <w:jc w:val="center"/>
                  </w:pPr>
                  <w:r>
                    <w:t xml:space="preserve">PC (μg L</w:t>
                  </w:r>
                  <w:r>
                    <w:rPr>
                      <w:vertAlign w:val="superscript"/>
                    </w:rPr>
                    <w:t xml:space="preserve">-1</w:t>
                  </w:r>
                  <w:r>
                    <w:t xml:space="preserve">)</w:t>
                  </w:r>
                </w:p>
              </w:tc>
              <w:tc>
                <w:tcPr/>
                <w:p>
                  <w:pPr>
                    <w:pStyle w:val="Compact"/>
                    <w:jc w:val="left"/>
                    <w:jc w:val="center"/>
                  </w:pPr>
                  <w:r>
                    <w:t xml:space="preserve">0.16 ± 0.16</w:t>
                  </w:r>
                </w:p>
              </w:tc>
              <w:tc>
                <w:tcPr/>
                <w:p>
                  <w:pPr>
                    <w:pStyle w:val="Compact"/>
                    <w:jc w:val="left"/>
                    <w:jc w:val="center"/>
                  </w:pPr>
                  <w:r>
                    <w:t xml:space="preserve">0.30 ± 0.35</w:t>
                  </w:r>
                </w:p>
              </w:tc>
              <w:tc>
                <w:tcPr/>
                <w:p>
                  <w:pPr>
                    <w:pStyle w:val="Compact"/>
                    <w:jc w:val="left"/>
                    <w:jc w:val="center"/>
                  </w:pPr>
                  <w:r>
                    <w:t xml:space="preserve">0.21 ± 0.21</w:t>
                  </w:r>
                </w:p>
              </w:tc>
              <w:tc>
                <w:tcPr/>
                <w:p>
                  <w:pPr>
                    <w:pStyle w:val="Compact"/>
                    <w:jc w:val="left"/>
                    <w:jc w:val="center"/>
                  </w:pPr>
                  <w:r>
                    <w:t xml:space="preserve">0.17 ± 0.18</w:t>
                  </w:r>
                </w:p>
              </w:tc>
              <w:tc>
                <w:tcPr/>
                <w:p>
                  <w:pPr>
                    <w:pStyle w:val="Compact"/>
                    <w:jc w:val="left"/>
                    <w:jc w:val="center"/>
                  </w:pPr>
                  <w:r>
                    <w:t xml:space="preserve">0.21 ± 0.17</w:t>
                  </w:r>
                </w:p>
              </w:tc>
              <w:tc>
                <w:tcPr/>
                <w:p>
                  <w:pPr>
                    <w:pStyle w:val="Compact"/>
                    <w:jc w:val="left"/>
                    <w:jc w:val="center"/>
                  </w:pPr>
                  <w:r>
                    <w:t xml:space="preserve">0.22 ± 0.19</w:t>
                  </w:r>
                </w:p>
              </w:tc>
              <w:tc>
                <w:tcPr/>
                <w:p>
                  <w:pPr>
                    <w:pStyle w:val="Compact"/>
                    <w:jc w:val="left"/>
                    <w:jc w:val="center"/>
                  </w:pPr>
                  <w:r>
                    <w:rPr>
                      <w:i/>
                      <w:iCs/>
                    </w:rPr>
                    <w:t xml:space="preserve">p</w:t>
                  </w:r>
                  <w:r>
                    <w:t xml:space="preserve"> </w:t>
                  </w:r>
                  <w:r>
                    <w:t xml:space="preserve">= 0.6865</w:t>
                  </w:r>
                </w:p>
              </w:tc>
            </w:tr>
            <w:tr>
              <w:tc>
                <w:tcPr/>
                <w:p>
                  <w:pPr>
                    <w:pStyle w:val="Compact"/>
                    <w:jc w:val="left"/>
                    <w:jc w:val="center"/>
                  </w:pPr>
                  <w:r>
                    <w:t xml:space="preserve">ORP (mv)</w:t>
                  </w:r>
                </w:p>
              </w:tc>
              <w:tc>
                <w:tcPr/>
                <w:p>
                  <w:pPr>
                    <w:pStyle w:val="Compact"/>
                    <w:jc w:val="left"/>
                    <w:jc w:val="center"/>
                  </w:pPr>
                  <w:r>
                    <w:t xml:space="preserve">-111.9 ± 232.9</w:t>
                  </w:r>
                </w:p>
              </w:tc>
              <w:tc>
                <w:tcPr/>
                <w:p>
                  <w:pPr>
                    <w:pStyle w:val="Compact"/>
                    <w:jc w:val="left"/>
                    <w:jc w:val="center"/>
                  </w:pPr>
                  <w:r>
                    <w:t xml:space="preserve">-88.6 ± 228.1</w:t>
                  </w:r>
                </w:p>
              </w:tc>
              <w:tc>
                <w:tcPr/>
                <w:p>
                  <w:pPr>
                    <w:pStyle w:val="Compact"/>
                    <w:jc w:val="left"/>
                    <w:jc w:val="center"/>
                  </w:pPr>
                  <w:r>
                    <w:t xml:space="preserve">-78.2 ± 223.5</w:t>
                  </w:r>
                </w:p>
              </w:tc>
              <w:tc>
                <w:tcPr/>
                <w:p>
                  <w:pPr>
                    <w:pStyle w:val="Compact"/>
                    <w:jc w:val="left"/>
                    <w:jc w:val="center"/>
                  </w:pPr>
                  <w:r>
                    <w:t xml:space="preserve">-62.3 ± 209.4</w:t>
                  </w:r>
                </w:p>
              </w:tc>
              <w:tc>
                <w:tcPr/>
                <w:p>
                  <w:pPr>
                    <w:pStyle w:val="Compact"/>
                    <w:jc w:val="left"/>
                    <w:jc w:val="center"/>
                  </w:pPr>
                  <w:r>
                    <w:t xml:space="preserve">-69.5 ± 213.1</w:t>
                  </w:r>
                </w:p>
              </w:tc>
              <w:tc>
                <w:tcPr/>
                <w:p>
                  <w:pPr>
                    <w:pStyle w:val="Compact"/>
                    <w:jc w:val="left"/>
                    <w:jc w:val="center"/>
                  </w:pPr>
                  <w:r>
                    <w:t xml:space="preserve">-55.7 ± 206.5</w:t>
                  </w:r>
                </w:p>
              </w:tc>
              <w:tc>
                <w:tcPr/>
                <w:p>
                  <w:pPr>
                    <w:pStyle w:val="Compact"/>
                    <w:jc w:val="left"/>
                    <w:jc w:val="center"/>
                  </w:pPr>
                  <w:r>
                    <w:rPr>
                      <w:i/>
                      <w:iCs/>
                    </w:rPr>
                    <w:t xml:space="preserve">p</w:t>
                  </w:r>
                  <w:r>
                    <w:t xml:space="preserve"> </w:t>
                  </w:r>
                  <w:r>
                    <w:t xml:space="preserve">= 0.9911</w:t>
                  </w:r>
                </w:p>
              </w:tc>
            </w:tr>
            <w:tr>
              <w:tc>
                <w:tcPr/>
                <w:p>
                  <w:pPr>
                    <w:pStyle w:val="Compact"/>
                    <w:jc w:val="left"/>
                    <w:jc w:val="center"/>
                  </w:pPr>
                  <w:r>
                    <w:t xml:space="preserve">SD (cm)</w:t>
                  </w:r>
                </w:p>
              </w:tc>
              <w:tc>
                <w:tcPr/>
                <w:p>
                  <w:pPr>
                    <w:pStyle w:val="Compact"/>
                    <w:jc w:val="left"/>
                    <w:jc w:val="center"/>
                  </w:pPr>
                  <w:r>
                    <w:t xml:space="preserve">163.3 ± 70.9</w:t>
                  </w:r>
                </w:p>
              </w:tc>
              <w:tc>
                <w:tcPr/>
                <w:p>
                  <w:pPr>
                    <w:pStyle w:val="Compact"/>
                    <w:jc w:val="left"/>
                    <w:jc w:val="center"/>
                  </w:pPr>
                  <w:r>
                    <w:t xml:space="preserve">151.5 ± 69.8</w:t>
                  </w:r>
                </w:p>
              </w:tc>
              <w:tc>
                <w:tcPr/>
                <w:p>
                  <w:pPr>
                    <w:pStyle w:val="Compact"/>
                    <w:jc w:val="left"/>
                    <w:jc w:val="center"/>
                  </w:pPr>
                  <w:r>
                    <w:t xml:space="preserve">160.0 ± 82.8</w:t>
                  </w:r>
                </w:p>
              </w:tc>
              <w:tc>
                <w:tcPr/>
                <w:p>
                  <w:pPr>
                    <w:pStyle w:val="Compact"/>
                    <w:jc w:val="left"/>
                    <w:jc w:val="center"/>
                  </w:pPr>
                  <w:r>
                    <w:t xml:space="preserve">168.8 ± 106.9</w:t>
                  </w:r>
                </w:p>
              </w:tc>
              <w:tc>
                <w:tcPr/>
                <w:p>
                  <w:pPr>
                    <w:pStyle w:val="Compact"/>
                    <w:jc w:val="left"/>
                    <w:jc w:val="center"/>
                  </w:pPr>
                  <w:r>
                    <w:t xml:space="preserve">150.0 ± 86.8</w:t>
                  </w:r>
                </w:p>
              </w:tc>
              <w:tc>
                <w:tcPr/>
                <w:p>
                  <w:pPr>
                    <w:pStyle w:val="Compact"/>
                    <w:jc w:val="left"/>
                    <w:jc w:val="center"/>
                  </w:pPr>
                  <w:r>
                    <w:t xml:space="preserve">166.3 ± 76.0</w:t>
                  </w:r>
                </w:p>
              </w:tc>
              <w:tc>
                <w:tcPr/>
                <w:p>
                  <w:pPr>
                    <w:pStyle w:val="Compact"/>
                    <w:jc w:val="left"/>
                    <w:jc w:val="center"/>
                  </w:pPr>
                  <w:r>
                    <w:rPr>
                      <w:i/>
                      <w:iCs/>
                    </w:rPr>
                    <w:t xml:space="preserve">p</w:t>
                  </w:r>
                  <w:r>
                    <w:t xml:space="preserve"> </w:t>
                  </w:r>
                  <w:r>
                    <w:t xml:space="preserve">= 0.9993</w:t>
                  </w:r>
                </w:p>
              </w:tc>
            </w:tr>
            <w:tr>
              <w:tc>
                <w:tcPr/>
                <w:p>
                  <w:pPr>
                    <w:pStyle w:val="Compact"/>
                    <w:jc w:val="left"/>
                    <w:jc w:val="center"/>
                  </w:pPr>
                  <w:r>
                    <w:t xml:space="preserve">z</w:t>
                  </w:r>
                  <w:r>
                    <w:rPr>
                      <w:vertAlign w:val="subscript"/>
                    </w:rPr>
                    <w:t xml:space="preserve">max</w:t>
                  </w:r>
                  <w:r>
                    <w:t xml:space="preserve"> </w:t>
                  </w:r>
                  <w:r>
                    <w:t xml:space="preserve">(m)</w:t>
                  </w:r>
                </w:p>
              </w:tc>
              <w:tc>
                <w:tcPr/>
                <w:p>
                  <w:pPr>
                    <w:pStyle w:val="Compact"/>
                    <w:jc w:val="left"/>
                    <w:jc w:val="center"/>
                  </w:pPr>
                  <w:r>
                    <w:t xml:space="preserve">6.4 ± 1.3</w:t>
                  </w:r>
                </w:p>
              </w:tc>
              <w:tc>
                <w:tcPr/>
                <w:p>
                  <w:pPr>
                    <w:pStyle w:val="Compact"/>
                    <w:jc w:val="left"/>
                    <w:jc w:val="center"/>
                  </w:pPr>
                  <w:r>
                    <w:t xml:space="preserve">4.5 ± 1.4</w:t>
                  </w:r>
                </w:p>
              </w:tc>
              <w:tc>
                <w:tcPr/>
                <w:p>
                  <w:pPr>
                    <w:pStyle w:val="Compact"/>
                    <w:jc w:val="left"/>
                    <w:jc w:val="center"/>
                  </w:pPr>
                  <w:r>
                    <w:t xml:space="preserve">11.0 ± 0.5</w:t>
                  </w:r>
                </w:p>
              </w:tc>
              <w:tc>
                <w:tcPr/>
                <w:p>
                  <w:pPr>
                    <w:pStyle w:val="Compact"/>
                    <w:jc w:val="left"/>
                    <w:jc w:val="center"/>
                  </w:pPr>
                  <w:r>
                    <w:t xml:space="preserve">6.7 ± 0.5</w:t>
                  </w:r>
                </w:p>
              </w:tc>
              <w:tc>
                <w:tcPr/>
                <w:p>
                  <w:pPr>
                    <w:pStyle w:val="Compact"/>
                    <w:jc w:val="left"/>
                    <w:jc w:val="center"/>
                  </w:pPr>
                  <w:r>
                    <w:t xml:space="preserve">4.9 ± 0.3</w:t>
                  </w:r>
                </w:p>
              </w:tc>
              <w:tc>
                <w:tcPr/>
                <w:p>
                  <w:pPr>
                    <w:pStyle w:val="Compact"/>
                    <w:jc w:val="left"/>
                    <w:jc w:val="center"/>
                  </w:pPr>
                  <w:r>
                    <w:t xml:space="preserve">7.0 ± 0.8</w:t>
                  </w:r>
                </w:p>
              </w:tc>
              <w:tc>
                <w:tcPr/>
                <w:p>
                  <w:pPr>
                    <w:pStyle w:val="Compact"/>
                    <w:jc w:val="left"/>
                    <w:jc w:val="center"/>
                  </w:pPr>
                  <w:r>
                    <w:rPr>
                      <w:i/>
                      <w:iCs/>
                    </w:rPr>
                    <w:t xml:space="preserve">p</w:t>
                  </w:r>
                  <w:r>
                    <w:t xml:space="preserve"> </w:t>
                  </w:r>
                  <w:r>
                    <w:t xml:space="preserve">&lt; 0.0001</w:t>
                  </w:r>
                </w:p>
              </w:tc>
            </w:tr>
          </w:tbl>
          <w:bookmarkEnd w:id="68"/>
          <w:p/>
        </w:tc>
      </w:tr>
    </w:tbl>
    <w:p>
      <w:r>
        <w:br w:type="page"/>
      </w:r>
    </w:p>
    <w:tbl>
      <w:tblPr>
        <w:tblStyle w:val="Table"/>
        <w:tblW w:type="pct" w:w="5000"/>
        <w:tblLayout w:type="fixed"/>
        <w:tblLook w:firstRow="0" w:lastRow="0" w:firstColumn="0" w:lastColumn="0" w:noHBand="0" w:noVBand="0" w:val="0000"/>
      </w:tblPr>
      <w:tblGrid>
        <w:gridCol w:w="7920"/>
      </w:tblGrid>
      <w:tr>
        <w:tc>
          <w:tcPr/>
          <w:bookmarkStart w:id="69" w:name="tbl-ZXDwqcompare"/>
          <w:p>
            <w:pPr>
              <w:jc w:val="center"/>
            </w:pPr>
            <w:pPr>
              <w:jc w:val="start"/>
              <w:spacing w:before="200"/>
              <w:pStyle w:val="ImageCaption"/>
            </w:pPr>
            <w:r>
              <w:t xml:space="preserve">Table 9 Main water quality variation before and after construction in reservoir (considering all three layers, n = 71), all values are expressed as mean values with standard deviations, variance analysis were performed to compare the differences.</w:t>
            </w:r>
          </w:p>
          <w:tbl>
            <w:tblPr>
              <w:tblStyle w:val="Table"/>
              <w:tblW w:type="pct" w:w="5000"/>
              <w:tblLayout w:type="fixed"/>
              <w:tblLook w:firstRow="1" w:lastRow="0" w:firstColumn="0" w:lastColumn="0" w:noHBand="0" w:noVBand="0" w:val="0020"/>
            </w:tblPr>
            <w:tblGrid>
              <w:gridCol w:w="2329"/>
              <w:gridCol w:w="1630"/>
              <w:gridCol w:w="1747"/>
              <w:gridCol w:w="2212"/>
            </w:tblGrid>
            <w:tr>
              <w:trPr>
                <w:tblHeader w:val="on"/>
              </w:trPr>
              <w:tc>
                <w:tcPr/>
                <w:p>
                  <w:pPr>
                    <w:pStyle w:val="Compact"/>
                    <w:jc w:val="left"/>
                    <w:jc w:val="center"/>
                  </w:pPr>
                  <w:r>
                    <w:rPr>
                      <w:b/>
                      <w:bCs/>
                    </w:rPr>
                    <w:t xml:space="preserve">Parameter</w:t>
                  </w:r>
                </w:p>
              </w:tc>
              <w:tc>
                <w:tcPr/>
                <w:p>
                  <w:pPr>
                    <w:pStyle w:val="Compact"/>
                    <w:jc w:val="left"/>
                    <w:jc w:val="center"/>
                  </w:pPr>
                  <w:r>
                    <w:rPr>
                      <w:b/>
                      <w:bCs/>
                    </w:rPr>
                    <w:t xml:space="preserve">Before</w:t>
                  </w:r>
                </w:p>
              </w:tc>
              <w:tc>
                <w:tcPr/>
                <w:p>
                  <w:pPr>
                    <w:pStyle w:val="Compact"/>
                    <w:jc w:val="left"/>
                    <w:jc w:val="center"/>
                  </w:pPr>
                  <w:r>
                    <w:rPr>
                      <w:b/>
                      <w:bCs/>
                    </w:rPr>
                    <w:t xml:space="preserve">After</w:t>
                  </w:r>
                </w:p>
              </w:tc>
              <w:tc>
                <w:tcPr/>
                <w:p>
                  <w:pPr>
                    <w:pStyle w:val="Compact"/>
                    <w:jc w:val="left"/>
                    <w:jc w:val="center"/>
                  </w:pPr>
                  <w:r>
                    <w:rPr>
                      <w:b/>
                      <w:bCs/>
                      <w:i/>
                      <w:iCs/>
                    </w:rPr>
                    <w:t xml:space="preserve">p</w:t>
                  </w:r>
                  <w:r>
                    <w:rPr>
                      <w:b/>
                      <w:bCs/>
                    </w:rPr>
                    <w:t xml:space="preserve">-value</w:t>
                  </w:r>
                </w:p>
              </w:tc>
            </w:tr>
            <w:tr>
              <w:tc>
                <w:tcPr/>
                <w:p>
                  <w:pPr>
                    <w:pStyle w:val="Compact"/>
                    <w:jc w:val="left"/>
                    <w:jc w:val="center"/>
                  </w:pPr>
                  <w:r>
                    <w:t xml:space="preserve">MIB</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22.2 ± 8.7</w:t>
                  </w:r>
                </w:p>
              </w:tc>
              <w:tc>
                <w:tcPr/>
                <w:p>
                  <w:pPr>
                    <w:pStyle w:val="Compact"/>
                    <w:jc w:val="left"/>
                    <w:jc w:val="center"/>
                  </w:pPr>
                  <w:r>
                    <w:t xml:space="preserve">8.6 ± 3.7</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GSM</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4.6 ± 0.8</w:t>
                  </w:r>
                </w:p>
              </w:tc>
              <w:tc>
                <w:tcPr/>
                <w:p>
                  <w:pPr>
                    <w:pStyle w:val="Compact"/>
                    <w:jc w:val="left"/>
                    <w:jc w:val="center"/>
                  </w:pPr>
                  <w:r>
                    <w:t xml:space="preserve">4.7 ± 0.1</w:t>
                  </w:r>
                </w:p>
              </w:tc>
              <w:tc>
                <w:tcPr/>
                <w:p>
                  <w:pPr>
                    <w:pStyle w:val="Compact"/>
                    <w:jc w:val="left"/>
                    <w:jc w:val="center"/>
                  </w:pPr>
                  <w:r>
                    <w:rPr>
                      <w:i/>
                      <w:iCs/>
                    </w:rPr>
                    <w:t xml:space="preserve">p</w:t>
                  </w:r>
                  <w:r>
                    <w:t xml:space="preserve"> </w:t>
                  </w:r>
                  <w:r>
                    <w:t xml:space="preserve">= 0.4035</w:t>
                  </w:r>
                </w:p>
              </w:tc>
            </w:tr>
            <w:tr>
              <w:tc>
                <w:tcPr/>
                <w:p>
                  <w:pPr>
                    <w:pStyle w:val="Compact"/>
                    <w:jc w:val="left"/>
                    <w:jc w:val="center"/>
                  </w:pPr>
                  <w:r>
                    <w:t xml:space="preserve">MIB</w:t>
                  </w:r>
                  <w:r>
                    <w:rPr>
                      <w:vertAlign w:val="subscript"/>
                    </w:rPr>
                    <w:t xml:space="preserve">d</w:t>
                  </w:r>
                  <w:r>
                    <w:t xml:space="preserve"> </w:t>
                  </w:r>
                  <w:r>
                    <w:t xml:space="preserve">(ng L</w:t>
                  </w:r>
                  <w:r>
                    <w:rPr>
                      <w:vertAlign w:val="superscript"/>
                    </w:rPr>
                    <w:t xml:space="preserve">-1</w:t>
                  </w:r>
                  <w:r>
                    <w:t xml:space="preserve">)</w:t>
                  </w:r>
                </w:p>
              </w:tc>
              <w:tc>
                <w:tcPr/>
                <w:p>
                  <w:pPr>
                    <w:pStyle w:val="Compact"/>
                    <w:jc w:val="left"/>
                    <w:jc w:val="center"/>
                  </w:pPr>
                  <w:r>
                    <w:t xml:space="preserve">14.8 ± 5.4</w:t>
                  </w:r>
                </w:p>
              </w:tc>
              <w:tc>
                <w:tcPr/>
                <w:p>
                  <w:pPr>
                    <w:pStyle w:val="Compact"/>
                    <w:jc w:val="left"/>
                    <w:jc w:val="center"/>
                  </w:pPr>
                  <w:r>
                    <w:t xml:space="preserve">7.4 ± 2.5</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GSM</w:t>
                  </w:r>
                  <w:r>
                    <w:rPr>
                      <w:vertAlign w:val="subscript"/>
                    </w:rPr>
                    <w:t xml:space="preserve">d</w:t>
                  </w:r>
                  <w:r>
                    <w:t xml:space="preserve"> </w:t>
                  </w:r>
                  <w:r>
                    <w:t xml:space="preserve">(ng L</w:t>
                  </w:r>
                  <w:r>
                    <w:rPr>
                      <w:vertAlign w:val="superscript"/>
                    </w:rPr>
                    <w:t xml:space="preserve">-1</w:t>
                  </w:r>
                  <w:r>
                    <w:t xml:space="preserve">)</w:t>
                  </w:r>
                </w:p>
              </w:tc>
              <w:tc>
                <w:tcPr/>
                <w:p>
                  <w:pPr>
                    <w:pStyle w:val="Compact"/>
                    <w:jc w:val="left"/>
                    <w:jc w:val="center"/>
                  </w:pPr>
                  <w:r>
                    <w:t xml:space="preserve">6.3± 1.0</w:t>
                  </w:r>
                </w:p>
              </w:tc>
              <w:tc>
                <w:tcPr/>
                <w:p>
                  <w:pPr>
                    <w:pStyle w:val="Compact"/>
                    <w:jc w:val="left"/>
                    <w:jc w:val="center"/>
                  </w:pPr>
                  <w:r>
                    <w:t xml:space="preserve">6.2 ± 0.82</w:t>
                  </w:r>
                </w:p>
              </w:tc>
              <w:tc>
                <w:tcPr/>
                <w:p>
                  <w:pPr>
                    <w:pStyle w:val="Compact"/>
                    <w:jc w:val="left"/>
                    <w:jc w:val="center"/>
                  </w:pPr>
                  <w:r>
                    <w:rPr>
                      <w:i/>
                      <w:iCs/>
                    </w:rPr>
                    <w:t xml:space="preserve">p</w:t>
                  </w:r>
                  <w:r>
                    <w:t xml:space="preserve"> </w:t>
                  </w:r>
                  <w:r>
                    <w:t xml:space="preserve">= 0.9307</w:t>
                  </w:r>
                </w:p>
              </w:tc>
            </w:tr>
            <w:tr>
              <w:tc>
                <w:tcPr/>
                <w:p>
                  <w:pPr>
                    <w:pStyle w:val="Compact"/>
                    <w:jc w:val="left"/>
                    <w:jc w:val="center"/>
                  </w:pPr>
                  <w:r>
                    <w:t xml:space="preserve">TN (μg L</w:t>
                  </w:r>
                  <w:r>
                    <w:rPr>
                      <w:vertAlign w:val="superscript"/>
                    </w:rPr>
                    <w:t xml:space="preserve">-1</w:t>
                  </w:r>
                  <w:r>
                    <w:t xml:space="preserve">)</w:t>
                  </w:r>
                </w:p>
              </w:tc>
              <w:tc>
                <w:tcPr/>
                <w:p>
                  <w:pPr>
                    <w:pStyle w:val="Compact"/>
                    <w:jc w:val="left"/>
                    <w:jc w:val="center"/>
                  </w:pPr>
                  <w:r>
                    <w:t xml:space="preserve">1563 ± 97</w:t>
                  </w:r>
                </w:p>
              </w:tc>
              <w:tc>
                <w:tcPr/>
                <w:p>
                  <w:pPr>
                    <w:pStyle w:val="Compact"/>
                    <w:jc w:val="left"/>
                    <w:jc w:val="center"/>
                  </w:pPr>
                  <w:r>
                    <w:t xml:space="preserve">1664 ± 163</w:t>
                  </w:r>
                </w:p>
              </w:tc>
              <w:tc>
                <w:tcPr/>
                <w:p>
                  <w:pPr>
                    <w:pStyle w:val="Compact"/>
                    <w:jc w:val="left"/>
                    <w:jc w:val="center"/>
                  </w:pPr>
                  <w:r>
                    <w:rPr>
                      <w:i/>
                      <w:iCs/>
                    </w:rPr>
                    <w:t xml:space="preserve">p</w:t>
                  </w:r>
                  <w:r>
                    <w:t xml:space="preserve"> </w:t>
                  </w:r>
                  <w:r>
                    <w:t xml:space="preserve">= 0.0023</w:t>
                  </w:r>
                </w:p>
              </w:tc>
            </w:tr>
            <w:tr>
              <w:tc>
                <w:tcPr/>
                <w:p>
                  <w:pPr>
                    <w:pStyle w:val="Compact"/>
                    <w:jc w:val="left"/>
                    <w:jc w:val="center"/>
                  </w:pPr>
                  <w:r>
                    <w:t xml:space="preserve">TP (μg L</w:t>
                  </w:r>
                  <w:r>
                    <w:rPr>
                      <w:vertAlign w:val="superscript"/>
                    </w:rPr>
                    <w:t xml:space="preserve">-1</w:t>
                  </w:r>
                  <w:r>
                    <w:t xml:space="preserve">)</w:t>
                  </w:r>
                </w:p>
              </w:tc>
              <w:tc>
                <w:tcPr/>
                <w:p>
                  <w:pPr>
                    <w:pStyle w:val="Compact"/>
                    <w:jc w:val="left"/>
                    <w:jc w:val="center"/>
                  </w:pPr>
                  <w:r>
                    <w:t xml:space="preserve">14 ± 2</w:t>
                  </w:r>
                </w:p>
              </w:tc>
              <w:tc>
                <w:tcPr/>
                <w:p>
                  <w:pPr>
                    <w:pStyle w:val="Compact"/>
                    <w:jc w:val="left"/>
                    <w:jc w:val="center"/>
                  </w:pPr>
                  <w:r>
                    <w:t xml:space="preserve">15 ± 3</w:t>
                  </w:r>
                </w:p>
              </w:tc>
              <w:tc>
                <w:tcPr/>
                <w:p>
                  <w:pPr>
                    <w:pStyle w:val="Compact"/>
                    <w:jc w:val="left"/>
                    <w:jc w:val="center"/>
                  </w:pPr>
                  <w:r>
                    <w:rPr>
                      <w:i/>
                      <w:iCs/>
                    </w:rPr>
                    <w:t xml:space="preserve">p</w:t>
                  </w:r>
                  <w:r>
                    <w:t xml:space="preserve"> </w:t>
                  </w:r>
                  <w:r>
                    <w:t xml:space="preserve">= 0.1520</w:t>
                  </w:r>
                </w:p>
              </w:tc>
            </w:tr>
            <w:tr>
              <w:tc>
                <w:tcPr/>
                <w:p>
                  <w:pPr>
                    <w:pStyle w:val="Compact"/>
                    <w:jc w:val="left"/>
                    <w:jc w:val="center"/>
                  </w:pPr>
                  <w:r>
                    <w:t xml:space="preserve">NH</w:t>
                  </w:r>
                  <w:r>
                    <w:rPr>
                      <w:vertAlign w:val="subscript"/>
                    </w:rPr>
                    <w:t xml:space="preserve">4</w:t>
                  </w:r>
                  <w:r>
                    <w:t xml:space="preserve">-N (μg L</w:t>
                  </w:r>
                  <w:r>
                    <w:rPr>
                      <w:vertAlign w:val="superscript"/>
                    </w:rPr>
                    <w:t xml:space="preserve">-1</w:t>
                  </w:r>
                  <w:r>
                    <w:t xml:space="preserve">)</w:t>
                  </w:r>
                </w:p>
              </w:tc>
              <w:tc>
                <w:tcPr/>
                <w:p>
                  <w:pPr>
                    <w:pStyle w:val="Compact"/>
                    <w:jc w:val="left"/>
                    <w:jc w:val="center"/>
                  </w:pPr>
                  <w:r>
                    <w:t xml:space="preserve">98 ± 60</w:t>
                  </w:r>
                </w:p>
              </w:tc>
              <w:tc>
                <w:tcPr/>
                <w:p>
                  <w:pPr>
                    <w:pStyle w:val="Compact"/>
                    <w:jc w:val="left"/>
                    <w:jc w:val="center"/>
                  </w:pPr>
                  <w:r>
                    <w:t xml:space="preserve">48± 46</w:t>
                  </w:r>
                </w:p>
              </w:tc>
              <w:tc>
                <w:tcPr/>
                <w:p>
                  <w:pPr>
                    <w:pStyle w:val="Compact"/>
                    <w:jc w:val="left"/>
                    <w:jc w:val="center"/>
                  </w:pPr>
                  <w:r>
                    <w:rPr>
                      <w:i/>
                      <w:iCs/>
                    </w:rPr>
                    <w:t xml:space="preserve">p</w:t>
                  </w:r>
                  <w:r>
                    <w:t xml:space="preserve"> </w:t>
                  </w:r>
                  <w:r>
                    <w:t xml:space="preserve">= 0.0002</w:t>
                  </w:r>
                </w:p>
              </w:tc>
            </w:tr>
            <w:tr>
              <w:tc>
                <w:tcPr/>
                <w:p>
                  <w:pPr>
                    <w:pStyle w:val="Compact"/>
                    <w:jc w:val="left"/>
                    <w:jc w:val="center"/>
                  </w:pPr>
                  <w:r>
                    <w:t xml:space="preserve">NO</w:t>
                  </w:r>
                  <w:r>
                    <w:rPr>
                      <w:vertAlign w:val="subscript"/>
                    </w:rPr>
                    <w:t xml:space="preserve">3</w:t>
                  </w:r>
                  <w:r>
                    <w:t xml:space="preserve">-N (μg L</w:t>
                  </w:r>
                  <w:r>
                    <w:rPr>
                      <w:vertAlign w:val="superscript"/>
                    </w:rPr>
                    <w:t xml:space="preserve">-1</w:t>
                  </w:r>
                  <w:r>
                    <w:t xml:space="preserve">)</w:t>
                  </w:r>
                </w:p>
              </w:tc>
              <w:tc>
                <w:tcPr/>
                <w:p>
                  <w:pPr>
                    <w:pStyle w:val="Compact"/>
                    <w:jc w:val="left"/>
                    <w:jc w:val="center"/>
                  </w:pPr>
                  <w:r>
                    <w:t xml:space="preserve">1368 ± 118</w:t>
                  </w:r>
                </w:p>
              </w:tc>
              <w:tc>
                <w:tcPr/>
                <w:p>
                  <w:pPr>
                    <w:pStyle w:val="Compact"/>
                    <w:jc w:val="left"/>
                    <w:jc w:val="center"/>
                  </w:pPr>
                  <w:r>
                    <w:t xml:space="preserve">1507 ± 128</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pH</w:t>
                  </w:r>
                </w:p>
              </w:tc>
              <w:tc>
                <w:tcPr/>
                <w:p>
                  <w:pPr>
                    <w:pStyle w:val="Compact"/>
                    <w:jc w:val="left"/>
                    <w:jc w:val="center"/>
                  </w:pPr>
                  <w:r>
                    <w:t xml:space="preserve">8.4 ± 0.1</w:t>
                  </w:r>
                </w:p>
              </w:tc>
              <w:tc>
                <w:tcPr/>
                <w:p>
                  <w:pPr>
                    <w:pStyle w:val="Compact"/>
                    <w:jc w:val="left"/>
                    <w:jc w:val="center"/>
                  </w:pPr>
                  <w:r>
                    <w:t xml:space="preserve">8.3± 0.1</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DO (mg L</w:t>
                  </w:r>
                  <w:r>
                    <w:rPr>
                      <w:vertAlign w:val="superscript"/>
                    </w:rPr>
                    <w:t xml:space="preserve">-1</w:t>
                  </w:r>
                  <w:r>
                    <w:t xml:space="preserve">)</w:t>
                  </w:r>
                </w:p>
              </w:tc>
              <w:tc>
                <w:tcPr/>
                <w:p>
                  <w:pPr>
                    <w:pStyle w:val="Compact"/>
                    <w:jc w:val="left"/>
                    <w:jc w:val="center"/>
                  </w:pPr>
                  <w:r>
                    <w:t xml:space="preserve">6.8 ± 2.2</w:t>
                  </w:r>
                </w:p>
              </w:tc>
              <w:tc>
                <w:tcPr/>
                <w:p>
                  <w:pPr>
                    <w:pStyle w:val="Compact"/>
                    <w:jc w:val="left"/>
                    <w:jc w:val="center"/>
                  </w:pPr>
                  <w:r>
                    <w:t xml:space="preserve">7.5 ± 0.9</w:t>
                  </w:r>
                </w:p>
              </w:tc>
              <w:tc>
                <w:tcPr/>
                <w:p>
                  <w:pPr>
                    <w:pStyle w:val="Compact"/>
                    <w:jc w:val="left"/>
                    <w:jc w:val="center"/>
                  </w:pPr>
                  <w:r>
                    <w:rPr>
                      <w:i/>
                      <w:iCs/>
                    </w:rPr>
                    <w:t xml:space="preserve">p</w:t>
                  </w:r>
                  <w:r>
                    <w:t xml:space="preserve"> </w:t>
                  </w:r>
                  <w:r>
                    <w:t xml:space="preserve">= 0.0661</w:t>
                  </w:r>
                </w:p>
              </w:tc>
            </w:tr>
            <w:tr>
              <w:tc>
                <w:tcPr/>
                <w:p>
                  <w:pPr>
                    <w:pStyle w:val="Compact"/>
                    <w:jc w:val="left"/>
                    <w:jc w:val="center"/>
                  </w:pPr>
                  <w:r>
                    <w:t xml:space="preserve">Turb. (NTU)</w:t>
                  </w:r>
                </w:p>
              </w:tc>
              <w:tc>
                <w:tcPr/>
                <w:p>
                  <w:pPr>
                    <w:pStyle w:val="Compact"/>
                    <w:jc w:val="left"/>
                    <w:jc w:val="center"/>
                  </w:pPr>
                  <w:r>
                    <w:t xml:space="preserve">6.0 ± 11.4</w:t>
                  </w:r>
                </w:p>
              </w:tc>
              <w:tc>
                <w:tcPr/>
                <w:p>
                  <w:pPr>
                    <w:pStyle w:val="Compact"/>
                    <w:jc w:val="left"/>
                    <w:jc w:val="center"/>
                  </w:pPr>
                  <w:r>
                    <w:t xml:space="preserve">12.0 ± 31.0</w:t>
                  </w:r>
                </w:p>
              </w:tc>
              <w:tc>
                <w:tcPr/>
                <w:p>
                  <w:pPr>
                    <w:pStyle w:val="Compact"/>
                    <w:jc w:val="left"/>
                    <w:jc w:val="center"/>
                  </w:pPr>
                  <w:r>
                    <w:rPr>
                      <w:i/>
                      <w:iCs/>
                    </w:rPr>
                    <w:t xml:space="preserve">p</w:t>
                  </w:r>
                  <w:r>
                    <w:t xml:space="preserve"> </w:t>
                  </w:r>
                  <w:r>
                    <w:t xml:space="preserve">= 0.2885</w:t>
                  </w:r>
                </w:p>
              </w:tc>
            </w:tr>
            <w:tr>
              <w:tc>
                <w:tcPr/>
                <w:p>
                  <w:pPr>
                    <w:pStyle w:val="Compact"/>
                    <w:jc w:val="left"/>
                    <w:jc w:val="center"/>
                  </w:pPr>
                  <w:r>
                    <w:t xml:space="preserve">Temp. (°C)</w:t>
                  </w:r>
                </w:p>
              </w:tc>
              <w:tc>
                <w:tcPr/>
                <w:p>
                  <w:pPr>
                    <w:pStyle w:val="Compact"/>
                    <w:jc w:val="left"/>
                    <w:jc w:val="center"/>
                  </w:pPr>
                  <w:r>
                    <w:t xml:space="preserve">21.9 ± 1.1</w:t>
                  </w:r>
                </w:p>
              </w:tc>
              <w:tc>
                <w:tcPr/>
                <w:p>
                  <w:pPr>
                    <w:pStyle w:val="Compact"/>
                    <w:jc w:val="left"/>
                    <w:jc w:val="center"/>
                  </w:pPr>
                  <w:r>
                    <w:t xml:space="preserve">22.4 ± 0.9</w:t>
                  </w:r>
                </w:p>
              </w:tc>
              <w:tc>
                <w:tcPr/>
                <w:p>
                  <w:pPr>
                    <w:pStyle w:val="Compact"/>
                    <w:jc w:val="left"/>
                    <w:jc w:val="center"/>
                  </w:pPr>
                  <w:r>
                    <w:rPr>
                      <w:i/>
                      <w:iCs/>
                    </w:rPr>
                    <w:t xml:space="preserve">p</w:t>
                  </w:r>
                  <w:r>
                    <w:t xml:space="preserve"> </w:t>
                  </w:r>
                  <w:r>
                    <w:t xml:space="preserve">= 0.0490</w:t>
                  </w:r>
                </w:p>
              </w:tc>
            </w:tr>
            <w:tr>
              <w:tc>
                <w:tcPr/>
                <w:p>
                  <w:pPr>
                    <w:pStyle w:val="Compact"/>
                    <w:jc w:val="left"/>
                    <w:jc w:val="center"/>
                  </w:pPr>
                  <w:r>
                    <w:t xml:space="preserve">Salinity (psu)</w:t>
                  </w:r>
                </w:p>
              </w:tc>
              <w:tc>
                <w:tcPr/>
                <w:p>
                  <w:pPr>
                    <w:pStyle w:val="Compact"/>
                    <w:jc w:val="left"/>
                    <w:jc w:val="center"/>
                  </w:pPr>
                  <w:r>
                    <w:t xml:space="preserve">0.17 ± 0.01</w:t>
                  </w:r>
                </w:p>
              </w:tc>
              <w:tc>
                <w:tcPr/>
                <w:p>
                  <w:pPr>
                    <w:pStyle w:val="Compact"/>
                    <w:jc w:val="left"/>
                    <w:jc w:val="center"/>
                  </w:pPr>
                  <w:r>
                    <w:t xml:space="preserve">0.16 ± 0.01</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Cond. (μs cm</w:t>
                  </w:r>
                  <w:r>
                    <w:rPr>
                      <w:vertAlign w:val="superscript"/>
                    </w:rPr>
                    <w:t xml:space="preserve">-1</w:t>
                  </w:r>
                  <w:r>
                    <w:t xml:space="preserve">)</w:t>
                  </w:r>
                </w:p>
              </w:tc>
              <w:tc>
                <w:tcPr/>
                <w:p>
                  <w:pPr>
                    <w:pStyle w:val="Compact"/>
                    <w:jc w:val="left"/>
                    <w:jc w:val="center"/>
                  </w:pPr>
                  <w:r>
                    <w:t xml:space="preserve">351.5 ± 12.4</w:t>
                  </w:r>
                </w:p>
              </w:tc>
              <w:tc>
                <w:tcPr/>
                <w:p>
                  <w:pPr>
                    <w:pStyle w:val="Compact"/>
                    <w:jc w:val="left"/>
                    <w:jc w:val="center"/>
                  </w:pPr>
                  <w:r>
                    <w:t xml:space="preserve">327.6 ± 10.9</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TDS (mg L</w:t>
                  </w:r>
                  <w:r>
                    <w:rPr>
                      <w:vertAlign w:val="superscript"/>
                    </w:rPr>
                    <w:t xml:space="preserve">-1</w:t>
                  </w:r>
                  <w:r>
                    <w:t xml:space="preserve">)</w:t>
                  </w:r>
                </w:p>
              </w:tc>
              <w:tc>
                <w:tcPr/>
                <w:p>
                  <w:pPr>
                    <w:pStyle w:val="Compact"/>
                    <w:jc w:val="left"/>
                    <w:jc w:val="center"/>
                  </w:pPr>
                  <w:r>
                    <w:t xml:space="preserve">227.2 ± 7.8</w:t>
                  </w:r>
                </w:p>
              </w:tc>
              <w:tc>
                <w:tcPr/>
                <w:p>
                  <w:pPr>
                    <w:pStyle w:val="Compact"/>
                    <w:jc w:val="left"/>
                    <w:jc w:val="center"/>
                  </w:pPr>
                  <w:r>
                    <w:t xml:space="preserve">211.9 ± 7.1</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Chl</w:t>
                  </w:r>
                  <w:r>
                    <w:t xml:space="preserve"> </w:t>
                  </w:r>
                  <w:r>
                    <w:rPr>
                      <w:i/>
                      <w:iCs/>
                    </w:rPr>
                    <w:t xml:space="preserve">a</w:t>
                  </w:r>
                  <w:r>
                    <w:t xml:space="preserve"> </w:t>
                  </w:r>
                  <w:r>
                    <w:t xml:space="preserve">(μg L</w:t>
                  </w:r>
                  <w:r>
                    <w:rPr>
                      <w:vertAlign w:val="superscript"/>
                    </w:rPr>
                    <w:t xml:space="preserve">-1</w:t>
                  </w:r>
                  <w:r>
                    <w:t xml:space="preserve">)</w:t>
                  </w:r>
                </w:p>
              </w:tc>
              <w:tc>
                <w:tcPr/>
                <w:p>
                  <w:pPr>
                    <w:pStyle w:val="Compact"/>
                    <w:jc w:val="left"/>
                    <w:jc w:val="center"/>
                  </w:pPr>
                  <w:r>
                    <w:t xml:space="preserve">11.3 ± 14.5</w:t>
                  </w:r>
                </w:p>
              </w:tc>
              <w:tc>
                <w:tcPr/>
                <w:p>
                  <w:pPr>
                    <w:pStyle w:val="Compact"/>
                    <w:jc w:val="left"/>
                    <w:jc w:val="center"/>
                  </w:pPr>
                  <w:r>
                    <w:t xml:space="preserve">3.7 ± 6.5</w:t>
                  </w:r>
                </w:p>
              </w:tc>
              <w:tc>
                <w:tcPr/>
                <w:p>
                  <w:pPr>
                    <w:pStyle w:val="Compact"/>
                    <w:jc w:val="left"/>
                    <w:jc w:val="center"/>
                  </w:pPr>
                  <w:r>
                    <w:rPr>
                      <w:i/>
                      <w:iCs/>
                    </w:rPr>
                    <w:t xml:space="preserve">p</w:t>
                  </w:r>
                  <w:r>
                    <w:t xml:space="preserve"> </w:t>
                  </w:r>
                  <w:r>
                    <w:t xml:space="preserve">= 0.0053</w:t>
                  </w:r>
                </w:p>
              </w:tc>
            </w:tr>
            <w:tr>
              <w:tc>
                <w:tcPr/>
                <w:p>
                  <w:pPr>
                    <w:pStyle w:val="Compact"/>
                    <w:jc w:val="left"/>
                    <w:jc w:val="center"/>
                  </w:pPr>
                  <w:r>
                    <w:t xml:space="preserve">PC (μg L</w:t>
                  </w:r>
                  <w:r>
                    <w:rPr>
                      <w:vertAlign w:val="superscript"/>
                    </w:rPr>
                    <w:t xml:space="preserve">-1</w:t>
                  </w:r>
                  <w:r>
                    <w:t xml:space="preserve">)</w:t>
                  </w:r>
                </w:p>
              </w:tc>
              <w:tc>
                <w:tcPr/>
                <w:p>
                  <w:pPr>
                    <w:pStyle w:val="Compact"/>
                    <w:jc w:val="left"/>
                    <w:jc w:val="center"/>
                  </w:pPr>
                  <w:r>
                    <w:t xml:space="preserve">0.30 ± 0.25</w:t>
                  </w:r>
                </w:p>
              </w:tc>
              <w:tc>
                <w:tcPr/>
                <w:p>
                  <w:pPr>
                    <w:pStyle w:val="Compact"/>
                    <w:jc w:val="left"/>
                    <w:jc w:val="center"/>
                  </w:pPr>
                  <w:r>
                    <w:t xml:space="preserve">0.12 ± 0.11</w:t>
                  </w:r>
                </w:p>
              </w:tc>
              <w:tc>
                <w:tcPr/>
                <w:p>
                  <w:pPr>
                    <w:pStyle w:val="Compact"/>
                    <w:jc w:val="left"/>
                    <w:jc w:val="center"/>
                  </w:pPr>
                  <w:r>
                    <w:rPr>
                      <w:i/>
                      <w:iCs/>
                    </w:rPr>
                    <w:t xml:space="preserve">p</w:t>
                  </w:r>
                  <w:r>
                    <w:t xml:space="preserve"> </w:t>
                  </w:r>
                  <w:r>
                    <w:t xml:space="preserve">= 0.0001</w:t>
                  </w:r>
                </w:p>
              </w:tc>
            </w:tr>
            <w:tr>
              <w:tc>
                <w:tcPr/>
                <w:p>
                  <w:pPr>
                    <w:pStyle w:val="Compact"/>
                    <w:jc w:val="left"/>
                    <w:jc w:val="center"/>
                  </w:pPr>
                  <w:r>
                    <w:t xml:space="preserve">ORP (mv)</w:t>
                  </w:r>
                </w:p>
              </w:tc>
              <w:tc>
                <w:tcPr/>
                <w:p>
                  <w:pPr>
                    <w:pStyle w:val="Compact"/>
                    <w:jc w:val="left"/>
                    <w:jc w:val="center"/>
                  </w:pPr>
                  <w:r>
                    <w:t xml:space="preserve">41.3 ± 18.6</w:t>
                  </w:r>
                </w:p>
              </w:tc>
              <w:tc>
                <w:tcPr/>
                <w:p>
                  <w:pPr>
                    <w:pStyle w:val="Compact"/>
                    <w:jc w:val="left"/>
                    <w:jc w:val="center"/>
                  </w:pPr>
                  <w:r>
                    <w:t xml:space="preserve">-193.2 ± 248</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SD (cm)</w:t>
                  </w:r>
                </w:p>
              </w:tc>
              <w:tc>
                <w:tcPr/>
                <w:p>
                  <w:pPr>
                    <w:pStyle w:val="Compact"/>
                    <w:jc w:val="left"/>
                    <w:jc w:val="center"/>
                  </w:pPr>
                  <w:r>
                    <w:t xml:space="preserve">157.5 ± 19.1</w:t>
                  </w:r>
                </w:p>
              </w:tc>
              <w:tc>
                <w:tcPr/>
                <w:p>
                  <w:pPr>
                    <w:pStyle w:val="Compact"/>
                    <w:jc w:val="left"/>
                    <w:jc w:val="center"/>
                  </w:pPr>
                  <w:r>
                    <w:t xml:space="preserve">162.4 ± 105.1</w:t>
                  </w:r>
                </w:p>
              </w:tc>
              <w:tc>
                <w:tcPr/>
                <w:p>
                  <w:pPr>
                    <w:pStyle w:val="Compact"/>
                    <w:jc w:val="left"/>
                    <w:jc w:val="center"/>
                  </w:pPr>
                  <w:r>
                    <w:rPr>
                      <w:i/>
                      <w:iCs/>
                    </w:rPr>
                    <w:t xml:space="preserve">p</w:t>
                  </w:r>
                  <w:r>
                    <w:t xml:space="preserve"> </w:t>
                  </w:r>
                  <w:r>
                    <w:t xml:space="preserve">= 0.8748</w:t>
                  </w:r>
                </w:p>
              </w:tc>
            </w:tr>
            <w:tr>
              <w:tc>
                <w:tcPr/>
                <w:p>
                  <w:pPr>
                    <w:pStyle w:val="Compact"/>
                    <w:jc w:val="left"/>
                    <w:jc w:val="center"/>
                  </w:pPr>
                  <w:r>
                    <w:t xml:space="preserve">z</w:t>
                  </w:r>
                  <w:r>
                    <w:rPr>
                      <w:vertAlign w:val="subscript"/>
                    </w:rPr>
                    <w:t xml:space="preserve">mix</w:t>
                  </w:r>
                  <w:r>
                    <w:t xml:space="preserve"> </w:t>
                  </w:r>
                  <w:r>
                    <w:t xml:space="preserve">(m)</w:t>
                  </w:r>
                </w:p>
              </w:tc>
              <w:tc>
                <w:tcPr/>
                <w:p>
                  <w:pPr>
                    <w:pStyle w:val="Compact"/>
                    <w:jc w:val="left"/>
                    <w:jc w:val="center"/>
                  </w:pPr>
                  <w:r>
                    <w:t xml:space="preserve">4.0 ± 0.9</w:t>
                  </w:r>
                </w:p>
              </w:tc>
              <w:tc>
                <w:tcPr/>
                <w:p>
                  <w:pPr>
                    <w:pStyle w:val="Compact"/>
                    <w:jc w:val="left"/>
                    <w:jc w:val="center"/>
                  </w:pPr>
                  <w:r>
                    <w:t xml:space="preserve">4.7 ± 2.8</w:t>
                  </w:r>
                </w:p>
              </w:tc>
              <w:tc>
                <w:tcPr/>
                <w:p>
                  <w:pPr>
                    <w:pStyle w:val="Compact"/>
                    <w:jc w:val="left"/>
                    <w:jc w:val="center"/>
                  </w:pPr>
                  <w:r>
                    <w:rPr>
                      <w:i/>
                      <w:iCs/>
                    </w:rPr>
                    <w:t xml:space="preserve">p =</w:t>
                  </w:r>
                  <w:r>
                    <w:t xml:space="preserve"> </w:t>
                  </w:r>
                  <w:r>
                    <w:t xml:space="preserve">0.7552</w:t>
                  </w:r>
                </w:p>
              </w:tc>
            </w:tr>
            <w:tr>
              <w:tc>
                <w:tcPr/>
                <w:p>
                  <w:pPr>
                    <w:pStyle w:val="Compact"/>
                    <w:jc w:val="left"/>
                    <w:jc w:val="center"/>
                  </w:pPr>
                  <w:r>
                    <w:t xml:space="preserve">z</w:t>
                  </w:r>
                  <w:r>
                    <w:rPr>
                      <w:vertAlign w:val="subscript"/>
                    </w:rPr>
                    <w:t xml:space="preserve">max</w:t>
                  </w:r>
                  <w:r>
                    <w:t xml:space="preserve"> </w:t>
                  </w:r>
                  <w:r>
                    <w:t xml:space="preserve">(m)</w:t>
                  </w:r>
                </w:p>
              </w:tc>
              <w:tc>
                <w:tcPr/>
                <w:p>
                  <w:pPr>
                    <w:pStyle w:val="Compact"/>
                    <w:jc w:val="left"/>
                    <w:jc w:val="center"/>
                  </w:pPr>
                  <w:r>
                    <w:t xml:space="preserve">6.7 ± 2.6</w:t>
                  </w:r>
                </w:p>
              </w:tc>
              <w:tc>
                <w:tcPr/>
                <w:p>
                  <w:pPr>
                    <w:pStyle w:val="Compact"/>
                    <w:jc w:val="left"/>
                    <w:jc w:val="center"/>
                  </w:pPr>
                  <w:r>
                    <w:t xml:space="preserve">6.8 ± 2.1</w:t>
                  </w:r>
                </w:p>
              </w:tc>
              <w:tc>
                <w:tcPr/>
                <w:p>
                  <w:pPr>
                    <w:pStyle w:val="Compact"/>
                    <w:jc w:val="left"/>
                    <w:jc w:val="center"/>
                  </w:pPr>
                  <w:r>
                    <w:rPr>
                      <w:i/>
                      <w:iCs/>
                    </w:rPr>
                    <w:t xml:space="preserve">p</w:t>
                  </w:r>
                  <w:r>
                    <w:t xml:space="preserve"> </w:t>
                  </w:r>
                  <w:r>
                    <w:t xml:space="preserve">= 0.9401</w:t>
                  </w:r>
                </w:p>
              </w:tc>
            </w:tr>
            <w:tr>
              <w:tc>
                <w:tcPr/>
                <w:p>
                  <w:pPr>
                    <w:pStyle w:val="Compact"/>
                    <w:jc w:val="left"/>
                    <w:jc w:val="center"/>
                  </w:pPr>
                  <w:r>
                    <w:t xml:space="preserve">HRT (day)</w:t>
                  </w:r>
                </w:p>
              </w:tc>
              <w:tc>
                <w:tcPr/>
                <w:p>
                  <w:pPr>
                    <w:pStyle w:val="Compact"/>
                    <w:jc w:val="left"/>
                    <w:jc w:val="center"/>
                  </w:pPr>
                  <w:r>
                    <w:t xml:space="preserve">18.0 ± 2.2</w:t>
                  </w:r>
                </w:p>
              </w:tc>
              <w:tc>
                <w:tcPr/>
                <w:p>
                  <w:pPr>
                    <w:pStyle w:val="Compact"/>
                    <w:jc w:val="left"/>
                    <w:jc w:val="center"/>
                  </w:pPr>
                  <w:r>
                    <w:t xml:space="preserve">5.4 ± 0.8</w:t>
                  </w:r>
                </w:p>
              </w:tc>
              <w:tc>
                <w:tcPr/>
                <w:p>
                  <w:pPr>
                    <w:pStyle w:val="Compact"/>
                    <w:jc w:val="left"/>
                    <w:jc w:val="center"/>
                  </w:pPr>
                  <w:r>
                    <w:rPr>
                      <w:i/>
                      <w:iCs/>
                    </w:rPr>
                    <w:t xml:space="preserve">p</w:t>
                  </w:r>
                  <w:r>
                    <w:t xml:space="preserve"> </w:t>
                  </w:r>
                  <w:r>
                    <w:t xml:space="preserve">&lt; 0.0001</w:t>
                  </w:r>
                </w:p>
              </w:tc>
            </w:tr>
          </w:tbl>
          <w:bookmarkEnd w:id="69"/>
          <w:p/>
        </w:tc>
      </w:tr>
    </w:tbl>
    <w:p>
      <w:r>
        <w:br w:type="page"/>
      </w:r>
    </w:p>
    <w:tbl>
      <w:tblPr>
        <w:tblStyle w:val="Table"/>
        <w:tblW w:type="pct" w:w="5000"/>
        <w:tblLayout w:type="fixed"/>
        <w:tblLook w:firstRow="0" w:lastRow="0" w:firstColumn="0" w:lastColumn="0" w:noHBand="0" w:noVBand="0" w:val="0000"/>
      </w:tblPr>
      <w:tblGrid>
        <w:gridCol w:w="7920"/>
      </w:tblGrid>
      <w:tr>
        <w:tc>
          <w:tcPr/>
          <w:bookmarkStart w:id="70" w:name="tbl-refdf"/>
          <w:p>
            <w:pPr>
              <w:jc w:val="center"/>
            </w:pPr>
            <w:pPr>
              <w:jc w:val="start"/>
              <w:spacing w:before="200"/>
              <w:pStyle w:val="ImageCaption"/>
            </w:pPr>
            <w:r>
              <w:t xml:space="preserve">Table 10 The summary of the main cyanobacteria specific growth rates under different culture conditions</w:t>
            </w:r>
          </w:p>
          <w:tbl>
            <w:tblPr>
              <w:tblStyle w:val="Table"/>
              <w:tblW w:type="pct" w:w="5000"/>
              <w:tblLayout w:type="fixed"/>
              <w:tblLook w:firstRow="1" w:lastRow="0" w:firstColumn="0" w:lastColumn="0" w:noHBand="0" w:noVBand="0" w:val="0020"/>
            </w:tblPr>
            <w:tblGrid>
              <w:gridCol w:w="2211"/>
              <w:gridCol w:w="1388"/>
              <w:gridCol w:w="668"/>
              <w:gridCol w:w="617"/>
              <w:gridCol w:w="1028"/>
              <w:gridCol w:w="2005"/>
            </w:tblGrid>
            <w:tr>
              <w:trPr>
                <w:tblHeader w:val="on"/>
              </w:trPr>
              <w:tc>
                <w:tcPr/>
                <w:p>
                  <w:pPr>
                    <w:pStyle w:val="Compact"/>
                    <w:jc w:val="left"/>
                    <w:jc w:val="center"/>
                  </w:pPr>
                  <w:r>
                    <w:t xml:space="preserve">Genus/Strain</w:t>
                  </w:r>
                </w:p>
              </w:tc>
              <w:tc>
                <w:tcPr/>
                <w:p>
                  <w:pPr>
                    <w:pStyle w:val="Compact"/>
                    <w:jc w:val="left"/>
                    <w:jc w:val="center"/>
                  </w:pPr>
                  <w:r>
                    <w:t xml:space="preserve">Nutrient cond.</w:t>
                  </w:r>
                </w:p>
              </w:tc>
              <w:tc>
                <w:tcPr/>
                <w:p>
                  <w:pPr>
                    <w:pStyle w:val="Compact"/>
                    <w:jc w:val="left"/>
                    <w:jc w:val="center"/>
                  </w:pPr>
                  <w:r>
                    <w:t xml:space="preserve">Light (µE)</w:t>
                  </w:r>
                </w:p>
              </w:tc>
              <w:tc>
                <w:tcPr/>
                <w:p>
                  <w:pPr>
                    <w:pStyle w:val="Compact"/>
                    <w:jc w:val="left"/>
                    <w:jc w:val="center"/>
                  </w:pPr>
                  <w:r>
                    <w:t xml:space="preserve">Temp. (°C)</w:t>
                  </w:r>
                </w:p>
              </w:tc>
              <w:tc>
                <w:tcPr/>
                <w:p>
                  <w:pPr>
                    <w:pStyle w:val="Compact"/>
                    <w:jc w:val="left"/>
                    <w:jc w:val="center"/>
                  </w:pPr>
                  <w:r>
                    <w:t xml:space="preserve">Growth rate (d</w:t>
                  </w:r>
                  <w:r>
                    <w:rPr>
                      <w:vertAlign w:val="superscript"/>
                    </w:rPr>
                    <w:t xml:space="preserve">-1</w:t>
                  </w:r>
                  <w:r>
                    <w:t xml:space="preserve">)</w:t>
                  </w:r>
                </w:p>
              </w:tc>
              <w:tc>
                <w:tcPr/>
                <w:p>
                  <w:pPr>
                    <w:pStyle w:val="Compact"/>
                    <w:jc w:val="left"/>
                    <w:jc w:val="center"/>
                  </w:pPr>
                  <w:r>
                    <w:t xml:space="preserve">Ref.</w:t>
                  </w:r>
                </w:p>
              </w:tc>
            </w:tr>
            <w:tr>
              <w:tc>
                <w:tcPr/>
                <w:p>
                  <w:pPr>
                    <w:pStyle w:val="Compact"/>
                    <w:jc w:val="left"/>
                    <w:jc w:val="center"/>
                  </w:pPr>
                  <w:r>
                    <w:rPr>
                      <w:i/>
                      <w:iCs/>
                    </w:rPr>
                    <w:t xml:space="preserve">Aphanizomenon aphanizomenoides</w:t>
                  </w:r>
                </w:p>
              </w:tc>
              <w:tc>
                <w:tcPr/>
                <w:p>
                  <w:pPr>
                    <w:pStyle w:val="Compact"/>
                  </w:pPr>
                </w:p>
              </w:tc>
              <w:tc>
                <w:tcPr/>
                <w:p>
                  <w:pPr>
                    <w:pStyle w:val="Compact"/>
                  </w:pPr>
                </w:p>
              </w:tc>
              <w:tc>
                <w:tcPr/>
                <w:p>
                  <w:pPr>
                    <w:pStyle w:val="Compact"/>
                    <w:jc w:val="left"/>
                    <w:jc w:val="center"/>
                  </w:pPr>
                  <w:r>
                    <w:t xml:space="preserve">28.8</w:t>
                  </w:r>
                </w:p>
              </w:tc>
              <w:tc>
                <w:tcPr/>
                <w:p>
                  <w:pPr>
                    <w:pStyle w:val="Compact"/>
                    <w:jc w:val="left"/>
                    <w:jc w:val="center"/>
                  </w:pPr>
                  <w:r>
                    <w:t xml:space="preserve">0.36</w:t>
                  </w:r>
                </w:p>
              </w:tc>
              <w:tc>
                <w:tcPr/>
                <w:p>
                  <w:pPr>
                    <w:pStyle w:val="Compact"/>
                    <w:jc w:val="left"/>
                    <w:jc w:val="center"/>
                  </w:pPr>
                  <w:r>
                    <w:t xml:space="preserve">(Mehnert et al., 2010)</w:t>
                  </w:r>
                </w:p>
              </w:tc>
            </w:tr>
            <w:tr>
              <w:tc>
                <w:tcPr/>
                <w:p>
                  <w:pPr>
                    <w:pStyle w:val="Compact"/>
                    <w:jc w:val="left"/>
                    <w:jc w:val="center"/>
                  </w:pPr>
                  <w:r>
                    <w:rPr>
                      <w:i/>
                      <w:iCs/>
                    </w:rPr>
                    <w:t xml:space="preserve">Aphanizomenon flos-aquae</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1.11</w:t>
                  </w:r>
                </w:p>
              </w:tc>
              <w:tc>
                <w:tcPr/>
                <w:p>
                  <w:pPr>
                    <w:pStyle w:val="Compact"/>
                    <w:jc w:val="left"/>
                    <w:jc w:val="center"/>
                  </w:pPr>
                  <w:r>
                    <w:t xml:space="preserve">(Foy et al., 1976)</w:t>
                  </w:r>
                </w:p>
              </w:tc>
            </w:tr>
            <w:tr>
              <w:tc>
                <w:tcPr/>
                <w:p>
                  <w:pPr>
                    <w:pStyle w:val="Compact"/>
                    <w:jc w:val="left"/>
                    <w:jc w:val="center"/>
                  </w:pPr>
                  <w:r>
                    <w:rPr>
                      <w:i/>
                      <w:iCs/>
                    </w:rPr>
                    <w:t xml:space="preserve">Aphanizomenon flos-aquae</w:t>
                  </w:r>
                </w:p>
              </w:tc>
              <w:tc>
                <w:tcPr/>
                <w:p>
                  <w:pPr>
                    <w:pStyle w:val="Compact"/>
                  </w:pPr>
                </w:p>
              </w:tc>
              <w:tc>
                <w:tcPr/>
                <w:p>
                  <w:pPr>
                    <w:pStyle w:val="Compact"/>
                  </w:pPr>
                </w:p>
              </w:tc>
              <w:tc>
                <w:tcPr/>
                <w:p>
                  <w:pPr>
                    <w:pStyle w:val="Compact"/>
                    <w:jc w:val="left"/>
                    <w:jc w:val="center"/>
                  </w:pPr>
                  <w:r>
                    <w:t xml:space="preserve">22.0</w:t>
                  </w:r>
                </w:p>
              </w:tc>
              <w:tc>
                <w:tcPr/>
                <w:p>
                  <w:pPr>
                    <w:pStyle w:val="Compact"/>
                    <w:jc w:val="left"/>
                    <w:jc w:val="center"/>
                  </w:pPr>
                  <w:r>
                    <w:t xml:space="preserve">0.16</w:t>
                  </w:r>
                </w:p>
              </w:tc>
              <w:tc>
                <w:tcPr/>
                <w:p>
                  <w:pPr>
                    <w:pStyle w:val="Compact"/>
                    <w:jc w:val="left"/>
                    <w:jc w:val="center"/>
                  </w:pPr>
                  <w:r>
                    <w:t xml:space="preserve">(Lehtimaki et al., 1997)</w:t>
                  </w:r>
                </w:p>
              </w:tc>
            </w:tr>
            <w:tr>
              <w:tc>
                <w:tcPr/>
                <w:p>
                  <w:pPr>
                    <w:pStyle w:val="Compact"/>
                    <w:jc w:val="left"/>
                    <w:jc w:val="center"/>
                  </w:pPr>
                  <w:r>
                    <w:rPr>
                      <w:i/>
                      <w:iCs/>
                    </w:rPr>
                    <w:t xml:space="preserve">Aphanizomenon flos-aquae</w:t>
                  </w:r>
                </w:p>
              </w:tc>
              <w:tc>
                <w:tcPr/>
                <w:p>
                  <w:pPr>
                    <w:pStyle w:val="Compact"/>
                  </w:pPr>
                </w:p>
              </w:tc>
              <w:tc>
                <w:tcPr/>
                <w:p>
                  <w:pPr>
                    <w:pStyle w:val="Compact"/>
                  </w:pPr>
                </w:p>
              </w:tc>
              <w:tc>
                <w:tcPr/>
                <w:p>
                  <w:pPr>
                    <w:pStyle w:val="Compact"/>
                    <w:jc w:val="left"/>
                    <w:jc w:val="center"/>
                  </w:pPr>
                  <w:r>
                    <w:t xml:space="preserve">24.7</w:t>
                  </w:r>
                </w:p>
              </w:tc>
              <w:tc>
                <w:tcPr/>
                <w:p>
                  <w:pPr>
                    <w:pStyle w:val="Compact"/>
                    <w:jc w:val="left"/>
                    <w:jc w:val="center"/>
                  </w:pPr>
                  <w:r>
                    <w:t xml:space="preserve">0.27</w:t>
                  </w:r>
                </w:p>
              </w:tc>
              <w:tc>
                <w:tcPr/>
                <w:p>
                  <w:pPr>
                    <w:pStyle w:val="Compact"/>
                    <w:jc w:val="left"/>
                    <w:jc w:val="center"/>
                  </w:pPr>
                  <w:r>
                    <w:t xml:space="preserve">(Mehnert et al., 2010)</w:t>
                  </w:r>
                </w:p>
              </w:tc>
            </w:tr>
            <w:tr>
              <w:tc>
                <w:tcPr/>
                <w:p>
                  <w:pPr>
                    <w:pStyle w:val="Compact"/>
                    <w:jc w:val="left"/>
                    <w:jc w:val="center"/>
                  </w:pPr>
                  <w:r>
                    <w:rPr>
                      <w:i/>
                      <w:iCs/>
                    </w:rPr>
                    <w:t xml:space="preserve">Aphanizomenon flos-aquae</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0.22</w:t>
                  </w:r>
                </w:p>
              </w:tc>
              <w:tc>
                <w:tcPr/>
                <w:p>
                  <w:pPr>
                    <w:pStyle w:val="Compact"/>
                    <w:jc w:val="left"/>
                    <w:jc w:val="center"/>
                  </w:pPr>
                  <w:r>
                    <w:t xml:space="preserve">(Rapala et al., 1993)</w:t>
                  </w:r>
                </w:p>
              </w:tc>
            </w:tr>
            <w:tr>
              <w:tc>
                <w:tcPr/>
                <w:p>
                  <w:pPr>
                    <w:pStyle w:val="Compact"/>
                    <w:jc w:val="left"/>
                    <w:jc w:val="center"/>
                  </w:pPr>
                  <w:r>
                    <w:rPr>
                      <w:i/>
                      <w:iCs/>
                    </w:rPr>
                    <w:t xml:space="preserve">Aphanizomenon flos-aquae</w:t>
                  </w:r>
                </w:p>
              </w:tc>
              <w:tc>
                <w:tcPr/>
                <w:p>
                  <w:pPr>
                    <w:pStyle w:val="Compact"/>
                  </w:pPr>
                </w:p>
              </w:tc>
              <w:tc>
                <w:tcPr/>
                <w:p>
                  <w:pPr>
                    <w:pStyle w:val="Compact"/>
                  </w:pPr>
                </w:p>
              </w:tc>
              <w:tc>
                <w:tcPr/>
                <w:p>
                  <w:pPr>
                    <w:pStyle w:val="Compact"/>
                    <w:jc w:val="left"/>
                    <w:jc w:val="center"/>
                  </w:pPr>
                  <w:r>
                    <w:t xml:space="preserve">23.0</w:t>
                  </w:r>
                </w:p>
              </w:tc>
              <w:tc>
                <w:tcPr/>
                <w:p>
                  <w:pPr>
                    <w:pStyle w:val="Compact"/>
                    <w:jc w:val="left"/>
                    <w:jc w:val="center"/>
                  </w:pPr>
                  <w:r>
                    <w:t xml:space="preserve">0.90</w:t>
                  </w:r>
                </w:p>
              </w:tc>
              <w:tc>
                <w:tcPr/>
                <w:p>
                  <w:pPr>
                    <w:pStyle w:val="Compact"/>
                    <w:jc w:val="left"/>
                    <w:jc w:val="center"/>
                  </w:pPr>
                  <w:r>
                    <w:t xml:space="preserve">(Tsujimura et al., 2001)</w:t>
                  </w:r>
                </w:p>
              </w:tc>
            </w:tr>
            <w:tr>
              <w:tc>
                <w:tcPr/>
                <w:p>
                  <w:pPr>
                    <w:pStyle w:val="Compact"/>
                    <w:jc w:val="left"/>
                    <w:jc w:val="center"/>
                  </w:pPr>
                  <w:r>
                    <w:rPr>
                      <w:i/>
                      <w:iCs/>
                    </w:rPr>
                    <w:t xml:space="preserve">Aphanizomenon gracile</w:t>
                  </w:r>
                </w:p>
              </w:tc>
              <w:tc>
                <w:tcPr/>
                <w:p>
                  <w:pPr>
                    <w:pStyle w:val="Compact"/>
                  </w:pPr>
                </w:p>
              </w:tc>
              <w:tc>
                <w:tcPr/>
                <w:p>
                  <w:pPr>
                    <w:pStyle w:val="Compact"/>
                  </w:pPr>
                </w:p>
              </w:tc>
              <w:tc>
                <w:tcPr/>
                <w:p>
                  <w:pPr>
                    <w:pStyle w:val="Compact"/>
                    <w:jc w:val="left"/>
                    <w:jc w:val="center"/>
                  </w:pPr>
                  <w:r>
                    <w:t xml:space="preserve">27.1</w:t>
                  </w:r>
                </w:p>
              </w:tc>
              <w:tc>
                <w:tcPr/>
                <w:p>
                  <w:pPr>
                    <w:pStyle w:val="Compact"/>
                    <w:jc w:val="left"/>
                    <w:jc w:val="center"/>
                  </w:pPr>
                  <w:r>
                    <w:t xml:space="preserve">0.29</w:t>
                  </w:r>
                </w:p>
              </w:tc>
              <w:tc>
                <w:tcPr/>
                <w:p>
                  <w:pPr>
                    <w:pStyle w:val="Compact"/>
                    <w:jc w:val="left"/>
                    <w:jc w:val="center"/>
                  </w:pPr>
                  <w:r>
                    <w:t xml:space="preserve">(Mehnert et al., 2010)</w:t>
                  </w:r>
                </w:p>
              </w:tc>
            </w:tr>
            <w:tr>
              <w:tc>
                <w:tcPr/>
                <w:p>
                  <w:pPr>
                    <w:pStyle w:val="Compact"/>
                    <w:jc w:val="left"/>
                    <w:jc w:val="center"/>
                  </w:pPr>
                  <w:r>
                    <w:rPr>
                      <w:i/>
                      <w:iCs/>
                    </w:rPr>
                    <w:t xml:space="preserve">Aphanizomenon gracile</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0.42</w:t>
                  </w:r>
                </w:p>
              </w:tc>
              <w:tc>
                <w:tcPr/>
                <w:p>
                  <w:pPr>
                    <w:pStyle w:val="Compact"/>
                    <w:jc w:val="left"/>
                    <w:jc w:val="center"/>
                  </w:pPr>
                  <w:r>
                    <w:t xml:space="preserve">(Lürling et al., 2013)</w:t>
                  </w:r>
                </w:p>
              </w:tc>
            </w:tr>
            <w:tr>
              <w:tc>
                <w:tcPr/>
                <w:p>
                  <w:pPr>
                    <w:pStyle w:val="Compact"/>
                    <w:jc w:val="left"/>
                    <w:jc w:val="center"/>
                  </w:pPr>
                  <w:r>
                    <w:rPr>
                      <w:i/>
                      <w:iCs/>
                    </w:rPr>
                    <w:t xml:space="preserve">Aphanizomenon gracile</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0.58</w:t>
                  </w:r>
                </w:p>
              </w:tc>
              <w:tc>
                <w:tcPr/>
                <w:p>
                  <w:pPr>
                    <w:pStyle w:val="Compact"/>
                    <w:jc w:val="left"/>
                    <w:jc w:val="center"/>
                  </w:pPr>
                  <w:r>
                    <w:t xml:space="preserve">(Lürling et al., 2013)</w:t>
                  </w:r>
                </w:p>
              </w:tc>
            </w:tr>
            <w:tr>
              <w:tc>
                <w:tcPr/>
                <w:p>
                  <w:pPr>
                    <w:pStyle w:val="Compact"/>
                    <w:jc w:val="left"/>
                    <w:jc w:val="center"/>
                  </w:pPr>
                  <w:r>
                    <w:rPr>
                      <w:i/>
                      <w:iCs/>
                    </w:rPr>
                    <w:t xml:space="preserve">Aphanizomenon gracile</w:t>
                  </w:r>
                </w:p>
              </w:tc>
              <w:tc>
                <w:tcPr/>
                <w:p>
                  <w:pPr>
                    <w:pStyle w:val="Compact"/>
                  </w:pPr>
                </w:p>
              </w:tc>
              <w:tc>
                <w:tcPr/>
                <w:p>
                  <w:pPr>
                    <w:pStyle w:val="Compact"/>
                  </w:pPr>
                </w:p>
              </w:tc>
              <w:tc>
                <w:tcPr/>
                <w:p>
                  <w:pPr>
                    <w:pStyle w:val="Compact"/>
                    <w:jc w:val="left"/>
                    <w:jc w:val="center"/>
                  </w:pPr>
                  <w:r>
                    <w:t xml:space="preserve">37.5</w:t>
                  </w:r>
                </w:p>
              </w:tc>
              <w:tc>
                <w:tcPr/>
                <w:p>
                  <w:pPr>
                    <w:pStyle w:val="Compact"/>
                    <w:jc w:val="left"/>
                    <w:jc w:val="center"/>
                  </w:pPr>
                  <w:r>
                    <w:t xml:space="preserve">0.81</w:t>
                  </w:r>
                </w:p>
              </w:tc>
              <w:tc>
                <w:tcPr/>
                <w:p>
                  <w:pPr>
                    <w:pStyle w:val="Compact"/>
                    <w:jc w:val="left"/>
                    <w:jc w:val="center"/>
                  </w:pPr>
                  <w:r>
                    <w:t xml:space="preserve">(Lürling et al., 2013)</w:t>
                  </w:r>
                </w:p>
              </w:tc>
            </w:tr>
            <w:tr>
              <w:tc>
                <w:tcPr/>
                <w:p>
                  <w:pPr>
                    <w:pStyle w:val="Compact"/>
                    <w:jc w:val="left"/>
                    <w:jc w:val="center"/>
                  </w:pPr>
                  <w:r>
                    <w:rPr>
                      <w:i/>
                      <w:iCs/>
                    </w:rPr>
                    <w:t xml:space="preserve">Aphanizomenon gracile</w:t>
                  </w:r>
                </w:p>
              </w:tc>
              <w:tc>
                <w:tcPr/>
                <w:p>
                  <w:pPr>
                    <w:pStyle w:val="Compact"/>
                  </w:pPr>
                </w:p>
              </w:tc>
              <w:tc>
                <w:tcPr/>
                <w:p>
                  <w:pPr>
                    <w:pStyle w:val="Compact"/>
                  </w:pPr>
                </w:p>
              </w:tc>
              <w:tc>
                <w:tcPr/>
                <w:p>
                  <w:pPr>
                    <w:pStyle w:val="Compact"/>
                    <w:jc w:val="left"/>
                    <w:jc w:val="center"/>
                  </w:pPr>
                  <w:r>
                    <w:t xml:space="preserve">12.5</w:t>
                  </w:r>
                </w:p>
              </w:tc>
              <w:tc>
                <w:tcPr/>
                <w:p>
                  <w:pPr>
                    <w:pStyle w:val="Compact"/>
                    <w:jc w:val="left"/>
                    <w:jc w:val="center"/>
                  </w:pPr>
                  <w:r>
                    <w:t xml:space="preserve">0.75</w:t>
                  </w:r>
                </w:p>
              </w:tc>
              <w:tc>
                <w:tcPr/>
                <w:p>
                  <w:pPr>
                    <w:pStyle w:val="Compact"/>
                    <w:jc w:val="left"/>
                    <w:jc w:val="center"/>
                  </w:pPr>
                  <w:r>
                    <w:t xml:space="preserve">(Lürling et al., 2013)</w:t>
                  </w:r>
                </w:p>
              </w:tc>
            </w:tr>
            <w:tr>
              <w:tc>
                <w:tcPr/>
                <w:p>
                  <w:pPr>
                    <w:pStyle w:val="Compact"/>
                    <w:jc w:val="left"/>
                    <w:jc w:val="center"/>
                  </w:pPr>
                  <w:r>
                    <w:rPr>
                      <w:i/>
                      <w:iCs/>
                    </w:rPr>
                    <w:t xml:space="preserve">Aphanizomenon gracile</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0.87</w:t>
                  </w:r>
                </w:p>
              </w:tc>
              <w:tc>
                <w:tcPr/>
                <w:p>
                  <w:pPr>
                    <w:pStyle w:val="Compact"/>
                    <w:jc w:val="left"/>
                    <w:jc w:val="center"/>
                  </w:pPr>
                  <w:r>
                    <w:t xml:space="preserve">(Lürling et al., 2013)</w:t>
                  </w:r>
                </w:p>
              </w:tc>
            </w:tr>
            <w:tr>
              <w:tc>
                <w:tcPr/>
                <w:p>
                  <w:pPr>
                    <w:pStyle w:val="Compact"/>
                    <w:jc w:val="left"/>
                    <w:jc w:val="center"/>
                  </w:pPr>
                  <w:r>
                    <w:rPr>
                      <w:i/>
                      <w:iCs/>
                    </w:rPr>
                    <w:t xml:space="preserve">Aphanizomenon gracile</w:t>
                  </w:r>
                </w:p>
              </w:tc>
              <w:tc>
                <w:tcPr/>
                <w:p>
                  <w:pPr>
                    <w:pStyle w:val="Compact"/>
                  </w:pPr>
                </w:p>
              </w:tc>
              <w:tc>
                <w:tcPr/>
                <w:p>
                  <w:pPr>
                    <w:pStyle w:val="Compact"/>
                  </w:pPr>
                </w:p>
              </w:tc>
              <w:tc>
                <w:tcPr/>
                <w:p>
                  <w:pPr>
                    <w:pStyle w:val="Compact"/>
                    <w:jc w:val="left"/>
                    <w:jc w:val="center"/>
                  </w:pPr>
                  <w:r>
                    <w:t xml:space="preserve">37.5</w:t>
                  </w:r>
                </w:p>
              </w:tc>
              <w:tc>
                <w:tcPr/>
                <w:p>
                  <w:pPr>
                    <w:pStyle w:val="Compact"/>
                    <w:jc w:val="left"/>
                    <w:jc w:val="center"/>
                  </w:pPr>
                  <w:r>
                    <w:t xml:space="preserve">0.85</w:t>
                  </w:r>
                </w:p>
              </w:tc>
              <w:tc>
                <w:tcPr/>
                <w:p>
                  <w:pPr>
                    <w:pStyle w:val="Compact"/>
                    <w:jc w:val="left"/>
                    <w:jc w:val="center"/>
                  </w:pPr>
                  <w:r>
                    <w:t xml:space="preserve">(Lürling et al., 2013)</w:t>
                  </w:r>
                </w:p>
              </w:tc>
            </w:tr>
            <w:tr>
              <w:tc>
                <w:tcPr/>
                <w:p>
                  <w:pPr>
                    <w:pStyle w:val="Compact"/>
                    <w:jc w:val="left"/>
                    <w:jc w:val="center"/>
                  </w:pPr>
                  <w:r>
                    <w:rPr>
                      <w:i/>
                      <w:iCs/>
                    </w:rPr>
                    <w:t xml:space="preserve">Aphanizomenon ovalisporum</w:t>
                  </w:r>
                </w:p>
              </w:tc>
              <w:tc>
                <w:tcPr/>
                <w:p>
                  <w:pPr>
                    <w:pStyle w:val="Compact"/>
                  </w:pPr>
                </w:p>
              </w:tc>
              <w:tc>
                <w:tcPr/>
                <w:p>
                  <w:pPr>
                    <w:pStyle w:val="Compact"/>
                  </w:pPr>
                </w:p>
              </w:tc>
              <w:tc>
                <w:tcPr/>
                <w:p>
                  <w:pPr>
                    <w:pStyle w:val="Compact"/>
                    <w:jc w:val="left"/>
                    <w:jc w:val="center"/>
                  </w:pPr>
                  <w:r>
                    <w:t xml:space="preserve">32.8</w:t>
                  </w:r>
                </w:p>
              </w:tc>
              <w:tc>
                <w:tcPr/>
                <w:p>
                  <w:pPr>
                    <w:pStyle w:val="Compact"/>
                    <w:jc w:val="left"/>
                    <w:jc w:val="center"/>
                  </w:pPr>
                  <w:r>
                    <w:t xml:space="preserve">0.36</w:t>
                  </w:r>
                </w:p>
              </w:tc>
              <w:tc>
                <w:tcPr/>
                <w:p>
                  <w:pPr>
                    <w:pStyle w:val="Compact"/>
                    <w:jc w:val="left"/>
                    <w:jc w:val="center"/>
                  </w:pPr>
                  <w:r>
                    <w:t xml:space="preserve">(Mehnert et al., 2010)</w:t>
                  </w:r>
                </w:p>
              </w:tc>
            </w:tr>
            <w:tr>
              <w:tc>
                <w:tcPr/>
                <w:p>
                  <w:pPr>
                    <w:pStyle w:val="Compact"/>
                    <w:jc w:val="left"/>
                    <w:jc w:val="center"/>
                  </w:pPr>
                  <w:r>
                    <w:rPr>
                      <w:i/>
                      <w:iCs/>
                    </w:rPr>
                    <w:t xml:space="preserve">Aphanizomenon</w:t>
                  </w:r>
                  <w:r>
                    <w:t xml:space="preserve"> </w:t>
                  </w:r>
                  <w:r>
                    <w:t xml:space="preserve">sp.</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0.28</w:t>
                  </w:r>
                </w:p>
              </w:tc>
              <w:tc>
                <w:tcPr/>
                <w:p>
                  <w:pPr>
                    <w:pStyle w:val="Compact"/>
                    <w:jc w:val="left"/>
                    <w:jc w:val="center"/>
                  </w:pPr>
                  <w:r>
                    <w:t xml:space="preserve">(Konopka and Brock, 1978)</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0.28</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22.0</w:t>
                  </w:r>
                </w:p>
              </w:tc>
              <w:tc>
                <w:tcPr/>
                <w:p>
                  <w:pPr>
                    <w:pStyle w:val="Compact"/>
                    <w:jc w:val="left"/>
                    <w:jc w:val="center"/>
                  </w:pPr>
                  <w:r>
                    <w:t xml:space="preserve">25.0</w:t>
                  </w:r>
                </w:p>
              </w:tc>
              <w:tc>
                <w:tcPr/>
                <w:p>
                  <w:pPr>
                    <w:pStyle w:val="Compact"/>
                    <w:jc w:val="left"/>
                    <w:jc w:val="center"/>
                  </w:pPr>
                  <w:r>
                    <w:t xml:space="preserve">0.45</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26.0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42.0</w:t>
                  </w:r>
                </w:p>
              </w:tc>
              <w:tc>
                <w:tcPr/>
                <w:p>
                  <w:pPr>
                    <w:pStyle w:val="Compact"/>
                    <w:jc w:val="left"/>
                    <w:jc w:val="center"/>
                  </w:pPr>
                  <w:r>
                    <w:t xml:space="preserve">25.0</w:t>
                  </w:r>
                </w:p>
              </w:tc>
              <w:tc>
                <w:tcPr/>
                <w:p>
                  <w:pPr>
                    <w:pStyle w:val="Compact"/>
                    <w:jc w:val="left"/>
                    <w:jc w:val="center"/>
                  </w:pPr>
                  <w:r>
                    <w:t xml:space="preserve">0.57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0.60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0.60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70.0</w:t>
                  </w:r>
                </w:p>
              </w:tc>
              <w:tc>
                <w:tcPr/>
                <w:p>
                  <w:pPr>
                    <w:pStyle w:val="Compact"/>
                    <w:jc w:val="left"/>
                    <w:jc w:val="center"/>
                  </w:pPr>
                  <w:r>
                    <w:t xml:space="preserve">25.0</w:t>
                  </w:r>
                </w:p>
              </w:tc>
              <w:tc>
                <w:tcPr/>
                <w:p>
                  <w:pPr>
                    <w:pStyle w:val="Compact"/>
                    <w:jc w:val="left"/>
                    <w:jc w:val="center"/>
                  </w:pPr>
                  <w:r>
                    <w:t xml:space="preserve">0.65</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90.0</w:t>
                  </w:r>
                </w:p>
              </w:tc>
              <w:tc>
                <w:tcPr/>
                <w:p>
                  <w:pPr>
                    <w:pStyle w:val="Compact"/>
                    <w:jc w:val="left"/>
                    <w:jc w:val="center"/>
                  </w:pPr>
                  <w:r>
                    <w:t xml:space="preserve">25.0</w:t>
                  </w:r>
                </w:p>
              </w:tc>
              <w:tc>
                <w:tcPr/>
                <w:p>
                  <w:pPr>
                    <w:pStyle w:val="Compact"/>
                    <w:jc w:val="left"/>
                    <w:jc w:val="center"/>
                  </w:pPr>
                  <w:r>
                    <w:t xml:space="preserve">0.66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110.0</w:t>
                  </w:r>
                </w:p>
              </w:tc>
              <w:tc>
                <w:tcPr/>
                <w:p>
                  <w:pPr>
                    <w:pStyle w:val="Compact"/>
                    <w:jc w:val="left"/>
                    <w:jc w:val="center"/>
                  </w:pPr>
                  <w:r>
                    <w:t xml:space="preserve">25.0</w:t>
                  </w:r>
                </w:p>
              </w:tc>
              <w:tc>
                <w:tcPr/>
                <w:p>
                  <w:pPr>
                    <w:pStyle w:val="Compact"/>
                    <w:jc w:val="left"/>
                    <w:jc w:val="center"/>
                  </w:pPr>
                  <w:r>
                    <w:t xml:space="preserve">0.69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145.0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175.0</w:t>
                  </w:r>
                </w:p>
              </w:tc>
              <w:tc>
                <w:tcPr/>
                <w:p>
                  <w:pPr>
                    <w:pStyle w:val="Compact"/>
                    <w:jc w:val="left"/>
                    <w:jc w:val="center"/>
                  </w:pPr>
                  <w:r>
                    <w:t xml:space="preserve">25.0</w:t>
                  </w:r>
                </w:p>
              </w:tc>
              <w:tc>
                <w:tcPr/>
                <w:p>
                  <w:pPr>
                    <w:pStyle w:val="Compact"/>
                    <w:jc w:val="left"/>
                    <w:jc w:val="center"/>
                  </w:pPr>
                  <w:r>
                    <w:t xml:space="preserve">0.65</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220.0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295.0</w:t>
                  </w:r>
                </w:p>
              </w:tc>
              <w:tc>
                <w:tcPr/>
                <w:p>
                  <w:pPr>
                    <w:pStyle w:val="Compact"/>
                    <w:jc w:val="left"/>
                    <w:jc w:val="center"/>
                  </w:pPr>
                  <w:r>
                    <w:t xml:space="preserve">25.0</w:t>
                  </w:r>
                </w:p>
              </w:tc>
              <w:tc>
                <w:tcPr/>
                <w:p>
                  <w:pPr>
                    <w:pStyle w:val="Compact"/>
                    <w:jc w:val="left"/>
                    <w:jc w:val="center"/>
                  </w:pPr>
                  <w:r>
                    <w:t xml:space="preserve">0.61</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390.0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0.53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0.44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0.60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0.62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0.69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0.18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0.15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0.18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CIRF-01</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0.40</w:t>
                  </w:r>
                </w:p>
              </w:tc>
              <w:tc>
                <w:tcPr/>
                <w:p>
                  <w:pPr>
                    <w:pStyle w:val="Compact"/>
                    <w:jc w:val="left"/>
                    <w:jc w:val="center"/>
                  </w:pPr>
                  <w:r>
                    <w:t xml:space="preserve">(Lürling et al., 2013)</w:t>
                  </w:r>
                </w:p>
              </w:tc>
            </w:tr>
            <w:tr>
              <w:tc>
                <w:tcPr/>
                <w:p>
                  <w:pPr>
                    <w:pStyle w:val="Compact"/>
                    <w:jc w:val="left"/>
                    <w:jc w:val="center"/>
                  </w:pPr>
                  <w:r>
                    <w:rPr>
                      <w:i/>
                      <w:iCs/>
                    </w:rPr>
                    <w:t xml:space="preserve">Cylindrospermopsis raciborskii CIRF-01</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0.74</w:t>
                  </w:r>
                </w:p>
              </w:tc>
              <w:tc>
                <w:tcPr/>
                <w:p>
                  <w:pPr>
                    <w:pStyle w:val="Compact"/>
                    <w:jc w:val="left"/>
                    <w:jc w:val="center"/>
                  </w:pPr>
                  <w:r>
                    <w:t xml:space="preserve">(Lürling et al., 2013)</w:t>
                  </w:r>
                </w:p>
              </w:tc>
            </w:tr>
            <w:tr>
              <w:tc>
                <w:tcPr/>
                <w:p>
                  <w:pPr>
                    <w:pStyle w:val="Compact"/>
                    <w:jc w:val="left"/>
                    <w:jc w:val="center"/>
                  </w:pPr>
                  <w:r>
                    <w:rPr>
                      <w:i/>
                      <w:iCs/>
                    </w:rPr>
                    <w:t xml:space="preserve">Cylindrospermopsis raciborskii CIRF-01</w:t>
                  </w:r>
                </w:p>
              </w:tc>
              <w:tc>
                <w:tcPr/>
                <w:p>
                  <w:pPr>
                    <w:pStyle w:val="Compact"/>
                  </w:pPr>
                </w:p>
              </w:tc>
              <w:tc>
                <w:tcPr/>
                <w:p>
                  <w:pPr>
                    <w:pStyle w:val="Compact"/>
                  </w:pPr>
                </w:p>
              </w:tc>
              <w:tc>
                <w:tcPr/>
                <w:p>
                  <w:pPr>
                    <w:pStyle w:val="Compact"/>
                    <w:jc w:val="left"/>
                    <w:jc w:val="center"/>
                  </w:pPr>
                  <w:r>
                    <w:t xml:space="preserve">22.5</w:t>
                  </w:r>
                </w:p>
              </w:tc>
              <w:tc>
                <w:tcPr/>
                <w:p>
                  <w:pPr>
                    <w:pStyle w:val="Compact"/>
                    <w:jc w:val="left"/>
                    <w:jc w:val="center"/>
                  </w:pPr>
                  <w:r>
                    <w:t xml:space="preserve">0.81</w:t>
                  </w:r>
                </w:p>
              </w:tc>
              <w:tc>
                <w:tcPr/>
                <w:p>
                  <w:pPr>
                    <w:pStyle w:val="Compact"/>
                    <w:jc w:val="left"/>
                    <w:jc w:val="center"/>
                  </w:pPr>
                  <w:r>
                    <w:t xml:space="preserve">(Lürling et al., 2013)</w:t>
                  </w:r>
                </w:p>
              </w:tc>
            </w:tr>
            <w:tr>
              <w:tc>
                <w:tcPr/>
                <w:p>
                  <w:pPr>
                    <w:pStyle w:val="Compact"/>
                    <w:jc w:val="left"/>
                    <w:jc w:val="center"/>
                  </w:pPr>
                  <w:r>
                    <w:rPr>
                      <w:i/>
                      <w:iCs/>
                    </w:rPr>
                    <w:t xml:space="preserve">Cylindrospermopsis raciborskii CIRF-01</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NA</w:t>
                  </w:r>
                </w:p>
              </w:tc>
              <w:tc>
                <w:tcPr/>
                <w:p>
                  <w:pPr>
                    <w:pStyle w:val="Compact"/>
                    <w:jc w:val="left"/>
                    <w:jc w:val="center"/>
                  </w:pPr>
                  <w:r>
                    <w:t xml:space="preserve">(Lürling et al., 2013)</w:t>
                  </w:r>
                </w:p>
              </w:tc>
            </w:tr>
            <w:tr>
              <w:tc>
                <w:tcPr/>
                <w:p>
                  <w:pPr>
                    <w:pStyle w:val="Compact"/>
                    <w:jc w:val="left"/>
                    <w:jc w:val="center"/>
                  </w:pPr>
                  <w:r>
                    <w:rPr>
                      <w:i/>
                      <w:iCs/>
                    </w:rPr>
                    <w:t xml:space="preserve">Cylindrospermopsis raciborskii CIRF-01</w:t>
                  </w:r>
                </w:p>
              </w:tc>
              <w:tc>
                <w:tcPr/>
                <w:p>
                  <w:pPr>
                    <w:pStyle w:val="Compact"/>
                  </w:pPr>
                </w:p>
              </w:tc>
              <w:tc>
                <w:tcPr/>
                <w:p>
                  <w:pPr>
                    <w:pStyle w:val="Compact"/>
                  </w:pPr>
                </w:p>
              </w:tc>
              <w:tc>
                <w:tcPr/>
                <w:p>
                  <w:pPr>
                    <w:pStyle w:val="Compact"/>
                    <w:jc w:val="left"/>
                    <w:jc w:val="center"/>
                  </w:pPr>
                  <w:r>
                    <w:t xml:space="preserve">40.0</w:t>
                  </w:r>
                </w:p>
              </w:tc>
              <w:tc>
                <w:tcPr/>
                <w:p>
                  <w:pPr>
                    <w:pStyle w:val="Compact"/>
                    <w:jc w:val="left"/>
                    <w:jc w:val="center"/>
                  </w:pPr>
                  <w:r>
                    <w:t xml:space="preserve">0.79</w:t>
                  </w:r>
                </w:p>
              </w:tc>
              <w:tc>
                <w:tcPr/>
                <w:p>
                  <w:pPr>
                    <w:pStyle w:val="Compact"/>
                    <w:jc w:val="left"/>
                    <w:jc w:val="center"/>
                  </w:pPr>
                  <w:r>
                    <w:t xml:space="preserve">(Lürling et al., 2013)</w:t>
                  </w:r>
                </w:p>
              </w:tc>
            </w:tr>
            <w:tr>
              <w:tc>
                <w:tcPr/>
                <w:p>
                  <w:pPr>
                    <w:pStyle w:val="Compact"/>
                    <w:jc w:val="left"/>
                    <w:jc w:val="center"/>
                  </w:pPr>
                  <w:r>
                    <w:rPr>
                      <w:i/>
                      <w:iCs/>
                    </w:rPr>
                    <w:t xml:space="preserve">Cylindrospermopsis raciborskii CIRF-01</w:t>
                  </w:r>
                </w:p>
              </w:tc>
              <w:tc>
                <w:tcPr/>
                <w:p>
                  <w:pPr>
                    <w:pStyle w:val="Compact"/>
                  </w:pPr>
                </w:p>
              </w:tc>
              <w:tc>
                <w:tcPr/>
                <w:p>
                  <w:pPr>
                    <w:pStyle w:val="Compact"/>
                  </w:pPr>
                </w:p>
              </w:tc>
              <w:tc>
                <w:tcPr/>
                <w:p>
                  <w:pPr>
                    <w:pStyle w:val="Compact"/>
                    <w:jc w:val="left"/>
                    <w:jc w:val="center"/>
                  </w:pPr>
                  <w:r>
                    <w:t xml:space="preserve">15.0</w:t>
                  </w:r>
                </w:p>
              </w:tc>
              <w:tc>
                <w:tcPr/>
                <w:p>
                  <w:pPr>
                    <w:pStyle w:val="Compact"/>
                    <w:jc w:val="left"/>
                    <w:jc w:val="center"/>
                  </w:pPr>
                  <w:r>
                    <w:t xml:space="preserve">0.72</w:t>
                  </w:r>
                </w:p>
              </w:tc>
              <w:tc>
                <w:tcPr/>
                <w:p>
                  <w:pPr>
                    <w:pStyle w:val="Compact"/>
                    <w:jc w:val="left"/>
                    <w:jc w:val="center"/>
                  </w:pPr>
                  <w:r>
                    <w:t xml:space="preserve">(Lürling et al., 2013)</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0.56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0.98</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1.04</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0.87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0.63</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1.20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1.28</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0.92</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0.49</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0.76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0.80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0.81</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0.41</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1.09</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1.00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0.81</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0.47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1.30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1.07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0.87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0.33</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0.87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0.95</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0.75</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0.00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0.45</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0.54</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0.45</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0.00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0.59</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0.46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0.00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0.20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0.54</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0.46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0.51</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0.87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1.06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0.71</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0.79</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1.23</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1.17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0.93</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0.52</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0.94</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0.48</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0.91</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1.22</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1.11</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1.07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1.28</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1.40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0.78</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1.16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0.81</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0.86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1.13</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0.90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0.38</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1.15</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1.32</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1.03</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0.57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0.97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0.75</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0.45</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1.18</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1.18</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0.50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1.39</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1.49</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0.39</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0.69</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0.96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0.77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11.0</w:t>
                  </w:r>
                </w:p>
              </w:tc>
              <w:tc>
                <w:tcPr/>
                <w:p>
                  <w:pPr>
                    <w:pStyle w:val="Compact"/>
                    <w:jc w:val="left"/>
                    <w:jc w:val="center"/>
                  </w:pPr>
                  <w:r>
                    <w:t xml:space="preserve">25.0</w:t>
                  </w:r>
                </w:p>
              </w:tc>
              <w:tc>
                <w:tcPr/>
                <w:p>
                  <w:pPr>
                    <w:pStyle w:val="Compact"/>
                    <w:jc w:val="left"/>
                    <w:jc w:val="center"/>
                  </w:pPr>
                  <w:r>
                    <w:t xml:space="preserve">0.33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22.0</w:t>
                  </w:r>
                </w:p>
              </w:tc>
              <w:tc>
                <w:tcPr/>
                <w:p>
                  <w:pPr>
                    <w:pStyle w:val="Compact"/>
                    <w:jc w:val="left"/>
                    <w:jc w:val="center"/>
                  </w:pPr>
                  <w:r>
                    <w:t xml:space="preserve">25.0</w:t>
                  </w:r>
                </w:p>
              </w:tc>
              <w:tc>
                <w:tcPr/>
                <w:p>
                  <w:pPr>
                    <w:pStyle w:val="Compact"/>
                    <w:jc w:val="left"/>
                    <w:jc w:val="center"/>
                  </w:pPr>
                  <w:r>
                    <w:t xml:space="preserve">0.49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38.0</w:t>
                  </w:r>
                </w:p>
              </w:tc>
              <w:tc>
                <w:tcPr/>
                <w:p>
                  <w:pPr>
                    <w:pStyle w:val="Compact"/>
                    <w:jc w:val="left"/>
                    <w:jc w:val="center"/>
                  </w:pPr>
                  <w:r>
                    <w:t xml:space="preserve">25.0</w:t>
                  </w:r>
                </w:p>
              </w:tc>
              <w:tc>
                <w:tcPr/>
                <w:p>
                  <w:pPr>
                    <w:pStyle w:val="Compact"/>
                    <w:jc w:val="left"/>
                    <w:jc w:val="center"/>
                  </w:pPr>
                  <w:r>
                    <w:t xml:space="preserve">0.61</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45.0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52.0</w:t>
                  </w:r>
                </w:p>
              </w:tc>
              <w:tc>
                <w:tcPr/>
                <w:p>
                  <w:pPr>
                    <w:pStyle w:val="Compact"/>
                    <w:jc w:val="left"/>
                    <w:jc w:val="center"/>
                  </w:pPr>
                  <w:r>
                    <w:t xml:space="preserve">25.0</w:t>
                  </w:r>
                </w:p>
              </w:tc>
              <w:tc>
                <w:tcPr/>
                <w:p>
                  <w:pPr>
                    <w:pStyle w:val="Compact"/>
                    <w:jc w:val="left"/>
                    <w:jc w:val="center"/>
                  </w:pPr>
                  <w:r>
                    <w:t xml:space="preserve">0.64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58.0</w:t>
                  </w:r>
                </w:p>
              </w:tc>
              <w:tc>
                <w:tcPr/>
                <w:p>
                  <w:pPr>
                    <w:pStyle w:val="Compact"/>
                    <w:jc w:val="left"/>
                    <w:jc w:val="center"/>
                  </w:pPr>
                  <w:r>
                    <w:t xml:space="preserve">25.0</w:t>
                  </w:r>
                </w:p>
              </w:tc>
              <w:tc>
                <w:tcPr/>
                <w:p>
                  <w:pPr>
                    <w:pStyle w:val="Compact"/>
                    <w:jc w:val="left"/>
                    <w:jc w:val="center"/>
                  </w:pPr>
                  <w:r>
                    <w:t xml:space="preserve">0.73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0.60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68.0</w:t>
                  </w:r>
                </w:p>
              </w:tc>
              <w:tc>
                <w:tcPr/>
                <w:p>
                  <w:pPr>
                    <w:pStyle w:val="Compact"/>
                    <w:jc w:val="left"/>
                    <w:jc w:val="center"/>
                  </w:pPr>
                  <w:r>
                    <w:t xml:space="preserve">25.0</w:t>
                  </w:r>
                </w:p>
              </w:tc>
              <w:tc>
                <w:tcPr/>
                <w:p>
                  <w:pPr>
                    <w:pStyle w:val="Compact"/>
                    <w:jc w:val="left"/>
                    <w:jc w:val="center"/>
                  </w:pPr>
                  <w:r>
                    <w:t xml:space="preserve">0.69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135.0</w:t>
                  </w:r>
                </w:p>
              </w:tc>
              <w:tc>
                <w:tcPr/>
                <w:p>
                  <w:pPr>
                    <w:pStyle w:val="Compact"/>
                    <w:jc w:val="left"/>
                    <w:jc w:val="center"/>
                  </w:pPr>
                  <w:r>
                    <w:t xml:space="preserve">25.0</w:t>
                  </w:r>
                </w:p>
              </w:tc>
              <w:tc>
                <w:tcPr/>
                <w:p>
                  <w:pPr>
                    <w:pStyle w:val="Compact"/>
                    <w:jc w:val="left"/>
                    <w:jc w:val="center"/>
                  </w:pPr>
                  <w:r>
                    <w:t xml:space="preserve">0.73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160.0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211.0</w:t>
                  </w:r>
                </w:p>
              </w:tc>
              <w:tc>
                <w:tcPr/>
                <w:p>
                  <w:pPr>
                    <w:pStyle w:val="Compact"/>
                    <w:jc w:val="left"/>
                    <w:jc w:val="center"/>
                  </w:pPr>
                  <w:r>
                    <w:t xml:space="preserve">25.0</w:t>
                  </w:r>
                </w:p>
              </w:tc>
              <w:tc>
                <w:tcPr/>
                <w:p>
                  <w:pPr>
                    <w:pStyle w:val="Compact"/>
                    <w:jc w:val="left"/>
                    <w:jc w:val="center"/>
                  </w:pPr>
                  <w:r>
                    <w:t xml:space="preserve">0.59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265.0</w:t>
                  </w: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380.0</w:t>
                  </w:r>
                </w:p>
              </w:tc>
              <w:tc>
                <w:tcPr/>
                <w:p>
                  <w:pPr>
                    <w:pStyle w:val="Compact"/>
                    <w:jc w:val="left"/>
                    <w:jc w:val="center"/>
                  </w:pPr>
                  <w:r>
                    <w:t xml:space="preserve">25.0</w:t>
                  </w:r>
                </w:p>
              </w:tc>
              <w:tc>
                <w:tcPr/>
                <w:p>
                  <w:pPr>
                    <w:pStyle w:val="Compact"/>
                    <w:jc w:val="left"/>
                    <w:jc w:val="center"/>
                  </w:pPr>
                  <w:r>
                    <w:t xml:space="preserve">0.60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0.33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11.0</w:t>
                  </w:r>
                </w:p>
              </w:tc>
              <w:tc>
                <w:tcPr/>
                <w:p>
                  <w:pPr>
                    <w:pStyle w:val="Compact"/>
                    <w:jc w:val="left"/>
                    <w:jc w:val="center"/>
                  </w:pPr>
                  <w:r>
                    <w:t xml:space="preserve">25.0</w:t>
                  </w:r>
                </w:p>
              </w:tc>
              <w:tc>
                <w:tcPr/>
                <w:p>
                  <w:pPr>
                    <w:pStyle w:val="Compact"/>
                    <w:jc w:val="left"/>
                    <w:jc w:val="center"/>
                  </w:pPr>
                  <w:r>
                    <w:t xml:space="preserve">0.26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22.0</w:t>
                  </w:r>
                </w:p>
              </w:tc>
              <w:tc>
                <w:tcPr/>
                <w:p>
                  <w:pPr>
                    <w:pStyle w:val="Compact"/>
                    <w:jc w:val="left"/>
                    <w:jc w:val="center"/>
                  </w:pPr>
                  <w:r>
                    <w:t xml:space="preserve">25.0</w:t>
                  </w:r>
                </w:p>
              </w:tc>
              <w:tc>
                <w:tcPr/>
                <w:p>
                  <w:pPr>
                    <w:pStyle w:val="Compact"/>
                    <w:jc w:val="left"/>
                    <w:jc w:val="center"/>
                  </w:pPr>
                  <w:r>
                    <w:t xml:space="preserve">0.47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0.73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70.0</w:t>
                  </w:r>
                </w:p>
              </w:tc>
              <w:tc>
                <w:tcPr/>
                <w:p>
                  <w:pPr>
                    <w:pStyle w:val="Compact"/>
                    <w:jc w:val="left"/>
                    <w:jc w:val="center"/>
                  </w:pPr>
                  <w:r>
                    <w:t xml:space="preserve">25.0</w:t>
                  </w:r>
                </w:p>
              </w:tc>
              <w:tc>
                <w:tcPr/>
                <w:p>
                  <w:pPr>
                    <w:pStyle w:val="Compact"/>
                    <w:jc w:val="left"/>
                    <w:jc w:val="center"/>
                  </w:pPr>
                  <w:r>
                    <w:t xml:space="preserve">0.73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90.0</w:t>
                  </w:r>
                </w:p>
              </w:tc>
              <w:tc>
                <w:tcPr/>
                <w:p>
                  <w:pPr>
                    <w:pStyle w:val="Compact"/>
                    <w:jc w:val="left"/>
                    <w:jc w:val="center"/>
                  </w:pPr>
                  <w:r>
                    <w:t xml:space="preserve">25.0</w:t>
                  </w:r>
                </w:p>
              </w:tc>
              <w:tc>
                <w:tcPr/>
                <w:p>
                  <w:pPr>
                    <w:pStyle w:val="Compact"/>
                    <w:jc w:val="left"/>
                    <w:jc w:val="center"/>
                  </w:pPr>
                  <w:r>
                    <w:t xml:space="preserve">0.74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110.0</w:t>
                  </w:r>
                </w:p>
              </w:tc>
              <w:tc>
                <w:tcPr/>
                <w:p>
                  <w:pPr>
                    <w:pStyle w:val="Compact"/>
                    <w:jc w:val="left"/>
                    <w:jc w:val="center"/>
                  </w:pPr>
                  <w:r>
                    <w:t xml:space="preserve">25.0</w:t>
                  </w:r>
                </w:p>
              </w:tc>
              <w:tc>
                <w:tcPr/>
                <w:p>
                  <w:pPr>
                    <w:pStyle w:val="Compact"/>
                    <w:jc w:val="left"/>
                    <w:jc w:val="center"/>
                  </w:pPr>
                  <w:r>
                    <w:t xml:space="preserve">0.79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145.0</w:t>
                  </w:r>
                </w:p>
              </w:tc>
              <w:tc>
                <w:tcPr/>
                <w:p>
                  <w:pPr>
                    <w:pStyle w:val="Compact"/>
                    <w:jc w:val="left"/>
                    <w:jc w:val="center"/>
                  </w:pPr>
                  <w:r>
                    <w:t xml:space="preserve">25.0</w:t>
                  </w:r>
                </w:p>
              </w:tc>
              <w:tc>
                <w:tcPr/>
                <w:p>
                  <w:pPr>
                    <w:pStyle w:val="Compact"/>
                    <w:jc w:val="left"/>
                    <w:jc w:val="center"/>
                  </w:pPr>
                  <w:r>
                    <w:t xml:space="preserve">0.71</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180.0</w:t>
                  </w:r>
                </w:p>
              </w:tc>
              <w:tc>
                <w:tcPr/>
                <w:p>
                  <w:pPr>
                    <w:pStyle w:val="Compact"/>
                    <w:jc w:val="left"/>
                    <w:jc w:val="center"/>
                  </w:pPr>
                  <w:r>
                    <w:t xml:space="preserve">25.0</w:t>
                  </w:r>
                </w:p>
              </w:tc>
              <w:tc>
                <w:tcPr/>
                <w:p>
                  <w:pPr>
                    <w:pStyle w:val="Compact"/>
                    <w:jc w:val="left"/>
                    <w:jc w:val="center"/>
                  </w:pPr>
                  <w:r>
                    <w:t xml:space="preserve">0.74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225.0</w:t>
                  </w: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290.0</w:t>
                  </w: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400.0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5.0</w:t>
                  </w:r>
                </w:p>
              </w:tc>
              <w:tc>
                <w:tcPr/>
                <w:p>
                  <w:pPr>
                    <w:pStyle w:val="Compact"/>
                    <w:jc w:val="left"/>
                    <w:jc w:val="center"/>
                  </w:pPr>
                  <w:r>
                    <w:t xml:space="preserve">26.0</w:t>
                  </w:r>
                </w:p>
              </w:tc>
              <w:tc>
                <w:tcPr/>
                <w:p>
                  <w:pPr>
                    <w:pStyle w:val="Compact"/>
                    <w:jc w:val="left"/>
                    <w:jc w:val="center"/>
                  </w:pPr>
                  <w:r>
                    <w:t xml:space="preserve">0.12</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26.0</w:t>
                  </w:r>
                </w:p>
              </w:tc>
              <w:tc>
                <w:tcPr/>
                <w:p>
                  <w:pPr>
                    <w:pStyle w:val="Compact"/>
                    <w:jc w:val="left"/>
                    <w:jc w:val="center"/>
                  </w:pPr>
                  <w:r>
                    <w:t xml:space="preserve">0.35</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26.0</w:t>
                  </w:r>
                </w:p>
              </w:tc>
              <w:tc>
                <w:tcPr/>
                <w:p>
                  <w:pPr>
                    <w:pStyle w:val="Compact"/>
                    <w:jc w:val="left"/>
                    <w:jc w:val="center"/>
                  </w:pPr>
                  <w:r>
                    <w:t xml:space="preserve">0.49</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26.0</w:t>
                  </w:r>
                </w:p>
              </w:tc>
              <w:tc>
                <w:tcPr/>
                <w:p>
                  <w:pPr>
                    <w:pStyle w:val="Compact"/>
                    <w:jc w:val="left"/>
                    <w:jc w:val="center"/>
                  </w:pPr>
                  <w:r>
                    <w:t xml:space="preserve">0.53</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26.0</w:t>
                  </w:r>
                </w:p>
              </w:tc>
              <w:tc>
                <w:tcPr/>
                <w:p>
                  <w:pPr>
                    <w:pStyle w:val="Compact"/>
                    <w:jc w:val="left"/>
                    <w:jc w:val="center"/>
                  </w:pPr>
                  <w:r>
                    <w:t xml:space="preserve">0.54</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80.0</w:t>
                  </w:r>
                </w:p>
              </w:tc>
              <w:tc>
                <w:tcPr/>
                <w:p>
                  <w:pPr>
                    <w:pStyle w:val="Compact"/>
                    <w:jc w:val="left"/>
                    <w:jc w:val="center"/>
                  </w:pPr>
                  <w:r>
                    <w:t xml:space="preserve">26.0</w:t>
                  </w:r>
                </w:p>
              </w:tc>
              <w:tc>
                <w:tcPr/>
                <w:p>
                  <w:pPr>
                    <w:pStyle w:val="Compact"/>
                    <w:jc w:val="left"/>
                    <w:jc w:val="center"/>
                  </w:pPr>
                  <w:r>
                    <w:t xml:space="preserve">0.59</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78.0</w:t>
                  </w:r>
                </w:p>
              </w:tc>
              <w:tc>
                <w:tcPr/>
                <w:p>
                  <w:pPr>
                    <w:pStyle w:val="Compact"/>
                    <w:jc w:val="left"/>
                    <w:jc w:val="center"/>
                  </w:pPr>
                  <w:r>
                    <w:t xml:space="preserve">26.0</w:t>
                  </w:r>
                </w:p>
              </w:tc>
              <w:tc>
                <w:tcPr/>
                <w:p>
                  <w:pPr>
                    <w:pStyle w:val="Compact"/>
                    <w:jc w:val="left"/>
                    <w:jc w:val="center"/>
                  </w:pPr>
                  <w:r>
                    <w:t xml:space="preserve">0.65</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100.0</w:t>
                  </w:r>
                </w:p>
              </w:tc>
              <w:tc>
                <w:tcPr/>
                <w:p>
                  <w:pPr>
                    <w:pStyle w:val="Compact"/>
                    <w:jc w:val="left"/>
                    <w:jc w:val="center"/>
                  </w:pPr>
                  <w:r>
                    <w:t xml:space="preserve">26.0</w:t>
                  </w:r>
                </w:p>
              </w:tc>
              <w:tc>
                <w:tcPr/>
                <w:p>
                  <w:pPr>
                    <w:pStyle w:val="Compact"/>
                    <w:jc w:val="left"/>
                    <w:jc w:val="center"/>
                  </w:pPr>
                  <w:r>
                    <w:t xml:space="preserve">0.71</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125.0</w:t>
                  </w:r>
                </w:p>
              </w:tc>
              <w:tc>
                <w:tcPr/>
                <w:p>
                  <w:pPr>
                    <w:pStyle w:val="Compact"/>
                    <w:jc w:val="left"/>
                    <w:jc w:val="center"/>
                  </w:pPr>
                  <w:r>
                    <w:t xml:space="preserve">26.0</w:t>
                  </w:r>
                </w:p>
              </w:tc>
              <w:tc>
                <w:tcPr/>
                <w:p>
                  <w:pPr>
                    <w:pStyle w:val="Compact"/>
                    <w:jc w:val="left"/>
                    <w:jc w:val="center"/>
                  </w:pPr>
                  <w:r>
                    <w:t xml:space="preserve">0.39</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150.0</w:t>
                  </w:r>
                </w:p>
              </w:tc>
              <w:tc>
                <w:tcPr/>
                <w:p>
                  <w:pPr>
                    <w:pStyle w:val="Compact"/>
                    <w:jc w:val="left"/>
                    <w:jc w:val="center"/>
                  </w:pPr>
                  <w:r>
                    <w:t xml:space="preserve">26.0</w:t>
                  </w:r>
                </w:p>
              </w:tc>
              <w:tc>
                <w:tcPr/>
                <w:p>
                  <w:pPr>
                    <w:pStyle w:val="Compact"/>
                    <w:jc w:val="left"/>
                    <w:jc w:val="center"/>
                  </w:pPr>
                  <w:r>
                    <w:t xml:space="preserve">0.73</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5.0</w:t>
                  </w:r>
                </w:p>
              </w:tc>
              <w:tc>
                <w:tcPr/>
                <w:p>
                  <w:pPr>
                    <w:pStyle w:val="Compact"/>
                    <w:jc w:val="left"/>
                    <w:jc w:val="center"/>
                  </w:pPr>
                  <w:r>
                    <w:t xml:space="preserve">26.0</w:t>
                  </w:r>
                </w:p>
              </w:tc>
              <w:tc>
                <w:tcPr/>
                <w:p>
                  <w:pPr>
                    <w:pStyle w:val="Compact"/>
                    <w:jc w:val="left"/>
                    <w:jc w:val="center"/>
                  </w:pPr>
                  <w:r>
                    <w:t xml:space="preserve">0.23</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26.0</w:t>
                  </w:r>
                </w:p>
              </w:tc>
              <w:tc>
                <w:tcPr/>
                <w:p>
                  <w:pPr>
                    <w:pStyle w:val="Compact"/>
                    <w:jc w:val="left"/>
                    <w:jc w:val="center"/>
                  </w:pPr>
                  <w:r>
                    <w:t xml:space="preserve">0.45</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26.0</w:t>
                  </w:r>
                </w:p>
              </w:tc>
              <w:tc>
                <w:tcPr/>
                <w:p>
                  <w:pPr>
                    <w:pStyle w:val="Compact"/>
                    <w:jc w:val="left"/>
                    <w:jc w:val="center"/>
                  </w:pPr>
                  <w:r>
                    <w:t xml:space="preserve">0.53</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70.0</w:t>
                  </w:r>
                </w:p>
              </w:tc>
              <w:tc>
                <w:tcPr/>
                <w:p>
                  <w:pPr>
                    <w:pStyle w:val="Compact"/>
                    <w:jc w:val="left"/>
                    <w:jc w:val="center"/>
                  </w:pPr>
                  <w:r>
                    <w:t xml:space="preserve">26.0</w:t>
                  </w:r>
                </w:p>
              </w:tc>
              <w:tc>
                <w:tcPr/>
                <w:p>
                  <w:pPr>
                    <w:pStyle w:val="Compact"/>
                    <w:jc w:val="left"/>
                    <w:jc w:val="center"/>
                  </w:pPr>
                  <w:r>
                    <w:t xml:space="preserve">0.50</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80.0</w:t>
                  </w:r>
                </w:p>
              </w:tc>
              <w:tc>
                <w:tcPr/>
                <w:p>
                  <w:pPr>
                    <w:pStyle w:val="Compact"/>
                    <w:jc w:val="left"/>
                    <w:jc w:val="center"/>
                  </w:pPr>
                  <w:r>
                    <w:t xml:space="preserve">26.0</w:t>
                  </w:r>
                </w:p>
              </w:tc>
              <w:tc>
                <w:tcPr/>
                <w:p>
                  <w:pPr>
                    <w:pStyle w:val="Compact"/>
                    <w:jc w:val="left"/>
                    <w:jc w:val="center"/>
                  </w:pPr>
                  <w:r>
                    <w:t xml:space="preserve">0.69</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78.0</w:t>
                  </w:r>
                </w:p>
              </w:tc>
              <w:tc>
                <w:tcPr/>
                <w:p>
                  <w:pPr>
                    <w:pStyle w:val="Compact"/>
                    <w:jc w:val="left"/>
                    <w:jc w:val="center"/>
                  </w:pPr>
                  <w:r>
                    <w:t xml:space="preserve">26.0</w:t>
                  </w:r>
                </w:p>
              </w:tc>
              <w:tc>
                <w:tcPr/>
                <w:p>
                  <w:pPr>
                    <w:pStyle w:val="Compact"/>
                    <w:jc w:val="left"/>
                    <w:jc w:val="center"/>
                  </w:pPr>
                  <w:r>
                    <w:t xml:space="preserve">0.87</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100.0</w:t>
                  </w:r>
                </w:p>
              </w:tc>
              <w:tc>
                <w:tcPr/>
                <w:p>
                  <w:pPr>
                    <w:pStyle w:val="Compact"/>
                    <w:jc w:val="left"/>
                    <w:jc w:val="center"/>
                  </w:pPr>
                  <w:r>
                    <w:t xml:space="preserve">26.0</w:t>
                  </w:r>
                </w:p>
              </w:tc>
              <w:tc>
                <w:tcPr/>
                <w:p>
                  <w:pPr>
                    <w:pStyle w:val="Compact"/>
                    <w:jc w:val="left"/>
                    <w:jc w:val="center"/>
                  </w:pPr>
                  <w:r>
                    <w:t xml:space="preserve">0.59</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110.0</w:t>
                  </w:r>
                </w:p>
              </w:tc>
              <w:tc>
                <w:tcPr/>
                <w:p>
                  <w:pPr>
                    <w:pStyle w:val="Compact"/>
                    <w:jc w:val="left"/>
                    <w:jc w:val="center"/>
                  </w:pPr>
                  <w:r>
                    <w:t xml:space="preserve">26.0</w:t>
                  </w:r>
                </w:p>
              </w:tc>
              <w:tc>
                <w:tcPr/>
                <w:p>
                  <w:pPr>
                    <w:pStyle w:val="Compact"/>
                    <w:jc w:val="left"/>
                    <w:jc w:val="center"/>
                  </w:pPr>
                  <w:r>
                    <w:t xml:space="preserve">0.51</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150.0</w:t>
                  </w:r>
                </w:p>
              </w:tc>
              <w:tc>
                <w:tcPr/>
                <w:p>
                  <w:pPr>
                    <w:pStyle w:val="Compact"/>
                    <w:jc w:val="left"/>
                    <w:jc w:val="center"/>
                  </w:pPr>
                  <w:r>
                    <w:t xml:space="preserve">26.0</w:t>
                  </w:r>
                </w:p>
              </w:tc>
              <w:tc>
                <w:tcPr/>
                <w:p>
                  <w:pPr>
                    <w:pStyle w:val="Compact"/>
                    <w:jc w:val="left"/>
                    <w:jc w:val="center"/>
                  </w:pPr>
                  <w:r>
                    <w:t xml:space="preserve">0.46</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5.0</w:t>
                  </w:r>
                </w:p>
              </w:tc>
              <w:tc>
                <w:tcPr/>
                <w:p>
                  <w:pPr>
                    <w:pStyle w:val="Compact"/>
                    <w:jc w:val="left"/>
                    <w:jc w:val="center"/>
                  </w:pPr>
                  <w:r>
                    <w:t xml:space="preserve">26.0</w:t>
                  </w:r>
                </w:p>
              </w:tc>
              <w:tc>
                <w:tcPr/>
                <w:p>
                  <w:pPr>
                    <w:pStyle w:val="Compact"/>
                    <w:jc w:val="left"/>
                    <w:jc w:val="center"/>
                  </w:pPr>
                  <w:r>
                    <w:t xml:space="preserve">0.14</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26.0</w:t>
                  </w:r>
                </w:p>
              </w:tc>
              <w:tc>
                <w:tcPr/>
                <w:p>
                  <w:pPr>
                    <w:pStyle w:val="Compact"/>
                    <w:jc w:val="left"/>
                    <w:jc w:val="center"/>
                  </w:pPr>
                  <w:r>
                    <w:t xml:space="preserve">0.40</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26.0</w:t>
                  </w:r>
                </w:p>
              </w:tc>
              <w:tc>
                <w:tcPr/>
                <w:p>
                  <w:pPr>
                    <w:pStyle w:val="Compact"/>
                    <w:jc w:val="left"/>
                    <w:jc w:val="center"/>
                  </w:pPr>
                  <w:r>
                    <w:t xml:space="preserve">0.58</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26.0</w:t>
                  </w:r>
                </w:p>
              </w:tc>
              <w:tc>
                <w:tcPr/>
                <w:p>
                  <w:pPr>
                    <w:pStyle w:val="Compact"/>
                    <w:jc w:val="left"/>
                    <w:jc w:val="center"/>
                  </w:pPr>
                  <w:r>
                    <w:t xml:space="preserve">0.45</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75.0</w:t>
                  </w:r>
                </w:p>
              </w:tc>
              <w:tc>
                <w:tcPr/>
                <w:p>
                  <w:pPr>
                    <w:pStyle w:val="Compact"/>
                    <w:jc w:val="left"/>
                    <w:jc w:val="center"/>
                  </w:pPr>
                  <w:r>
                    <w:t xml:space="preserve">26.0</w:t>
                  </w:r>
                </w:p>
              </w:tc>
              <w:tc>
                <w:tcPr/>
                <w:p>
                  <w:pPr>
                    <w:pStyle w:val="Compact"/>
                    <w:jc w:val="left"/>
                    <w:jc w:val="center"/>
                  </w:pPr>
                  <w:r>
                    <w:t xml:space="preserve">0.65</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80.0</w:t>
                  </w:r>
                </w:p>
              </w:tc>
              <w:tc>
                <w:tcPr/>
                <w:p>
                  <w:pPr>
                    <w:pStyle w:val="Compact"/>
                    <w:jc w:val="left"/>
                    <w:jc w:val="center"/>
                  </w:pPr>
                  <w:r>
                    <w:t xml:space="preserve">26.0</w:t>
                  </w:r>
                </w:p>
              </w:tc>
              <w:tc>
                <w:tcPr/>
                <w:p>
                  <w:pPr>
                    <w:pStyle w:val="Compact"/>
                    <w:jc w:val="left"/>
                    <w:jc w:val="center"/>
                  </w:pPr>
                  <w:r>
                    <w:t xml:space="preserve">0.76</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125.0</w:t>
                  </w:r>
                </w:p>
              </w:tc>
              <w:tc>
                <w:tcPr/>
                <w:p>
                  <w:pPr>
                    <w:pStyle w:val="Compact"/>
                    <w:jc w:val="left"/>
                    <w:jc w:val="center"/>
                  </w:pPr>
                  <w:r>
                    <w:t xml:space="preserve">26.0</w:t>
                  </w:r>
                </w:p>
              </w:tc>
              <w:tc>
                <w:tcPr/>
                <w:p>
                  <w:pPr>
                    <w:pStyle w:val="Compact"/>
                    <w:jc w:val="left"/>
                    <w:jc w:val="center"/>
                  </w:pPr>
                  <w:r>
                    <w:t xml:space="preserve">0.38</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100.0</w:t>
                  </w:r>
                </w:p>
              </w:tc>
              <w:tc>
                <w:tcPr/>
                <w:p>
                  <w:pPr>
                    <w:pStyle w:val="Compact"/>
                    <w:jc w:val="left"/>
                    <w:jc w:val="center"/>
                  </w:pPr>
                  <w:r>
                    <w:t xml:space="preserve">26.0</w:t>
                  </w:r>
                </w:p>
              </w:tc>
              <w:tc>
                <w:tcPr/>
                <w:p>
                  <w:pPr>
                    <w:pStyle w:val="Compact"/>
                    <w:jc w:val="left"/>
                    <w:jc w:val="center"/>
                  </w:pPr>
                  <w:r>
                    <w:t xml:space="preserve">0.74</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70.0</w:t>
                  </w:r>
                </w:p>
              </w:tc>
              <w:tc>
                <w:tcPr/>
                <w:p>
                  <w:pPr>
                    <w:pStyle w:val="Compact"/>
                    <w:jc w:val="left"/>
                    <w:jc w:val="center"/>
                  </w:pPr>
                  <w:r>
                    <w:t xml:space="preserve">26.0</w:t>
                  </w:r>
                </w:p>
              </w:tc>
              <w:tc>
                <w:tcPr/>
                <w:p>
                  <w:pPr>
                    <w:pStyle w:val="Compact"/>
                    <w:jc w:val="left"/>
                    <w:jc w:val="center"/>
                  </w:pPr>
                  <w:r>
                    <w:t xml:space="preserve">0.55</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145.0</w:t>
                  </w:r>
                </w:p>
              </w:tc>
              <w:tc>
                <w:tcPr/>
                <w:p>
                  <w:pPr>
                    <w:pStyle w:val="Compact"/>
                    <w:jc w:val="left"/>
                    <w:jc w:val="center"/>
                  </w:pPr>
                  <w:r>
                    <w:t xml:space="preserve">26.0</w:t>
                  </w:r>
                </w:p>
              </w:tc>
              <w:tc>
                <w:tcPr/>
                <w:p>
                  <w:pPr>
                    <w:pStyle w:val="Compact"/>
                    <w:jc w:val="left"/>
                    <w:jc w:val="center"/>
                  </w:pPr>
                  <w:r>
                    <w:t xml:space="preserve">0.53</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5.0</w:t>
                  </w:r>
                </w:p>
              </w:tc>
              <w:tc>
                <w:tcPr/>
                <w:p>
                  <w:pPr>
                    <w:pStyle w:val="Compact"/>
                    <w:jc w:val="left"/>
                    <w:jc w:val="center"/>
                  </w:pPr>
                  <w:r>
                    <w:t xml:space="preserve">26.0</w:t>
                  </w:r>
                </w:p>
              </w:tc>
              <w:tc>
                <w:tcPr/>
                <w:p>
                  <w:pPr>
                    <w:pStyle w:val="Compact"/>
                    <w:jc w:val="left"/>
                    <w:jc w:val="center"/>
                  </w:pPr>
                  <w:r>
                    <w:t xml:space="preserve">0.18</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26.0</w:t>
                  </w:r>
                </w:p>
              </w:tc>
              <w:tc>
                <w:tcPr/>
                <w:p>
                  <w:pPr>
                    <w:pStyle w:val="Compact"/>
                    <w:jc w:val="left"/>
                    <w:jc w:val="center"/>
                  </w:pPr>
                  <w:r>
                    <w:t xml:space="preserve">0.52</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26.0</w:t>
                  </w:r>
                </w:p>
              </w:tc>
              <w:tc>
                <w:tcPr/>
                <w:p>
                  <w:pPr>
                    <w:pStyle w:val="Compact"/>
                    <w:jc w:val="left"/>
                    <w:jc w:val="center"/>
                  </w:pPr>
                  <w:r>
                    <w:t xml:space="preserve">0.46</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90.0</w:t>
                  </w:r>
                </w:p>
              </w:tc>
              <w:tc>
                <w:tcPr/>
                <w:p>
                  <w:pPr>
                    <w:pStyle w:val="Compact"/>
                    <w:jc w:val="left"/>
                    <w:jc w:val="center"/>
                  </w:pPr>
                  <w:r>
                    <w:t xml:space="preserve">26.0</w:t>
                  </w:r>
                </w:p>
              </w:tc>
              <w:tc>
                <w:tcPr/>
                <w:p>
                  <w:pPr>
                    <w:pStyle w:val="Compact"/>
                    <w:jc w:val="left"/>
                    <w:jc w:val="center"/>
                  </w:pPr>
                  <w:r>
                    <w:t xml:space="preserve">0.57</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100.0</w:t>
                  </w:r>
                </w:p>
              </w:tc>
              <w:tc>
                <w:tcPr/>
                <w:p>
                  <w:pPr>
                    <w:pStyle w:val="Compact"/>
                    <w:jc w:val="left"/>
                    <w:jc w:val="center"/>
                  </w:pPr>
                  <w:r>
                    <w:t xml:space="preserve">26.0</w:t>
                  </w:r>
                </w:p>
              </w:tc>
              <w:tc>
                <w:tcPr/>
                <w:p>
                  <w:pPr>
                    <w:pStyle w:val="Compact"/>
                    <w:jc w:val="left"/>
                    <w:jc w:val="center"/>
                  </w:pPr>
                  <w:r>
                    <w:t xml:space="preserve">0.72</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120.0</w:t>
                  </w:r>
                </w:p>
              </w:tc>
              <w:tc>
                <w:tcPr/>
                <w:p>
                  <w:pPr>
                    <w:pStyle w:val="Compact"/>
                    <w:jc w:val="left"/>
                    <w:jc w:val="center"/>
                  </w:pPr>
                  <w:r>
                    <w:t xml:space="preserve">26.0</w:t>
                  </w:r>
                </w:p>
              </w:tc>
              <w:tc>
                <w:tcPr/>
                <w:p>
                  <w:pPr>
                    <w:pStyle w:val="Compact"/>
                    <w:jc w:val="left"/>
                    <w:jc w:val="center"/>
                  </w:pPr>
                  <w:r>
                    <w:t xml:space="preserve">0.73</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145.0</w:t>
                  </w:r>
                </w:p>
              </w:tc>
              <w:tc>
                <w:tcPr/>
                <w:p>
                  <w:pPr>
                    <w:pStyle w:val="Compact"/>
                    <w:jc w:val="left"/>
                    <w:jc w:val="center"/>
                  </w:pPr>
                  <w:r>
                    <w:t xml:space="preserve">26.0</w:t>
                  </w:r>
                </w:p>
              </w:tc>
              <w:tc>
                <w:tcPr/>
                <w:p>
                  <w:pPr>
                    <w:pStyle w:val="Compact"/>
                    <w:jc w:val="left"/>
                    <w:jc w:val="center"/>
                  </w:pPr>
                  <w:r>
                    <w:t xml:space="preserve">0.50</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0.26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15.0</w:t>
                  </w:r>
                </w:p>
              </w:tc>
              <w:tc>
                <w:tcPr/>
                <w:p>
                  <w:pPr>
                    <w:pStyle w:val="Compact"/>
                    <w:jc w:val="left"/>
                    <w:jc w:val="center"/>
                  </w:pPr>
                  <w:r>
                    <w:t xml:space="preserve">25.0</w:t>
                  </w:r>
                </w:p>
              </w:tc>
              <w:tc>
                <w:tcPr/>
                <w:p>
                  <w:pPr>
                    <w:pStyle w:val="Compact"/>
                    <w:jc w:val="left"/>
                    <w:jc w:val="center"/>
                  </w:pPr>
                  <w:r>
                    <w:t xml:space="preserve">0.33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22.0</w:t>
                  </w:r>
                </w:p>
              </w:tc>
              <w:tc>
                <w:tcPr/>
                <w:p>
                  <w:pPr>
                    <w:pStyle w:val="Compact"/>
                    <w:jc w:val="left"/>
                    <w:jc w:val="center"/>
                  </w:pPr>
                  <w:r>
                    <w:t xml:space="preserve">25.0</w:t>
                  </w:r>
                </w:p>
              </w:tc>
              <w:tc>
                <w:tcPr/>
                <w:p>
                  <w:pPr>
                    <w:pStyle w:val="Compact"/>
                    <w:jc w:val="left"/>
                    <w:jc w:val="center"/>
                  </w:pPr>
                  <w:r>
                    <w:t xml:space="preserve">0.47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32.0</w:t>
                  </w:r>
                </w:p>
              </w:tc>
              <w:tc>
                <w:tcPr/>
                <w:p>
                  <w:pPr>
                    <w:pStyle w:val="Compact"/>
                    <w:jc w:val="left"/>
                    <w:jc w:val="center"/>
                  </w:pPr>
                  <w:r>
                    <w:t xml:space="preserve">25.0</w:t>
                  </w:r>
                </w:p>
              </w:tc>
              <w:tc>
                <w:tcPr/>
                <w:p>
                  <w:pPr>
                    <w:pStyle w:val="Compact"/>
                    <w:jc w:val="left"/>
                    <w:jc w:val="center"/>
                  </w:pPr>
                  <w:r>
                    <w:t xml:space="preserve">0.39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36.0</w:t>
                  </w:r>
                </w:p>
              </w:tc>
              <w:tc>
                <w:tcPr/>
                <w:p>
                  <w:pPr>
                    <w:pStyle w:val="Compact"/>
                    <w:jc w:val="left"/>
                    <w:jc w:val="center"/>
                  </w:pPr>
                  <w:r>
                    <w:t xml:space="preserve">25.0</w:t>
                  </w:r>
                </w:p>
              </w:tc>
              <w:tc>
                <w:tcPr/>
                <w:p>
                  <w:pPr>
                    <w:pStyle w:val="Compact"/>
                    <w:jc w:val="left"/>
                    <w:jc w:val="center"/>
                  </w:pPr>
                  <w:r>
                    <w:t xml:space="preserve">0.59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40.0</w:t>
                  </w:r>
                </w:p>
              </w:tc>
              <w:tc>
                <w:tcPr/>
                <w:p>
                  <w:pPr>
                    <w:pStyle w:val="Compact"/>
                    <w:jc w:val="left"/>
                    <w:jc w:val="center"/>
                  </w:pPr>
                  <w:r>
                    <w:t xml:space="preserve">25.0</w:t>
                  </w:r>
                </w:p>
              </w:tc>
              <w:tc>
                <w:tcPr/>
                <w:p>
                  <w:pPr>
                    <w:pStyle w:val="Compact"/>
                    <w:jc w:val="left"/>
                    <w:jc w:val="center"/>
                  </w:pPr>
                  <w:r>
                    <w:t xml:space="preserve">0.45</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85.0</w:t>
                  </w:r>
                </w:p>
              </w:tc>
              <w:tc>
                <w:tcPr/>
                <w:p>
                  <w:pPr>
                    <w:pStyle w:val="Compact"/>
                    <w:jc w:val="left"/>
                    <w:jc w:val="center"/>
                  </w:pPr>
                  <w:r>
                    <w:t xml:space="preserve">25.0</w:t>
                  </w:r>
                </w:p>
              </w:tc>
              <w:tc>
                <w:tcPr/>
                <w:p>
                  <w:pPr>
                    <w:pStyle w:val="Compact"/>
                    <w:jc w:val="left"/>
                    <w:jc w:val="center"/>
                  </w:pPr>
                  <w:r>
                    <w:t xml:space="preserve">0.45</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117.0</w:t>
                  </w:r>
                </w:p>
              </w:tc>
              <w:tc>
                <w:tcPr/>
                <w:p>
                  <w:pPr>
                    <w:pStyle w:val="Compact"/>
                    <w:jc w:val="left"/>
                    <w:jc w:val="center"/>
                  </w:pPr>
                  <w:r>
                    <w:t xml:space="preserve">25.0</w:t>
                  </w:r>
                </w:p>
              </w:tc>
              <w:tc>
                <w:tcPr/>
                <w:p>
                  <w:pPr>
                    <w:pStyle w:val="Compact"/>
                    <w:jc w:val="left"/>
                    <w:jc w:val="center"/>
                  </w:pPr>
                  <w:r>
                    <w:t xml:space="preserve">0.50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145.0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178.0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210.0</w:t>
                  </w:r>
                </w:p>
              </w:tc>
              <w:tc>
                <w:tcPr/>
                <w:p>
                  <w:pPr>
                    <w:pStyle w:val="Compact"/>
                    <w:jc w:val="left"/>
                    <w:jc w:val="center"/>
                  </w:pPr>
                  <w:r>
                    <w:t xml:space="preserve">25.0</w:t>
                  </w:r>
                </w:p>
              </w:tc>
              <w:tc>
                <w:tcPr/>
                <w:p>
                  <w:pPr>
                    <w:pStyle w:val="Compact"/>
                    <w:jc w:val="left"/>
                    <w:jc w:val="center"/>
                  </w:pPr>
                  <w:r>
                    <w:t xml:space="preserve">0.57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245.0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290.0</w:t>
                  </w:r>
                </w:p>
              </w:tc>
              <w:tc>
                <w:tcPr/>
                <w:p>
                  <w:pPr>
                    <w:pStyle w:val="Compact"/>
                    <w:jc w:val="left"/>
                    <w:jc w:val="center"/>
                  </w:pPr>
                  <w:r>
                    <w:t xml:space="preserve">25.0</w:t>
                  </w:r>
                </w:p>
              </w:tc>
              <w:tc>
                <w:tcPr/>
                <w:p>
                  <w:pPr>
                    <w:pStyle w:val="Compact"/>
                    <w:jc w:val="left"/>
                    <w:jc w:val="center"/>
                  </w:pPr>
                  <w:r>
                    <w:t xml:space="preserve">0.57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360.0</w:t>
                  </w:r>
                </w:p>
              </w:tc>
              <w:tc>
                <w:tcPr/>
                <w:p>
                  <w:pPr>
                    <w:pStyle w:val="Compact"/>
                    <w:jc w:val="left"/>
                    <w:jc w:val="center"/>
                  </w:pPr>
                  <w:r>
                    <w:t xml:space="preserve">25.0</w:t>
                  </w:r>
                </w:p>
              </w:tc>
              <w:tc>
                <w:tcPr/>
                <w:p>
                  <w:pPr>
                    <w:pStyle w:val="Compact"/>
                    <w:jc w:val="left"/>
                    <w:jc w:val="center"/>
                  </w:pPr>
                  <w:r>
                    <w:t xml:space="preserve">0.55</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400.0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486.0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0.37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22.0</w:t>
                  </w:r>
                </w:p>
              </w:tc>
              <w:tc>
                <w:tcPr/>
                <w:p>
                  <w:pPr>
                    <w:pStyle w:val="Compact"/>
                    <w:jc w:val="left"/>
                    <w:jc w:val="center"/>
                  </w:pPr>
                  <w:r>
                    <w:t xml:space="preserve">25.0</w:t>
                  </w:r>
                </w:p>
              </w:tc>
              <w:tc>
                <w:tcPr/>
                <w:p>
                  <w:pPr>
                    <w:pStyle w:val="Compact"/>
                    <w:jc w:val="left"/>
                    <w:jc w:val="center"/>
                  </w:pPr>
                  <w:r>
                    <w:t xml:space="preserve">0.50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26.0</w:t>
                  </w:r>
                </w:p>
              </w:tc>
              <w:tc>
                <w:tcPr/>
                <w:p>
                  <w:pPr>
                    <w:pStyle w:val="Compact"/>
                    <w:jc w:val="left"/>
                    <w:jc w:val="center"/>
                  </w:pPr>
                  <w:r>
                    <w:t xml:space="preserve">25.0</w:t>
                  </w:r>
                </w:p>
              </w:tc>
              <w:tc>
                <w:tcPr/>
                <w:p>
                  <w:pPr>
                    <w:pStyle w:val="Compact"/>
                    <w:jc w:val="left"/>
                    <w:jc w:val="center"/>
                  </w:pPr>
                  <w:r>
                    <w:t xml:space="preserve">0.64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42.0</w:t>
                  </w:r>
                </w:p>
              </w:tc>
              <w:tc>
                <w:tcPr/>
                <w:p>
                  <w:pPr>
                    <w:pStyle w:val="Compact"/>
                    <w:jc w:val="left"/>
                    <w:jc w:val="center"/>
                  </w:pPr>
                  <w:r>
                    <w:t xml:space="preserve">25.0</w:t>
                  </w:r>
                </w:p>
              </w:tc>
              <w:tc>
                <w:tcPr/>
                <w:p>
                  <w:pPr>
                    <w:pStyle w:val="Compact"/>
                    <w:jc w:val="left"/>
                    <w:jc w:val="center"/>
                  </w:pPr>
                  <w:r>
                    <w:t xml:space="preserve">0.67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51.0</w:t>
                  </w:r>
                </w:p>
              </w:tc>
              <w:tc>
                <w:tcPr/>
                <w:p>
                  <w:pPr>
                    <w:pStyle w:val="Compact"/>
                    <w:jc w:val="left"/>
                    <w:jc w:val="center"/>
                  </w:pPr>
                  <w:r>
                    <w:t xml:space="preserve">25.0</w:t>
                  </w:r>
                </w:p>
              </w:tc>
              <w:tc>
                <w:tcPr/>
                <w:p>
                  <w:pPr>
                    <w:pStyle w:val="Compact"/>
                    <w:jc w:val="left"/>
                    <w:jc w:val="center"/>
                  </w:pPr>
                  <w:r>
                    <w:t xml:space="preserve">0.68</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0.68</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75.0</w:t>
                  </w: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86.0</w:t>
                  </w:r>
                </w:p>
              </w:tc>
              <w:tc>
                <w:tcPr/>
                <w:p>
                  <w:pPr>
                    <w:pStyle w:val="Compact"/>
                    <w:jc w:val="left"/>
                    <w:jc w:val="center"/>
                  </w:pPr>
                  <w:r>
                    <w:t xml:space="preserve">25.0</w:t>
                  </w:r>
                </w:p>
              </w:tc>
              <w:tc>
                <w:tcPr/>
                <w:p>
                  <w:pPr>
                    <w:pStyle w:val="Compact"/>
                    <w:jc w:val="left"/>
                    <w:jc w:val="center"/>
                  </w:pPr>
                  <w:r>
                    <w:t xml:space="preserve">0.72</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110.0</w:t>
                  </w:r>
                </w:p>
              </w:tc>
              <w:tc>
                <w:tcPr/>
                <w:p>
                  <w:pPr>
                    <w:pStyle w:val="Compact"/>
                    <w:jc w:val="left"/>
                    <w:jc w:val="center"/>
                  </w:pPr>
                  <w:r>
                    <w:t xml:space="preserve">25.0</w:t>
                  </w:r>
                </w:p>
              </w:tc>
              <w:tc>
                <w:tcPr/>
                <w:p>
                  <w:pPr>
                    <w:pStyle w:val="Compact"/>
                    <w:jc w:val="left"/>
                    <w:jc w:val="center"/>
                  </w:pPr>
                  <w:r>
                    <w:t xml:space="preserve">0.64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125.0</w:t>
                  </w:r>
                </w:p>
              </w:tc>
              <w:tc>
                <w:tcPr/>
                <w:p>
                  <w:pPr>
                    <w:pStyle w:val="Compact"/>
                    <w:jc w:val="left"/>
                    <w:jc w:val="center"/>
                  </w:pPr>
                  <w:r>
                    <w:t xml:space="preserve">25.0</w:t>
                  </w:r>
                </w:p>
              </w:tc>
              <w:tc>
                <w:tcPr/>
                <w:p>
                  <w:pPr>
                    <w:pStyle w:val="Compact"/>
                    <w:jc w:val="left"/>
                    <w:jc w:val="center"/>
                  </w:pPr>
                  <w:r>
                    <w:t xml:space="preserve">0.64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165.0</w:t>
                  </w:r>
                </w:p>
              </w:tc>
              <w:tc>
                <w:tcPr/>
                <w:p>
                  <w:pPr>
                    <w:pStyle w:val="Compact"/>
                    <w:jc w:val="left"/>
                    <w:jc w:val="center"/>
                  </w:pPr>
                  <w:r>
                    <w:t xml:space="preserve">25.0</w:t>
                  </w:r>
                </w:p>
              </w:tc>
              <w:tc>
                <w:tcPr/>
                <w:p>
                  <w:pPr>
                    <w:pStyle w:val="Compact"/>
                    <w:jc w:val="left"/>
                    <w:jc w:val="center"/>
                  </w:pPr>
                  <w:r>
                    <w:t xml:space="preserve">0.68</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200.0</w:t>
                  </w:r>
                </w:p>
              </w:tc>
              <w:tc>
                <w:tcPr/>
                <w:p>
                  <w:pPr>
                    <w:pStyle w:val="Compact"/>
                    <w:jc w:val="left"/>
                    <w:jc w:val="center"/>
                  </w:pPr>
                  <w:r>
                    <w:t xml:space="preserve">25.0</w:t>
                  </w:r>
                </w:p>
              </w:tc>
              <w:tc>
                <w:tcPr/>
                <w:p>
                  <w:pPr>
                    <w:pStyle w:val="Compact"/>
                    <w:jc w:val="left"/>
                    <w:jc w:val="center"/>
                  </w:pPr>
                  <w:r>
                    <w:t xml:space="preserve">0.65</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280.0</w:t>
                  </w:r>
                </w:p>
              </w:tc>
              <w:tc>
                <w:tcPr/>
                <w:p>
                  <w:pPr>
                    <w:pStyle w:val="Compact"/>
                    <w:jc w:val="left"/>
                    <w:jc w:val="center"/>
                  </w:pPr>
                  <w:r>
                    <w:t xml:space="preserve">25.0</w:t>
                  </w:r>
                </w:p>
              </w:tc>
              <w:tc>
                <w:tcPr/>
                <w:p>
                  <w:pPr>
                    <w:pStyle w:val="Compact"/>
                    <w:jc w:val="left"/>
                    <w:jc w:val="center"/>
                  </w:pPr>
                  <w:r>
                    <w:t xml:space="preserve">0.64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380.0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30.0</w:t>
                  </w:r>
                </w:p>
              </w:tc>
              <w:tc>
                <w:tcPr/>
                <w:p>
                  <w:pPr>
                    <w:pStyle w:val="Compact"/>
                    <w:jc w:val="left"/>
                    <w:jc w:val="center"/>
                  </w:pPr>
                  <w:r>
                    <w:t xml:space="preserve">15.0</w:t>
                  </w:r>
                </w:p>
              </w:tc>
              <w:tc>
                <w:tcPr/>
                <w:p>
                  <w:pPr>
                    <w:pStyle w:val="Compact"/>
                    <w:jc w:val="left"/>
                    <w:jc w:val="center"/>
                  </w:pPr>
                  <w:r>
                    <w:t xml:space="preserve">0.08</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0.25</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0.41</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30.0</w:t>
                  </w:r>
                </w:p>
              </w:tc>
              <w:tc>
                <w:tcPr/>
                <w:p>
                  <w:pPr>
                    <w:pStyle w:val="Compact"/>
                    <w:jc w:val="left"/>
                    <w:jc w:val="center"/>
                  </w:pPr>
                  <w:r>
                    <w:t xml:space="preserve">30.0</w:t>
                  </w:r>
                </w:p>
              </w:tc>
              <w:tc>
                <w:tcPr/>
                <w:p>
                  <w:pPr>
                    <w:pStyle w:val="Compact"/>
                    <w:jc w:val="left"/>
                    <w:jc w:val="center"/>
                  </w:pPr>
                  <w:r>
                    <w:t xml:space="preserve">0.42</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30.0</w:t>
                  </w:r>
                </w:p>
              </w:tc>
              <w:tc>
                <w:tcPr/>
                <w:p>
                  <w:pPr>
                    <w:pStyle w:val="Compact"/>
                    <w:jc w:val="left"/>
                    <w:jc w:val="center"/>
                  </w:pPr>
                  <w:r>
                    <w:t xml:space="preserve">35.0</w:t>
                  </w:r>
                </w:p>
              </w:tc>
              <w:tc>
                <w:tcPr/>
                <w:p>
                  <w:pPr>
                    <w:pStyle w:val="Compact"/>
                    <w:jc w:val="left"/>
                    <w:jc w:val="center"/>
                  </w:pPr>
                  <w:r>
                    <w:t xml:space="preserve">0.38</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30.0</w:t>
                  </w:r>
                </w:p>
              </w:tc>
              <w:tc>
                <w:tcPr/>
                <w:p>
                  <w:pPr>
                    <w:pStyle w:val="Compact"/>
                    <w:jc w:val="left"/>
                    <w:jc w:val="center"/>
                  </w:pPr>
                  <w:r>
                    <w:t xml:space="preserve">40.0</w:t>
                  </w:r>
                </w:p>
              </w:tc>
              <w:tc>
                <w:tcPr/>
                <w:p>
                  <w:pPr>
                    <w:pStyle w:val="Compact"/>
                    <w:jc w:val="left"/>
                    <w:jc w:val="center"/>
                  </w:pPr>
                  <w:r>
                    <w:t xml:space="preserve">0.17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0.32</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22.0</w:t>
                  </w:r>
                </w:p>
              </w:tc>
              <w:tc>
                <w:tcPr/>
                <w:p>
                  <w:pPr>
                    <w:pStyle w:val="Compact"/>
                    <w:jc w:val="left"/>
                    <w:jc w:val="center"/>
                  </w:pPr>
                  <w:r>
                    <w:t xml:space="preserve">25.0</w:t>
                  </w:r>
                </w:p>
              </w:tc>
              <w:tc>
                <w:tcPr/>
                <w:p>
                  <w:pPr>
                    <w:pStyle w:val="Compact"/>
                    <w:jc w:val="left"/>
                    <w:jc w:val="center"/>
                  </w:pPr>
                  <w:r>
                    <w:t xml:space="preserve">0.44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42.0</w:t>
                  </w:r>
                </w:p>
              </w:tc>
              <w:tc>
                <w:tcPr/>
                <w:p>
                  <w:pPr>
                    <w:pStyle w:val="Compact"/>
                    <w:jc w:val="left"/>
                    <w:jc w:val="center"/>
                  </w:pPr>
                  <w:r>
                    <w:t xml:space="preserve">25.0</w:t>
                  </w:r>
                </w:p>
              </w:tc>
              <w:tc>
                <w:tcPr/>
                <w:p>
                  <w:pPr>
                    <w:pStyle w:val="Compact"/>
                    <w:jc w:val="left"/>
                    <w:jc w:val="center"/>
                  </w:pPr>
                  <w:r>
                    <w:t xml:space="preserve">0.53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26.0</w:t>
                  </w:r>
                </w:p>
              </w:tc>
              <w:tc>
                <w:tcPr/>
                <w:p>
                  <w:pPr>
                    <w:pStyle w:val="Compact"/>
                    <w:jc w:val="left"/>
                    <w:jc w:val="center"/>
                  </w:pPr>
                  <w:r>
                    <w:t xml:space="preserve">25.0</w:t>
                  </w:r>
                </w:p>
              </w:tc>
              <w:tc>
                <w:tcPr/>
                <w:p>
                  <w:pPr>
                    <w:pStyle w:val="Compact"/>
                    <w:jc w:val="left"/>
                    <w:jc w:val="center"/>
                  </w:pPr>
                  <w:r>
                    <w:t xml:space="preserve">0.49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51.0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90.0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110.0</w:t>
                  </w:r>
                </w:p>
              </w:tc>
              <w:tc>
                <w:tcPr/>
                <w:p>
                  <w:pPr>
                    <w:pStyle w:val="Compact"/>
                    <w:jc w:val="left"/>
                    <w:jc w:val="center"/>
                  </w:pPr>
                  <w:r>
                    <w:t xml:space="preserve">25.0</w:t>
                  </w:r>
                </w:p>
              </w:tc>
              <w:tc>
                <w:tcPr/>
                <w:p>
                  <w:pPr>
                    <w:pStyle w:val="Compact"/>
                    <w:jc w:val="left"/>
                    <w:jc w:val="center"/>
                  </w:pPr>
                  <w:r>
                    <w:t xml:space="preserve">0.58</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125.0</w:t>
                  </w:r>
                </w:p>
              </w:tc>
              <w:tc>
                <w:tcPr/>
                <w:p>
                  <w:pPr>
                    <w:pStyle w:val="Compact"/>
                    <w:jc w:val="left"/>
                    <w:jc w:val="center"/>
                  </w:pPr>
                  <w:r>
                    <w:t xml:space="preserve">25.0</w:t>
                  </w:r>
                </w:p>
              </w:tc>
              <w:tc>
                <w:tcPr/>
                <w:p>
                  <w:pPr>
                    <w:pStyle w:val="Compact"/>
                    <w:jc w:val="left"/>
                    <w:jc w:val="center"/>
                  </w:pPr>
                  <w:r>
                    <w:t xml:space="preserve">0.64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140.0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175.0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210.0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275.0</w:t>
                  </w:r>
                </w:p>
              </w:tc>
              <w:tc>
                <w:tcPr/>
                <w:p>
                  <w:pPr>
                    <w:pStyle w:val="Compact"/>
                    <w:jc w:val="left"/>
                    <w:jc w:val="center"/>
                  </w:pPr>
                  <w:r>
                    <w:t xml:space="preserve">25.0</w:t>
                  </w:r>
                </w:p>
              </w:tc>
              <w:tc>
                <w:tcPr/>
                <w:p>
                  <w:pPr>
                    <w:pStyle w:val="Compact"/>
                    <w:jc w:val="left"/>
                    <w:jc w:val="center"/>
                  </w:pPr>
                  <w:r>
                    <w:t xml:space="preserve">0.59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365.0</w:t>
                  </w:r>
                </w:p>
              </w:tc>
              <w:tc>
                <w:tcPr/>
                <w:p>
                  <w:pPr>
                    <w:pStyle w:val="Compact"/>
                    <w:jc w:val="left"/>
                    <w:jc w:val="center"/>
                  </w:pPr>
                  <w:r>
                    <w:t xml:space="preserve">25.0</w:t>
                  </w:r>
                </w:p>
              </w:tc>
              <w:tc>
                <w:tcPr/>
                <w:p>
                  <w:pPr>
                    <w:pStyle w:val="Compact"/>
                    <w:jc w:val="left"/>
                    <w:jc w:val="center"/>
                  </w:pPr>
                  <w:r>
                    <w:t xml:space="preserve">0.57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WC01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0.20</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0.18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0.19</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0.25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0.20</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0.13</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0.11</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0.45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0.46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0.45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0.10</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0.08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0.13</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0.09</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0.16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0.51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0.51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0.10</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0.11</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WS08</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0.11</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WS08</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WS08</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0.10</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WS09</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WS09</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WS09</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WS10</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WS10</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0.13</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WS10</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0.13</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0.19</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0.19</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0.13</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-0.08</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-0.08</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-0.10</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-0.09</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0.16</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0.40</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0.39</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0.39</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0.39</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0.53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0.52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0.51</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0.52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0.45</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0.44</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0.43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0.45</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-0.01</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0.14</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0.49</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0.47</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0.45</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0.46</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-0.03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-0.05</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-0.07</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-0.05</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0.33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0.32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0.32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0.36</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0.38</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0.36</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0.37</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0.36</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0.53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0.50</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0.45</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0.48</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0.51</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0.50</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0.48</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0.49</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-0.10</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-0.16</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-0.13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-0.12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0.00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29.0</w:t>
                  </w:r>
                </w:p>
              </w:tc>
              <w:tc>
                <w:tcPr/>
                <w:p>
                  <w:pPr>
                    <w:pStyle w:val="Compact"/>
                    <w:jc w:val="left"/>
                    <w:jc w:val="center"/>
                  </w:pPr>
                  <w:r>
                    <w:t xml:space="preserve">0.60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31.0</w:t>
                  </w:r>
                </w:p>
              </w:tc>
              <w:tc>
                <w:tcPr/>
                <w:p>
                  <w:pPr>
                    <w:pStyle w:val="Compact"/>
                    <w:jc w:val="left"/>
                    <w:jc w:val="center"/>
                  </w:pPr>
                  <w:r>
                    <w:t xml:space="preserve">0.70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0.40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29.0</w:t>
                  </w:r>
                </w:p>
              </w:tc>
              <w:tc>
                <w:tcPr/>
                <w:p>
                  <w:pPr>
                    <w:pStyle w:val="Compact"/>
                    <w:jc w:val="left"/>
                    <w:jc w:val="center"/>
                  </w:pPr>
                  <w:r>
                    <w:t xml:space="preserve">0.60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29.0</w:t>
                  </w:r>
                </w:p>
              </w:tc>
              <w:tc>
                <w:tcPr/>
                <w:p>
                  <w:pPr>
                    <w:pStyle w:val="Compact"/>
                    <w:jc w:val="left"/>
                    <w:jc w:val="center"/>
                  </w:pPr>
                  <w:r>
                    <w:t xml:space="preserve">0.80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29.0</w:t>
                  </w:r>
                </w:p>
              </w:tc>
              <w:tc>
                <w:tcPr/>
                <w:p>
                  <w:pPr>
                    <w:pStyle w:val="Compact"/>
                    <w:jc w:val="left"/>
                    <w:jc w:val="center"/>
                  </w:pPr>
                  <w:r>
                    <w:t xml:space="preserve">0.70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31.0</w:t>
                  </w:r>
                </w:p>
              </w:tc>
              <w:tc>
                <w:tcPr/>
                <w:p>
                  <w:pPr>
                    <w:pStyle w:val="Compact"/>
                    <w:jc w:val="left"/>
                    <w:jc w:val="center"/>
                  </w:pPr>
                  <w:r>
                    <w:t xml:space="preserve">0.40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0.50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0.50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27.8</w:t>
                  </w:r>
                </w:p>
              </w:tc>
              <w:tc>
                <w:tcPr/>
                <w:p>
                  <w:pPr>
                    <w:pStyle w:val="Compact"/>
                    <w:jc w:val="left"/>
                    <w:jc w:val="center"/>
                  </w:pPr>
                  <w:r>
                    <w:t xml:space="preserve">0.34</w:t>
                  </w:r>
                </w:p>
              </w:tc>
              <w:tc>
                <w:tcPr/>
                <w:p>
                  <w:pPr>
                    <w:pStyle w:val="Compact"/>
                    <w:jc w:val="left"/>
                    <w:jc w:val="center"/>
                  </w:pPr>
                  <w:r>
                    <w:t xml:space="preserve">(Mehnert et al., 2010)</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28.0</w:t>
                  </w:r>
                </w:p>
              </w:tc>
              <w:tc>
                <w:tcPr/>
                <w:p>
                  <w:pPr>
                    <w:pStyle w:val="Compact"/>
                    <w:jc w:val="left"/>
                    <w:jc w:val="center"/>
                  </w:pPr>
                  <w:r>
                    <w:t xml:space="preserve">0.58</w:t>
                  </w:r>
                </w:p>
              </w:tc>
              <w:tc>
                <w:tcPr/>
                <w:p>
                  <w:pPr>
                    <w:pStyle w:val="Compact"/>
                    <w:jc w:val="left"/>
                    <w:jc w:val="center"/>
                  </w:pPr>
                  <w:r>
                    <w:t xml:space="preserve">(Saker et al., 1999)</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32.0</w:t>
                  </w:r>
                </w:p>
              </w:tc>
              <w:tc>
                <w:tcPr/>
                <w:p>
                  <w:pPr>
                    <w:pStyle w:val="Compact"/>
                    <w:jc w:val="left"/>
                    <w:jc w:val="center"/>
                  </w:pPr>
                  <w:r>
                    <w:t xml:space="preserve">0.71</w:t>
                  </w:r>
                </w:p>
              </w:tc>
              <w:tc>
                <w:tcPr/>
                <w:p>
                  <w:pPr>
                    <w:pStyle w:val="Compact"/>
                    <w:jc w:val="left"/>
                    <w:jc w:val="center"/>
                  </w:pPr>
                  <w:r>
                    <w:t xml:space="preserve">(Soares et al., 2010)</w:t>
                  </w:r>
                </w:p>
              </w:tc>
            </w:tr>
            <w:tr>
              <w:tc>
                <w:tcPr/>
                <w:p>
                  <w:pPr>
                    <w:pStyle w:val="Compact"/>
                    <w:jc w:val="left"/>
                    <w:jc w:val="center"/>
                  </w:pPr>
                  <w:r>
                    <w:rPr>
                      <w:i/>
                      <w:iCs/>
                    </w:rPr>
                    <w:t xml:space="preserve">Cylindrospermopsis raciborskii</w:t>
                  </w:r>
                </w:p>
              </w:tc>
              <w:tc>
                <w:tcPr/>
                <w:p>
                  <w:pPr>
                    <w:pStyle w:val="Compact"/>
                  </w:pPr>
                </w:p>
              </w:tc>
              <w:tc>
                <w:tcPr/>
                <w:p>
                  <w:pPr>
                    <w:pStyle w:val="Compact"/>
                    <w:jc w:val="left"/>
                    <w:jc w:val="center"/>
                  </w:pPr>
                  <w:r>
                    <w:t xml:space="preserve">133.4 ± 13.5</w:t>
                  </w:r>
                </w:p>
              </w:tc>
              <w:tc>
                <w:tcPr/>
                <w:p>
                  <w:pPr>
                    <w:pStyle w:val="Compact"/>
                    <w:jc w:val="left"/>
                    <w:jc w:val="center"/>
                  </w:pPr>
                  <w:r>
                    <w:t xml:space="preserve">31.3 ± 19.0</w:t>
                  </w:r>
                </w:p>
              </w:tc>
              <w:tc>
                <w:tcPr/>
                <w:p>
                  <w:pPr>
                    <w:pStyle w:val="Compact"/>
                    <w:jc w:val="left"/>
                    <w:jc w:val="center"/>
                  </w:pPr>
                  <w:r>
                    <w:t xml:space="preserve">0.77</w:t>
                  </w:r>
                </w:p>
              </w:tc>
              <w:tc>
                <w:tcPr/>
                <w:p>
                  <w:pPr>
                    <w:pStyle w:val="Compact"/>
                    <w:jc w:val="left"/>
                    <w:jc w:val="center"/>
                  </w:pPr>
                  <w:r>
                    <w:t xml:space="preserve">(Xiao et al., 2020)</w:t>
                  </w:r>
                </w:p>
              </w:tc>
            </w:tr>
            <w:tr>
              <w:tc>
                <w:tcPr/>
                <w:p>
                  <w:pPr>
                    <w:pStyle w:val="Compact"/>
                    <w:jc w:val="left"/>
                    <w:jc w:val="center"/>
                  </w:pPr>
                  <w:r>
                    <w:rPr>
                      <w:i/>
                      <w:iCs/>
                    </w:rPr>
                    <w:t xml:space="preserve">Dolichospermum aphanizomenoides</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1.46</w:t>
                  </w:r>
                </w:p>
              </w:tc>
              <w:tc>
                <w:tcPr/>
                <w:p>
                  <w:pPr>
                    <w:pStyle w:val="Compact"/>
                    <w:jc w:val="left"/>
                    <w:jc w:val="center"/>
                  </w:pPr>
                  <w:r>
                    <w:t xml:space="preserve">(Sabour et al., 2009)</w:t>
                  </w:r>
                </w:p>
              </w:tc>
            </w:tr>
            <w:tr>
              <w:tc>
                <w:tcPr/>
                <w:p>
                  <w:pPr>
                    <w:pStyle w:val="Compact"/>
                    <w:jc w:val="left"/>
                    <w:jc w:val="center"/>
                  </w:pPr>
                  <w:r>
                    <w:rPr>
                      <w:i/>
                      <w:iCs/>
                    </w:rPr>
                    <w:t xml:space="preserve">Dolichospermum bergii</w:t>
                  </w:r>
                </w:p>
              </w:tc>
              <w:tc>
                <w:tcPr/>
                <w:p>
                  <w:pPr>
                    <w:pStyle w:val="Compact"/>
                  </w:pPr>
                </w:p>
              </w:tc>
              <w:tc>
                <w:tcPr/>
                <w:p>
                  <w:pPr>
                    <w:pStyle w:val="Compact"/>
                  </w:pPr>
                </w:p>
              </w:tc>
              <w:tc>
                <w:tcPr/>
                <w:p>
                  <w:pPr>
                    <w:pStyle w:val="Compact"/>
                    <w:jc w:val="left"/>
                    <w:jc w:val="center"/>
                  </w:pPr>
                  <w:r>
                    <w:t xml:space="preserve">26.5</w:t>
                  </w:r>
                </w:p>
              </w:tc>
              <w:tc>
                <w:tcPr/>
                <w:p>
                  <w:pPr>
                    <w:pStyle w:val="Compact"/>
                    <w:jc w:val="left"/>
                    <w:jc w:val="center"/>
                  </w:pPr>
                  <w:r>
                    <w:t xml:space="preserve">0.25</w:t>
                  </w:r>
                </w:p>
              </w:tc>
              <w:tc>
                <w:tcPr/>
                <w:p>
                  <w:pPr>
                    <w:pStyle w:val="Compact"/>
                    <w:jc w:val="left"/>
                    <w:jc w:val="center"/>
                  </w:pPr>
                  <w:r>
                    <w:t xml:space="preserve">(Mehnert et al., 2010)</w:t>
                  </w:r>
                </w:p>
              </w:tc>
            </w:tr>
            <w:tr>
              <w:tc>
                <w:tcPr/>
                <w:p>
                  <w:pPr>
                    <w:pStyle w:val="Compact"/>
                    <w:jc w:val="left"/>
                    <w:jc w:val="center"/>
                  </w:pPr>
                  <w:r>
                    <w:rPr>
                      <w:i/>
                      <w:iCs/>
                    </w:rPr>
                    <w:t xml:space="preserve">Dolichospermum circinalis Ana318</w:t>
                  </w:r>
                </w:p>
              </w:tc>
              <w:tc>
                <w:tcPr/>
                <w:p>
                  <w:pPr>
                    <w:pStyle w:val="Compact"/>
                    <w:jc w:val="left"/>
                    <w:jc w:val="center"/>
                  </w:pPr>
                  <w:r>
                    <w:t xml:space="preserve">ASM</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0.12</w:t>
                  </w:r>
                </w:p>
              </w:tc>
              <w:tc>
                <w:tcPr/>
                <w:p>
                  <w:pPr>
                    <w:pStyle w:val="Compact"/>
                    <w:jc w:val="left"/>
                    <w:jc w:val="center"/>
                  </w:pPr>
                  <w:r>
                    <w:t xml:space="preserve">(Li et al., 2012)</w:t>
                  </w:r>
                </w:p>
              </w:tc>
            </w:tr>
            <w:tr>
              <w:tc>
                <w:tcPr/>
                <w:p>
                  <w:pPr>
                    <w:pStyle w:val="Compact"/>
                    <w:jc w:val="left"/>
                    <w:jc w:val="center"/>
                  </w:pPr>
                  <w:r>
                    <w:rPr>
                      <w:i/>
                      <w:iCs/>
                    </w:rPr>
                    <w:t xml:space="preserve">Dolichospermum circinalis Ana318</w:t>
                  </w:r>
                </w:p>
              </w:tc>
              <w:tc>
                <w:tcPr/>
                <w:p>
                  <w:pPr>
                    <w:pStyle w:val="Compact"/>
                    <w:jc w:val="left"/>
                    <w:jc w:val="center"/>
                  </w:pPr>
                  <w:r>
                    <w:t xml:space="preserve">ASM</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0.11</w:t>
                  </w:r>
                </w:p>
              </w:tc>
              <w:tc>
                <w:tcPr/>
                <w:p>
                  <w:pPr>
                    <w:pStyle w:val="Compact"/>
                    <w:jc w:val="left"/>
                    <w:jc w:val="center"/>
                  </w:pPr>
                  <w:r>
                    <w:t xml:space="preserve">(Li et al., 2012)</w:t>
                  </w:r>
                </w:p>
              </w:tc>
            </w:tr>
            <w:tr>
              <w:tc>
                <w:tcPr/>
                <w:p>
                  <w:pPr>
                    <w:pStyle w:val="Compact"/>
                    <w:jc w:val="left"/>
                    <w:jc w:val="center"/>
                  </w:pPr>
                  <w:r>
                    <w:rPr>
                      <w:i/>
                      <w:iCs/>
                    </w:rPr>
                    <w:t xml:space="preserve">Dolichospermum circinalis Ana318</w:t>
                  </w:r>
                </w:p>
              </w:tc>
              <w:tc>
                <w:tcPr/>
                <w:p>
                  <w:pPr>
                    <w:pStyle w:val="Compact"/>
                    <w:jc w:val="left"/>
                    <w:jc w:val="center"/>
                  </w:pPr>
                  <w:r>
                    <w:t xml:space="preserve">ASM</w:t>
                  </w:r>
                </w:p>
              </w:tc>
              <w:tc>
                <w:tcPr/>
                <w:p>
                  <w:pPr>
                    <w:pStyle w:val="Compact"/>
                    <w:jc w:val="left"/>
                    <w:jc w:val="center"/>
                  </w:pPr>
                  <w:r>
                    <w:t xml:space="preserve">100.0</w:t>
                  </w:r>
                </w:p>
              </w:tc>
              <w:tc>
                <w:tcPr/>
                <w:p>
                  <w:pPr>
                    <w:pStyle w:val="Compact"/>
                    <w:jc w:val="left"/>
                    <w:jc w:val="center"/>
                  </w:pPr>
                  <w:r>
                    <w:t xml:space="preserve">18.0</w:t>
                  </w:r>
                </w:p>
              </w:tc>
              <w:tc>
                <w:tcPr/>
                <w:p>
                  <w:pPr>
                    <w:pStyle w:val="Compact"/>
                    <w:jc w:val="left"/>
                    <w:jc w:val="center"/>
                  </w:pPr>
                  <w:r>
                    <w:t xml:space="preserve">0.13</w:t>
                  </w:r>
                </w:p>
              </w:tc>
              <w:tc>
                <w:tcPr/>
                <w:p>
                  <w:pPr>
                    <w:pStyle w:val="Compact"/>
                    <w:jc w:val="left"/>
                    <w:jc w:val="center"/>
                  </w:pPr>
                  <w:r>
                    <w:t xml:space="preserve">(Li et al., 2012)</w:t>
                  </w:r>
                </w:p>
              </w:tc>
            </w:tr>
            <w:tr>
              <w:tc>
                <w:tcPr/>
                <w:p>
                  <w:pPr>
                    <w:pStyle w:val="Compact"/>
                    <w:jc w:val="left"/>
                    <w:jc w:val="center"/>
                  </w:pPr>
                  <w:r>
                    <w:rPr>
                      <w:i/>
                      <w:iCs/>
                    </w:rPr>
                    <w:t xml:space="preserve">Dolichospermum circinalis Ana318</w:t>
                  </w:r>
                </w:p>
              </w:tc>
              <w:tc>
                <w:tcPr/>
                <w:p>
                  <w:pPr>
                    <w:pStyle w:val="Compact"/>
                    <w:jc w:val="left"/>
                    <w:jc w:val="center"/>
                  </w:pPr>
                  <w:r>
                    <w:t xml:space="preserve">ASM</w:t>
                  </w:r>
                </w:p>
              </w:tc>
              <w:tc>
                <w:tcPr/>
                <w:p>
                  <w:pPr>
                    <w:pStyle w:val="Compact"/>
                    <w:jc w:val="left"/>
                    <w:jc w:val="center"/>
                  </w:pPr>
                  <w:r>
                    <w:t xml:space="preserve">10.0</w:t>
                  </w:r>
                </w:p>
              </w:tc>
              <w:tc>
                <w:tcPr/>
                <w:p>
                  <w:pPr>
                    <w:pStyle w:val="Compact"/>
                    <w:jc w:val="left"/>
                    <w:jc w:val="center"/>
                  </w:pPr>
                  <w:r>
                    <w:t xml:space="preserve">18.0</w:t>
                  </w:r>
                </w:p>
              </w:tc>
              <w:tc>
                <w:tcPr/>
                <w:p>
                  <w:pPr>
                    <w:pStyle w:val="Compact"/>
                    <w:jc w:val="left"/>
                    <w:jc w:val="center"/>
                  </w:pPr>
                  <w:r>
                    <w:t xml:space="preserve">0.12</w:t>
                  </w:r>
                </w:p>
              </w:tc>
              <w:tc>
                <w:tcPr/>
                <w:p>
                  <w:pPr>
                    <w:pStyle w:val="Compact"/>
                    <w:jc w:val="left"/>
                    <w:jc w:val="center"/>
                  </w:pPr>
                  <w:r>
                    <w:t xml:space="preserve">(Li et al., 2012)</w:t>
                  </w:r>
                </w:p>
              </w:tc>
            </w:tr>
            <w:tr>
              <w:tc>
                <w:tcPr/>
                <w:p>
                  <w:pPr>
                    <w:pStyle w:val="Compact"/>
                    <w:jc w:val="left"/>
                    <w:jc w:val="center"/>
                  </w:pPr>
                  <w:r>
                    <w:rPr>
                      <w:i/>
                      <w:iCs/>
                    </w:rPr>
                    <w:t xml:space="preserve">Dolichospermum flos-aquae</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0.78</w:t>
                  </w:r>
                </w:p>
              </w:tc>
              <w:tc>
                <w:tcPr/>
                <w:p>
                  <w:pPr>
                    <w:pStyle w:val="Compact"/>
                    <w:jc w:val="left"/>
                    <w:jc w:val="center"/>
                  </w:pPr>
                  <w:r>
                    <w:t xml:space="preserve">(Foy et al., 1976)</w:t>
                  </w:r>
                </w:p>
              </w:tc>
            </w:tr>
            <w:tr>
              <w:tc>
                <w:tcPr/>
                <w:p>
                  <w:pPr>
                    <w:pStyle w:val="Compact"/>
                    <w:jc w:val="left"/>
                    <w:jc w:val="center"/>
                  </w:pPr>
                  <w:r>
                    <w:rPr>
                      <w:i/>
                      <w:iCs/>
                    </w:rPr>
                    <w:t xml:space="preserve">Dolichospermum flos-aquae</w:t>
                  </w:r>
                </w:p>
              </w:tc>
              <w:tc>
                <w:tcPr/>
                <w:p>
                  <w:pPr>
                    <w:pStyle w:val="Compact"/>
                  </w:pPr>
                </w:p>
              </w:tc>
              <w:tc>
                <w:tcPr/>
                <w:p>
                  <w:pPr>
                    <w:pStyle w:val="Compact"/>
                  </w:pPr>
                </w:p>
              </w:tc>
              <w:tc>
                <w:tcPr/>
                <w:p>
                  <w:pPr>
                    <w:pStyle w:val="Compact"/>
                    <w:jc w:val="left"/>
                    <w:jc w:val="center"/>
                  </w:pPr>
                  <w:r>
                    <w:t xml:space="preserve">39.0</w:t>
                  </w:r>
                </w:p>
              </w:tc>
              <w:tc>
                <w:tcPr/>
                <w:p>
                  <w:pPr>
                    <w:pStyle w:val="Compact"/>
                    <w:jc w:val="left"/>
                    <w:jc w:val="center"/>
                  </w:pPr>
                  <w:r>
                    <w:t xml:space="preserve">1.01</w:t>
                  </w:r>
                </w:p>
              </w:tc>
              <w:tc>
                <w:tcPr/>
                <w:p>
                  <w:pPr>
                    <w:pStyle w:val="Compact"/>
                    <w:jc w:val="left"/>
                    <w:jc w:val="center"/>
                  </w:pPr>
                  <w:r>
                    <w:t xml:space="preserve">(Novak and Brune, 1985)</w:t>
                  </w:r>
                </w:p>
              </w:tc>
            </w:tr>
            <w:tr>
              <w:tc>
                <w:tcPr/>
                <w:p>
                  <w:pPr>
                    <w:pStyle w:val="Compact"/>
                    <w:jc w:val="left"/>
                    <w:jc w:val="center"/>
                  </w:pPr>
                  <w:r>
                    <w:rPr>
                      <w:i/>
                      <w:iCs/>
                    </w:rPr>
                    <w:t xml:space="preserve">Dolichospermum flos-aquae</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(Rapala et al., 1993)</w:t>
                  </w:r>
                </w:p>
              </w:tc>
            </w:tr>
            <w:tr>
              <w:tc>
                <w:tcPr/>
                <w:p>
                  <w:pPr>
                    <w:pStyle w:val="Compact"/>
                    <w:jc w:val="left"/>
                    <w:jc w:val="center"/>
                  </w:pPr>
                  <w:r>
                    <w:rPr>
                      <w:i/>
                      <w:iCs/>
                    </w:rPr>
                    <w:t xml:space="preserve">Dolichospermum flos-aquae</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(Rapala et al., 1993)</w:t>
                  </w:r>
                </w:p>
              </w:tc>
            </w:tr>
            <w:tr>
              <w:tc>
                <w:tcPr/>
                <w:p>
                  <w:pPr>
                    <w:pStyle w:val="Compact"/>
                    <w:jc w:val="left"/>
                    <w:jc w:val="center"/>
                  </w:pPr>
                  <w:r>
                    <w:rPr>
                      <w:i/>
                      <w:iCs/>
                    </w:rPr>
                    <w:t xml:space="preserve">Dolichospermum macrospora</w:t>
                  </w:r>
                </w:p>
              </w:tc>
              <w:tc>
                <w:tcPr/>
                <w:p>
                  <w:pPr>
                    <w:pStyle w:val="Compact"/>
                  </w:pPr>
                </w:p>
              </w:tc>
              <w:tc>
                <w:tcPr/>
                <w:p>
                  <w:pPr>
                    <w:pStyle w:val="Compact"/>
                  </w:pPr>
                </w:p>
              </w:tc>
              <w:tc>
                <w:tcPr/>
                <w:p>
                  <w:pPr>
                    <w:pStyle w:val="Compact"/>
                    <w:jc w:val="left"/>
                    <w:jc w:val="center"/>
                  </w:pPr>
                  <w:r>
                    <w:t xml:space="preserve">25.5</w:t>
                  </w:r>
                </w:p>
              </w:tc>
              <w:tc>
                <w:tcPr/>
                <w:p>
                  <w:pPr>
                    <w:pStyle w:val="Compact"/>
                    <w:jc w:val="left"/>
                    <w:jc w:val="center"/>
                  </w:pPr>
                  <w:r>
                    <w:t xml:space="preserve">0.19</w:t>
                  </w:r>
                </w:p>
              </w:tc>
              <w:tc>
                <w:tcPr/>
                <w:p>
                  <w:pPr>
                    <w:pStyle w:val="Compact"/>
                    <w:jc w:val="left"/>
                    <w:jc w:val="center"/>
                  </w:pPr>
                  <w:r>
                    <w:t xml:space="preserve">(Mehnert et al., 2010)</w:t>
                  </w:r>
                </w:p>
              </w:tc>
            </w:tr>
            <w:tr>
              <w:tc>
                <w:tcPr/>
                <w:p>
                  <w:pPr>
                    <w:pStyle w:val="Compact"/>
                    <w:jc w:val="left"/>
                    <w:jc w:val="center"/>
                  </w:pPr>
                  <w:r>
                    <w:rPr>
                      <w:i/>
                      <w:iCs/>
                    </w:rPr>
                    <w:t xml:space="preserve">Dolichospermum mendotae</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(Rapala et al., 1993)</w:t>
                  </w:r>
                </w:p>
              </w:tc>
            </w:tr>
            <w:tr>
              <w:tc>
                <w:tcPr/>
                <w:p>
                  <w:pPr>
                    <w:pStyle w:val="Compact"/>
                    <w:jc w:val="left"/>
                    <w:jc w:val="center"/>
                  </w:pPr>
                  <w:r>
                    <w:rPr>
                      <w:i/>
                      <w:iCs/>
                    </w:rPr>
                    <w:t xml:space="preserve">Dolichospermum smithii</w:t>
                  </w:r>
                </w:p>
              </w:tc>
              <w:tc>
                <w:tcPr/>
                <w:p>
                  <w:pPr>
                    <w:pStyle w:val="Compact"/>
                    <w:jc w:val="left"/>
                    <w:jc w:val="center"/>
                  </w:pPr>
                  <w:r>
                    <w:t xml:space="preserve">CT</w:t>
                  </w:r>
                </w:p>
              </w:tc>
              <w:tc>
                <w:tcPr/>
                <w:p>
                  <w:pPr>
                    <w:pStyle w:val="Compact"/>
                    <w:jc w:val="left"/>
                    <w:jc w:val="center"/>
                  </w:pPr>
                  <w:r>
                    <w:t xml:space="preserve">60.0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(Shen et al., 2020)</w:t>
                  </w:r>
                </w:p>
              </w:tc>
            </w:tr>
            <w:tr>
              <w:tc>
                <w:tcPr/>
                <w:p>
                  <w:pPr>
                    <w:pStyle w:val="Compact"/>
                    <w:jc w:val="left"/>
                    <w:jc w:val="center"/>
                  </w:pPr>
                  <w:r>
                    <w:rPr>
                      <w:i/>
                      <w:iCs/>
                    </w:rPr>
                    <w:t xml:space="preserve">Dolichospermum smithii</w:t>
                  </w:r>
                </w:p>
              </w:tc>
              <w:tc>
                <w:tcPr/>
                <w:p>
                  <w:pPr>
                    <w:pStyle w:val="Compact"/>
                    <w:jc w:val="left"/>
                    <w:jc w:val="center"/>
                  </w:pPr>
                  <w:r>
                    <w:t xml:space="preserve">CT(N elevated)</w:t>
                  </w:r>
                </w:p>
              </w:tc>
              <w:tc>
                <w:tcPr/>
                <w:p>
                  <w:pPr>
                    <w:pStyle w:val="Compact"/>
                    <w:jc w:val="left"/>
                    <w:jc w:val="center"/>
                  </w:pPr>
                  <w:r>
                    <w:t xml:space="preserve">60.0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(Shen et al., 2020)</w:t>
                  </w:r>
                </w:p>
              </w:tc>
            </w:tr>
            <w:tr>
              <w:tc>
                <w:tcPr/>
                <w:p>
                  <w:pPr>
                    <w:pStyle w:val="Compact"/>
                    <w:jc w:val="left"/>
                    <w:jc w:val="center"/>
                  </w:pPr>
                  <w:r>
                    <w:rPr>
                      <w:i/>
                      <w:iCs/>
                    </w:rPr>
                    <w:t xml:space="preserve">Dolichospermum spiroides</w:t>
                  </w:r>
                </w:p>
              </w:tc>
              <w:tc>
                <w:tcPr/>
                <w:p>
                  <w:pPr>
                    <w:pStyle w:val="Compact"/>
                  </w:pPr>
                </w:p>
              </w:tc>
              <w:tc>
                <w:tcPr/>
                <w:p>
                  <w:pPr>
                    <w:pStyle w:val="Compact"/>
                  </w:pPr>
                </w:p>
              </w:tc>
              <w:tc>
                <w:tcPr/>
                <w:p>
                  <w:pPr>
                    <w:pStyle w:val="Compact"/>
                    <w:jc w:val="left"/>
                    <w:jc w:val="center"/>
                  </w:pPr>
                  <w:r>
                    <w:t xml:space="preserve">24.0</w:t>
                  </w:r>
                </w:p>
              </w:tc>
              <w:tc>
                <w:tcPr/>
                <w:p>
                  <w:pPr>
                    <w:pStyle w:val="Compact"/>
                    <w:jc w:val="left"/>
                    <w:jc w:val="center"/>
                  </w:pPr>
                  <w:r>
                    <w:t xml:space="preserve">0.77</w:t>
                  </w:r>
                </w:p>
              </w:tc>
              <w:tc>
                <w:tcPr/>
                <w:p>
                  <w:pPr>
                    <w:pStyle w:val="Compact"/>
                    <w:jc w:val="left"/>
                    <w:jc w:val="center"/>
                  </w:pPr>
                  <w:r>
                    <w:t xml:space="preserve">(Seki et al., 1981)</w:t>
                  </w:r>
                </w:p>
              </w:tc>
            </w:tr>
            <w:tr>
              <w:tc>
                <w:tcPr/>
                <w:p>
                  <w:pPr>
                    <w:pStyle w:val="Compact"/>
                    <w:jc w:val="left"/>
                    <w:jc w:val="center"/>
                  </w:pPr>
                  <w:r>
                    <w:rPr>
                      <w:i/>
                      <w:iCs/>
                    </w:rPr>
                    <w:t xml:space="preserve">Dolichospermum ucrainica CHAB 2155</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10.0</w:t>
                  </w:r>
                </w:p>
              </w:tc>
              <w:tc>
                <w:tcPr/>
                <w:p>
                  <w:pPr>
                    <w:pStyle w:val="Compact"/>
                    <w:jc w:val="left"/>
                    <w:jc w:val="center"/>
                  </w:pPr>
                  <w:r>
                    <w:t xml:space="preserve">-0.04</w:t>
                  </w:r>
                </w:p>
              </w:tc>
              <w:tc>
                <w:tcPr/>
                <w:p>
                  <w:pPr>
                    <w:pStyle w:val="Compact"/>
                    <w:jc w:val="left"/>
                    <w:jc w:val="center"/>
                  </w:pPr>
                  <w:r>
                    <w:t xml:space="preserve">(Wang and Li, 2015)</w:t>
                  </w:r>
                </w:p>
              </w:tc>
            </w:tr>
            <w:tr>
              <w:tc>
                <w:tcPr/>
                <w:p>
                  <w:pPr>
                    <w:pStyle w:val="Compact"/>
                    <w:jc w:val="left"/>
                    <w:jc w:val="center"/>
                  </w:pPr>
                  <w:r>
                    <w:rPr>
                      <w:i/>
                      <w:iCs/>
                    </w:rPr>
                    <w:t xml:space="preserve">Dolichospermum ucrainica CHAB 2155</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0.09</w:t>
                  </w:r>
                </w:p>
              </w:tc>
              <w:tc>
                <w:tcPr/>
                <w:p>
                  <w:pPr>
                    <w:pStyle w:val="Compact"/>
                    <w:jc w:val="left"/>
                    <w:jc w:val="center"/>
                  </w:pPr>
                  <w:r>
                    <w:t xml:space="preserve">(Wang and Li, 2015)</w:t>
                  </w:r>
                </w:p>
              </w:tc>
            </w:tr>
            <w:tr>
              <w:tc>
                <w:tcPr/>
                <w:p>
                  <w:pPr>
                    <w:pStyle w:val="Compact"/>
                    <w:jc w:val="left"/>
                    <w:jc w:val="center"/>
                  </w:pPr>
                  <w:r>
                    <w:rPr>
                      <w:i/>
                      <w:iCs/>
                    </w:rPr>
                    <w:t xml:space="preserve">Dolichospermum ucrainica CHAB 2155</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35.0</w:t>
                  </w:r>
                </w:p>
              </w:tc>
              <w:tc>
                <w:tcPr/>
                <w:p>
                  <w:pPr>
                    <w:pStyle w:val="Compact"/>
                    <w:jc w:val="left"/>
                    <w:jc w:val="center"/>
                  </w:pPr>
                  <w:r>
                    <w:t xml:space="preserve">0.10</w:t>
                  </w:r>
                </w:p>
              </w:tc>
              <w:tc>
                <w:tcPr/>
                <w:p>
                  <w:pPr>
                    <w:pStyle w:val="Compact"/>
                    <w:jc w:val="left"/>
                    <w:jc w:val="center"/>
                  </w:pPr>
                  <w:r>
                    <w:t xml:space="preserve">(Wang and Li, 2015)</w:t>
                  </w:r>
                </w:p>
              </w:tc>
            </w:tr>
            <w:tr>
              <w:tc>
                <w:tcPr/>
                <w:p>
                  <w:pPr>
                    <w:pStyle w:val="Compact"/>
                    <w:jc w:val="left"/>
                    <w:jc w:val="center"/>
                  </w:pPr>
                  <w:r>
                    <w:rPr>
                      <w:i/>
                      <w:iCs/>
                    </w:rPr>
                    <w:t xml:space="preserve">Dolichospermum ucrainica CHAB 2155</w:t>
                  </w:r>
                </w:p>
              </w:tc>
              <w:tc>
                <w:tcPr/>
                <w:p>
                  <w:pPr>
                    <w:pStyle w:val="Compact"/>
                    <w:jc w:val="left"/>
                    <w:jc w:val="center"/>
                  </w:pPr>
                  <w:r>
                    <w:t xml:space="preserve">CT</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0.08</w:t>
                  </w:r>
                </w:p>
              </w:tc>
              <w:tc>
                <w:tcPr/>
                <w:p>
                  <w:pPr>
                    <w:pStyle w:val="Compact"/>
                    <w:jc w:val="left"/>
                    <w:jc w:val="center"/>
                  </w:pPr>
                  <w:r>
                    <w:t xml:space="preserve">(Wang and Li, 2015)</w:t>
                  </w:r>
                </w:p>
              </w:tc>
            </w:tr>
            <w:tr>
              <w:tc>
                <w:tcPr/>
                <w:p>
                  <w:pPr>
                    <w:pStyle w:val="Compact"/>
                    <w:jc w:val="left"/>
                    <w:jc w:val="center"/>
                  </w:pPr>
                  <w:r>
                    <w:rPr>
                      <w:i/>
                      <w:iCs/>
                    </w:rPr>
                    <w:t xml:space="preserve">Dolichospermum ucrainica CHAB 2155</w:t>
                  </w:r>
                </w:p>
              </w:tc>
              <w:tc>
                <w:tcPr/>
                <w:p>
                  <w:pPr>
                    <w:pStyle w:val="Compact"/>
                    <w:jc w:val="left"/>
                    <w:jc w:val="center"/>
                  </w:pPr>
                  <w:r>
                    <w:t xml:space="preserve">CT</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0.10</w:t>
                  </w:r>
                </w:p>
              </w:tc>
              <w:tc>
                <w:tcPr/>
                <w:p>
                  <w:pPr>
                    <w:pStyle w:val="Compact"/>
                    <w:jc w:val="left"/>
                    <w:jc w:val="center"/>
                  </w:pPr>
                  <w:r>
                    <w:t xml:space="preserve">(Wang and Li, 2015)</w:t>
                  </w:r>
                </w:p>
              </w:tc>
            </w:tr>
            <w:tr>
              <w:tc>
                <w:tcPr/>
                <w:p>
                  <w:pPr>
                    <w:pStyle w:val="Compact"/>
                    <w:jc w:val="left"/>
                    <w:jc w:val="center"/>
                  </w:pPr>
                  <w:r>
                    <w:rPr>
                      <w:i/>
                      <w:iCs/>
                    </w:rPr>
                    <w:t xml:space="preserve">Dolichospermum ukrainica</w:t>
                  </w:r>
                </w:p>
              </w:tc>
              <w:tc>
                <w:tcPr/>
                <w:p>
                  <w:pPr>
                    <w:pStyle w:val="Compact"/>
                  </w:pPr>
                </w:p>
              </w:tc>
              <w:tc>
                <w:tcPr/>
                <w:p>
                  <w:pPr>
                    <w:pStyle w:val="Compact"/>
                  </w:pPr>
                </w:p>
              </w:tc>
              <w:tc>
                <w:tcPr/>
                <w:p>
                  <w:pPr>
                    <w:pStyle w:val="Compact"/>
                    <w:jc w:val="left"/>
                    <w:jc w:val="center"/>
                  </w:pPr>
                  <w:r>
                    <w:t xml:space="preserve">26.0</w:t>
                  </w:r>
                </w:p>
              </w:tc>
              <w:tc>
                <w:tcPr/>
                <w:p>
                  <w:pPr>
                    <w:pStyle w:val="Compact"/>
                    <w:jc w:val="left"/>
                    <w:jc w:val="center"/>
                  </w:pPr>
                  <w:r>
                    <w:t xml:space="preserve">0.78</w:t>
                  </w:r>
                </w:p>
              </w:tc>
              <w:tc>
                <w:tcPr/>
                <w:p>
                  <w:pPr>
                    <w:pStyle w:val="Compact"/>
                    <w:jc w:val="left"/>
                    <w:jc w:val="center"/>
                  </w:pPr>
                  <w:r>
                    <w:t xml:space="preserve">(Tsujimura and Okubo, 2003)</w:t>
                  </w:r>
                </w:p>
              </w:tc>
            </w:tr>
            <w:tr>
              <w:tc>
                <w:tcPr/>
                <w:p>
                  <w:pPr>
                    <w:pStyle w:val="Compact"/>
                    <w:jc w:val="left"/>
                    <w:jc w:val="center"/>
                  </w:pPr>
                  <w:r>
                    <w:rPr>
                      <w:i/>
                      <w:iCs/>
                    </w:rPr>
                    <w:t xml:space="preserve">Dolichospermum variabilis</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1.20</w:t>
                  </w:r>
                </w:p>
              </w:tc>
              <w:tc>
                <w:tcPr/>
                <w:p>
                  <w:pPr>
                    <w:pStyle w:val="Compact"/>
                    <w:jc w:val="left"/>
                    <w:jc w:val="center"/>
                  </w:pPr>
                  <w:r>
                    <w:t xml:space="preserve">(Kratz and Myers, 1955)</w:t>
                  </w:r>
                </w:p>
              </w:tc>
            </w:tr>
            <w:tr>
              <w:tc>
                <w:tcPr/>
                <w:p>
                  <w:pPr>
                    <w:pStyle w:val="Compact"/>
                    <w:jc w:val="left"/>
                    <w:jc w:val="center"/>
                  </w:pPr>
                  <w:r>
                    <w:rPr>
                      <w:i/>
                      <w:iCs/>
                    </w:rPr>
                    <w:t xml:space="preserve">Dolichospermum variabilis</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0.15</w:t>
                  </w:r>
                </w:p>
              </w:tc>
              <w:tc>
                <w:tcPr/>
                <w:p>
                  <w:pPr>
                    <w:pStyle w:val="Compact"/>
                    <w:jc w:val="left"/>
                    <w:jc w:val="center"/>
                  </w:pPr>
                  <w:r>
                    <w:t xml:space="preserve">(Wang et al., 2007)</w:t>
                  </w:r>
                </w:p>
              </w:tc>
            </w:tr>
            <w:tr>
              <w:tc>
                <w:tcPr/>
                <w:p>
                  <w:pPr>
                    <w:pStyle w:val="Compact"/>
                    <w:jc w:val="left"/>
                    <w:jc w:val="center"/>
                  </w:pPr>
                  <w:r>
                    <w:rPr>
                      <w:i/>
                      <w:iCs/>
                    </w:rPr>
                    <w:t xml:space="preserve">Dolichospermum</w:t>
                  </w:r>
                  <w:r>
                    <w:t xml:space="preserve"> </w:t>
                  </w:r>
                  <w:r>
                    <w:t xml:space="preserve">sp.</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0.13</w:t>
                  </w:r>
                </w:p>
              </w:tc>
              <w:tc>
                <w:tcPr/>
                <w:p>
                  <w:pPr>
                    <w:pStyle w:val="Compact"/>
                    <w:jc w:val="left"/>
                    <w:jc w:val="center"/>
                  </w:pPr>
                  <w:r>
                    <w:t xml:space="preserve">(Konopka and Brock, 1978)</w:t>
                  </w:r>
                </w:p>
              </w:tc>
            </w:tr>
            <w:tr>
              <w:tc>
                <w:tcPr/>
                <w:p>
                  <w:pPr>
                    <w:pStyle w:val="Compact"/>
                    <w:jc w:val="left"/>
                    <w:jc w:val="center"/>
                  </w:pPr>
                  <w:r>
                    <w:rPr>
                      <w:i/>
                      <w:iCs/>
                    </w:rPr>
                    <w:t xml:space="preserve">Dolichospermum</w:t>
                  </w:r>
                  <w:r>
                    <w:t xml:space="preserve"> </w:t>
                  </w:r>
                  <w:r>
                    <w:t xml:space="preserve">sp.</w:t>
                  </w:r>
                </w:p>
              </w:tc>
              <w:tc>
                <w:tcPr/>
                <w:p>
                  <w:pPr>
                    <w:pStyle w:val="Compact"/>
                  </w:pPr>
                </w:p>
              </w:tc>
              <w:tc>
                <w:tcPr/>
                <w:p>
                  <w:pPr>
                    <w:pStyle w:val="Compact"/>
                  </w:pPr>
                </w:p>
              </w:tc>
              <w:tc>
                <w:tcPr/>
                <w:p>
                  <w:pPr>
                    <w:pStyle w:val="Compact"/>
                    <w:jc w:val="left"/>
                    <w:jc w:val="center"/>
                  </w:pPr>
                  <w:r>
                    <w:t xml:space="preserve">32.0</w:t>
                  </w:r>
                </w:p>
              </w:tc>
              <w:tc>
                <w:tcPr/>
                <w:p>
                  <w:pPr>
                    <w:pStyle w:val="Compact"/>
                    <w:jc w:val="left"/>
                    <w:jc w:val="center"/>
                  </w:pPr>
                  <w:r>
                    <w:t xml:space="preserve">1.25</w:t>
                  </w:r>
                </w:p>
              </w:tc>
              <w:tc>
                <w:tcPr/>
                <w:p>
                  <w:pPr>
                    <w:pStyle w:val="Compact"/>
                    <w:jc w:val="left"/>
                    <w:jc w:val="center"/>
                  </w:pPr>
                  <w:r>
                    <w:t xml:space="preserve">(Nalewajko and Murphy, 2001)</w:t>
                  </w:r>
                </w:p>
              </w:tc>
            </w:tr>
            <w:tr>
              <w:tc>
                <w:tcPr/>
                <w:p>
                  <w:pPr>
                    <w:pStyle w:val="Compact"/>
                    <w:jc w:val="left"/>
                    <w:jc w:val="center"/>
                  </w:pPr>
                  <w:r>
                    <w:rPr>
                      <w:i/>
                      <w:iCs/>
                    </w:rPr>
                    <w:t xml:space="preserve">Dolichospermum</w:t>
                  </w:r>
                  <w:r>
                    <w:t xml:space="preserve"> </w:t>
                  </w:r>
                  <w:r>
                    <w:t xml:space="preserve">sp.</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0.15</w:t>
                  </w:r>
                </w:p>
              </w:tc>
              <w:tc>
                <w:tcPr/>
                <w:p>
                  <w:pPr>
                    <w:pStyle w:val="Compact"/>
                    <w:jc w:val="left"/>
                    <w:jc w:val="center"/>
                  </w:pPr>
                  <w:r>
                    <w:t xml:space="preserve">(Rapala et al., 1997)</w:t>
                  </w:r>
                </w:p>
              </w:tc>
            </w:tr>
            <w:tr>
              <w:tc>
                <w:tcPr/>
                <w:p>
                  <w:pPr>
                    <w:pStyle w:val="Compact"/>
                    <w:jc w:val="left"/>
                    <w:jc w:val="center"/>
                  </w:pPr>
                  <w:r>
                    <w:rPr>
                      <w:i/>
                      <w:iCs/>
                    </w:rPr>
                    <w:t xml:space="preserve">Dolichospermum</w:t>
                  </w:r>
                  <w:r>
                    <w:t xml:space="preserve"> </w:t>
                  </w:r>
                  <w:r>
                    <w:t xml:space="preserve">sp.</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0.14</w:t>
                  </w:r>
                </w:p>
              </w:tc>
              <w:tc>
                <w:tcPr/>
                <w:p>
                  <w:pPr>
                    <w:pStyle w:val="Compact"/>
                    <w:jc w:val="left"/>
                    <w:jc w:val="center"/>
                  </w:pPr>
                  <w:r>
                    <w:t xml:space="preserve">(Rapala et al., 1997)</w:t>
                  </w:r>
                </w:p>
              </w:tc>
            </w:tr>
            <w:tr>
              <w:tc>
                <w:tcPr/>
                <w:p>
                  <w:pPr>
                    <w:pStyle w:val="Compact"/>
                    <w:jc w:val="left"/>
                    <w:jc w:val="center"/>
                  </w:pPr>
                  <w:r>
                    <w:rPr>
                      <w:i/>
                      <w:iCs/>
                    </w:rPr>
                    <w:t xml:space="preserve">Dolichospermum</w:t>
                  </w:r>
                  <w:r>
                    <w:t xml:space="preserve"> </w:t>
                  </w:r>
                  <w:r>
                    <w:t xml:space="preserve">sp.</w:t>
                  </w:r>
                </w:p>
              </w:tc>
              <w:tc>
                <w:tcPr/>
                <w:p>
                  <w:pPr>
                    <w:pStyle w:val="Compact"/>
                  </w:pPr>
                </w:p>
              </w:tc>
              <w:tc>
                <w:tcPr/>
                <w:p>
                  <w:pPr>
                    <w:pStyle w:val="Compact"/>
                  </w:pPr>
                </w:p>
              </w:tc>
              <w:tc>
                <w:tcPr/>
                <w:p>
                  <w:pPr>
                    <w:pStyle w:val="Compact"/>
                    <w:jc w:val="left"/>
                    <w:jc w:val="center"/>
                  </w:pPr>
                  <w:r>
                    <w:t xml:space="preserve">28.0</w:t>
                  </w:r>
                </w:p>
              </w:tc>
              <w:tc>
                <w:tcPr/>
                <w:p>
                  <w:pPr>
                    <w:pStyle w:val="Compact"/>
                    <w:jc w:val="left"/>
                    <w:jc w:val="center"/>
                  </w:pPr>
                  <w:r>
                    <w:t xml:space="preserve">0.80</w:t>
                  </w:r>
                </w:p>
              </w:tc>
              <w:tc>
                <w:tcPr/>
                <w:p>
                  <w:pPr>
                    <w:pStyle w:val="Compact"/>
                    <w:jc w:val="left"/>
                    <w:jc w:val="center"/>
                  </w:pPr>
                  <w:r>
                    <w:t xml:space="preserve">(Vincent and Silvester, 1979)</w:t>
                  </w:r>
                </w:p>
              </w:tc>
            </w:tr>
            <w:tr>
              <w:tc>
                <w:tcPr/>
                <w:p>
                  <w:pPr>
                    <w:pStyle w:val="Compact"/>
                    <w:jc w:val="left"/>
                    <w:jc w:val="center"/>
                  </w:pPr>
                  <w:r>
                    <w:rPr>
                      <w:i/>
                      <w:iCs/>
                    </w:rPr>
                    <w:t xml:space="preserve">Dolichospermum sp. PCC7122</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0.46</w:t>
                  </w:r>
                </w:p>
              </w:tc>
              <w:tc>
                <w:tcPr/>
                <w:p>
                  <w:pPr>
                    <w:pStyle w:val="Compact"/>
                    <w:jc w:val="left"/>
                    <w:jc w:val="center"/>
                  </w:pPr>
                  <w:r>
                    <w:t xml:space="preserve">(Lürling et al., 2013)</w:t>
                  </w:r>
                </w:p>
              </w:tc>
            </w:tr>
            <w:tr>
              <w:tc>
                <w:tcPr/>
                <w:p>
                  <w:pPr>
                    <w:pStyle w:val="Compact"/>
                    <w:jc w:val="left"/>
                    <w:jc w:val="center"/>
                  </w:pPr>
                  <w:r>
                    <w:rPr>
                      <w:i/>
                      <w:iCs/>
                    </w:rPr>
                    <w:t xml:space="preserve">Dolichospermum sp. PCC7122</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0.93</w:t>
                  </w:r>
                </w:p>
              </w:tc>
              <w:tc>
                <w:tcPr/>
                <w:p>
                  <w:pPr>
                    <w:pStyle w:val="Compact"/>
                    <w:jc w:val="left"/>
                    <w:jc w:val="center"/>
                  </w:pPr>
                  <w:r>
                    <w:t xml:space="preserve">(Lürling et al., 2013)</w:t>
                  </w:r>
                </w:p>
              </w:tc>
            </w:tr>
            <w:tr>
              <w:tc>
                <w:tcPr/>
                <w:p>
                  <w:pPr>
                    <w:pStyle w:val="Compact"/>
                    <w:jc w:val="left"/>
                    <w:jc w:val="center"/>
                  </w:pPr>
                  <w:r>
                    <w:rPr>
                      <w:i/>
                      <w:iCs/>
                    </w:rPr>
                    <w:t xml:space="preserve">Dolichospermum sp. PCC7122</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0.75</w:t>
                  </w:r>
                </w:p>
              </w:tc>
              <w:tc>
                <w:tcPr/>
                <w:p>
                  <w:pPr>
                    <w:pStyle w:val="Compact"/>
                    <w:jc w:val="left"/>
                    <w:jc w:val="center"/>
                  </w:pPr>
                  <w:r>
                    <w:t xml:space="preserve">(Lürling et al., 2013)</w:t>
                  </w:r>
                </w:p>
              </w:tc>
            </w:tr>
            <w:tr>
              <w:tc>
                <w:tcPr/>
                <w:p>
                  <w:pPr>
                    <w:pStyle w:val="Compact"/>
                    <w:jc w:val="left"/>
                    <w:jc w:val="center"/>
                  </w:pPr>
                  <w:r>
                    <w:rPr>
                      <w:i/>
                      <w:iCs/>
                    </w:rPr>
                    <w:t xml:space="preserve">Dolichospermum sp. PCC7122</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NA</w:t>
                  </w:r>
                </w:p>
              </w:tc>
              <w:tc>
                <w:tcPr/>
                <w:p>
                  <w:pPr>
                    <w:pStyle w:val="Compact"/>
                    <w:jc w:val="left"/>
                    <w:jc w:val="center"/>
                  </w:pPr>
                  <w:r>
                    <w:t xml:space="preserve">(Lürling et al., 2013)</w:t>
                  </w:r>
                </w:p>
              </w:tc>
            </w:tr>
            <w:tr>
              <w:tc>
                <w:tcPr/>
                <w:p>
                  <w:pPr>
                    <w:pStyle w:val="Compact"/>
                    <w:jc w:val="left"/>
                    <w:jc w:val="center"/>
                  </w:pPr>
                  <w:r>
                    <w:rPr>
                      <w:i/>
                      <w:iCs/>
                    </w:rPr>
                    <w:t xml:space="preserve">Dolichospermum sp. PCC7122</w:t>
                  </w:r>
                </w:p>
              </w:tc>
              <w:tc>
                <w:tcPr/>
                <w:p>
                  <w:pPr>
                    <w:pStyle w:val="Compact"/>
                  </w:pPr>
                </w:p>
              </w:tc>
              <w:tc>
                <w:tcPr/>
                <w:p>
                  <w:pPr>
                    <w:pStyle w:val="Compact"/>
                  </w:pPr>
                </w:p>
              </w:tc>
              <w:tc>
                <w:tcPr/>
                <w:p>
                  <w:pPr>
                    <w:pStyle w:val="Compact"/>
                    <w:jc w:val="left"/>
                    <w:jc w:val="center"/>
                  </w:pPr>
                  <w:r>
                    <w:t xml:space="preserve">32.5</w:t>
                  </w:r>
                </w:p>
              </w:tc>
              <w:tc>
                <w:tcPr/>
                <w:p>
                  <w:pPr>
                    <w:pStyle w:val="Compact"/>
                    <w:jc w:val="left"/>
                    <w:jc w:val="center"/>
                  </w:pPr>
                  <w:r>
                    <w:t xml:space="preserve">0.53</w:t>
                  </w:r>
                </w:p>
              </w:tc>
              <w:tc>
                <w:tcPr/>
                <w:p>
                  <w:pPr>
                    <w:pStyle w:val="Compact"/>
                    <w:jc w:val="left"/>
                    <w:jc w:val="center"/>
                  </w:pPr>
                  <w:r>
                    <w:t xml:space="preserve">(Lürling et al., 2013)</w:t>
                  </w:r>
                </w:p>
              </w:tc>
            </w:tr>
            <w:tr>
              <w:tc>
                <w:tcPr/>
                <w:p>
                  <w:pPr>
                    <w:pStyle w:val="Compact"/>
                    <w:jc w:val="left"/>
                    <w:jc w:val="center"/>
                  </w:pPr>
                  <w:r>
                    <w:rPr>
                      <w:i/>
                      <w:iCs/>
                    </w:rPr>
                    <w:t xml:space="preserve">Dolichospermum sp. PCC7122</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0.58</w:t>
                  </w:r>
                </w:p>
              </w:tc>
              <w:tc>
                <w:tcPr/>
                <w:p>
                  <w:pPr>
                    <w:pStyle w:val="Compact"/>
                    <w:jc w:val="left"/>
                    <w:jc w:val="center"/>
                  </w:pPr>
                  <w:r>
                    <w:t xml:space="preserve">(Lürling et al., 2013)</w:t>
                  </w:r>
                </w:p>
              </w:tc>
            </w:tr>
            <w:tr>
              <w:tc>
                <w:tcPr/>
                <w:p>
                  <w:pPr>
                    <w:pStyle w:val="Compact"/>
                    <w:jc w:val="left"/>
                    <w:jc w:val="center"/>
                  </w:pPr>
                  <w:r>
                    <w:rPr>
                      <w:i/>
                      <w:iCs/>
                    </w:rPr>
                    <w:t xml:space="preserve">Limnothrix redeckei</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(Tiwari et al., 2001)</w:t>
                  </w:r>
                </w:p>
              </w:tc>
            </w:tr>
            <w:tr>
              <w:tc>
                <w:tcPr/>
                <w:p>
                  <w:pPr>
                    <w:pStyle w:val="Compact"/>
                    <w:jc w:val="left"/>
                    <w:jc w:val="center"/>
                  </w:pPr>
                  <w:r>
                    <w:rPr>
                      <w:i/>
                      <w:iCs/>
                    </w:rPr>
                    <w:t xml:space="preserve">Limnothrix redekei</w:t>
                  </w:r>
                </w:p>
              </w:tc>
              <w:tc>
                <w:tcPr/>
                <w:p>
                  <w:pPr>
                    <w:pStyle w:val="Compact"/>
                    <w:jc w:val="left"/>
                    <w:jc w:val="center"/>
                  </w:pPr>
                  <w:r>
                    <w:t xml:space="preserve">MV-NH4</w:t>
                  </w:r>
                </w:p>
              </w:tc>
              <w:tc>
                <w:tcPr/>
                <w:p>
                  <w:pPr>
                    <w:pStyle w:val="Compact"/>
                    <w:jc w:val="left"/>
                    <w:jc w:val="center"/>
                  </w:pPr>
                  <w:r>
                    <w:t xml:space="preserve">120.0</w:t>
                  </w:r>
                </w:p>
              </w:tc>
              <w:tc>
                <w:tcPr/>
                <w:p>
                  <w:pPr>
                    <w:pStyle w:val="Compact"/>
                    <w:jc w:val="left"/>
                    <w:jc w:val="center"/>
                  </w:pPr>
                  <w:r>
                    <w:t xml:space="preserve">10.0</w:t>
                  </w:r>
                </w:p>
              </w:tc>
              <w:tc>
                <w:tcPr/>
                <w:p>
                  <w:pPr>
                    <w:pStyle w:val="Compact"/>
                    <w:jc w:val="left"/>
                    <w:jc w:val="center"/>
                  </w:pPr>
                  <w:r>
                    <w:t xml:space="preserve">0.17</w:t>
                  </w:r>
                </w:p>
              </w:tc>
              <w:tc>
                <w:tcPr/>
                <w:p>
                  <w:pPr>
                    <w:pStyle w:val="Compact"/>
                    <w:jc w:val="left"/>
                    <w:jc w:val="center"/>
                  </w:pPr>
                  <w:r>
                    <w:t xml:space="preserve">(Nicklisch, 1999)</w:t>
                  </w:r>
                </w:p>
              </w:tc>
            </w:tr>
            <w:tr>
              <w:tc>
                <w:tcPr/>
                <w:p>
                  <w:pPr>
                    <w:pStyle w:val="Compact"/>
                    <w:jc w:val="left"/>
                    <w:jc w:val="center"/>
                  </w:pPr>
                  <w:r>
                    <w:rPr>
                      <w:i/>
                      <w:iCs/>
                    </w:rPr>
                    <w:t xml:space="preserve">Limnothrix redekei</w:t>
                  </w:r>
                </w:p>
              </w:tc>
              <w:tc>
                <w:tcPr/>
                <w:p>
                  <w:pPr>
                    <w:pStyle w:val="Compact"/>
                    <w:jc w:val="left"/>
                    <w:jc w:val="center"/>
                  </w:pPr>
                  <w:r>
                    <w:t xml:space="preserve">MV-NH4</w:t>
                  </w:r>
                </w:p>
              </w:tc>
              <w:tc>
                <w:tcPr/>
                <w:p>
                  <w:pPr>
                    <w:pStyle w:val="Compact"/>
                    <w:jc w:val="left"/>
                    <w:jc w:val="center"/>
                  </w:pPr>
                  <w:r>
                    <w:t xml:space="preserve">120.0</w:t>
                  </w:r>
                </w:p>
              </w:tc>
              <w:tc>
                <w:tcPr/>
                <w:p>
                  <w:pPr>
                    <w:pStyle w:val="Compact"/>
                    <w:jc w:val="left"/>
                    <w:jc w:val="center"/>
                  </w:pPr>
                  <w:r>
                    <w:t xml:space="preserve">15.0</w:t>
                  </w:r>
                </w:p>
              </w:tc>
              <w:tc>
                <w:tcPr/>
                <w:p>
                  <w:pPr>
                    <w:pStyle w:val="Compact"/>
                    <w:jc w:val="left"/>
                    <w:jc w:val="center"/>
                  </w:pPr>
                  <w:r>
                    <w:t xml:space="preserve">0.53</w:t>
                  </w:r>
                </w:p>
              </w:tc>
              <w:tc>
                <w:tcPr/>
                <w:p>
                  <w:pPr>
                    <w:pStyle w:val="Compact"/>
                    <w:jc w:val="left"/>
                    <w:jc w:val="center"/>
                  </w:pPr>
                  <w:r>
                    <w:t xml:space="preserve">(Nicklisch, 1999)</w:t>
                  </w:r>
                </w:p>
              </w:tc>
            </w:tr>
            <w:tr>
              <w:tc>
                <w:tcPr/>
                <w:p>
                  <w:pPr>
                    <w:pStyle w:val="Compact"/>
                    <w:jc w:val="left"/>
                    <w:jc w:val="center"/>
                  </w:pPr>
                  <w:r>
                    <w:rPr>
                      <w:i/>
                      <w:iCs/>
                    </w:rPr>
                    <w:t xml:space="preserve">Limnothrix redekei</w:t>
                  </w:r>
                </w:p>
              </w:tc>
              <w:tc>
                <w:tcPr/>
                <w:p>
                  <w:pPr>
                    <w:pStyle w:val="Compact"/>
                  </w:pPr>
                </w:p>
              </w:tc>
              <w:tc>
                <w:tcPr/>
                <w:p>
                  <w:pPr>
                    <w:pStyle w:val="Compact"/>
                  </w:pPr>
                </w:p>
              </w:tc>
              <w:tc>
                <w:tcPr/>
                <w:p>
                  <w:pPr>
                    <w:pStyle w:val="Compact"/>
                  </w:pPr>
                </w:p>
              </w:tc>
              <w:tc>
                <w:tcPr/>
                <w:p>
                  <w:pPr>
                    <w:pStyle w:val="Compact"/>
                    <w:jc w:val="left"/>
                    <w:jc w:val="center"/>
                  </w:pPr>
                  <w:r>
                    <w:t xml:space="preserve">0.10</w:t>
                  </w:r>
                </w:p>
              </w:tc>
              <w:tc>
                <w:tcPr/>
                <w:p>
                  <w:pPr>
                    <w:pStyle w:val="Compact"/>
                    <w:jc w:val="left"/>
                    <w:jc w:val="center"/>
                  </w:pPr>
                  <w:r>
                    <w:t xml:space="preserve">(Nicklisch, 1992)</w:t>
                  </w:r>
                </w:p>
              </w:tc>
            </w:tr>
            <w:tr>
              <w:tc>
                <w:tcPr/>
                <w:p>
                  <w:pPr>
                    <w:pStyle w:val="Compact"/>
                    <w:jc w:val="left"/>
                    <w:jc w:val="center"/>
                  </w:pPr>
                  <w:r>
                    <w:rPr>
                      <w:i/>
                      <w:iCs/>
                    </w:rPr>
                    <w:t xml:space="preserve">Limnothrix redekei</w:t>
                  </w:r>
                </w:p>
              </w:tc>
              <w:tc>
                <w:tcPr/>
                <w:p>
                  <w:pPr>
                    <w:pStyle w:val="Compact"/>
                  </w:pPr>
                </w:p>
              </w:tc>
              <w:tc>
                <w:tcPr/>
                <w:p>
                  <w:pPr>
                    <w:pStyle w:val="Compact"/>
                    <w:jc w:val="left"/>
                    <w:jc w:val="center"/>
                  </w:pPr>
                  <w:r>
                    <w:t xml:space="preserve">24.0</w:t>
                  </w:r>
                </w:p>
              </w:tc>
              <w:tc>
                <w:tcPr/>
                <w:p>
                  <w:pPr>
                    <w:pStyle w:val="Compact"/>
                    <w:jc w:val="left"/>
                    <w:jc w:val="center"/>
                  </w:pPr>
                  <w:r>
                    <w:t xml:space="preserve">15.0</w:t>
                  </w:r>
                </w:p>
              </w:tc>
              <w:tc>
                <w:tcPr/>
                <w:p>
                  <w:pPr>
                    <w:pStyle w:val="Compact"/>
                    <w:jc w:val="left"/>
                    <w:jc w:val="center"/>
                  </w:pPr>
                  <w:r>
                    <w:t xml:space="preserve">0.52</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pPr>
                </w:p>
              </w:tc>
              <w:tc>
                <w:tcPr/>
                <w:p>
                  <w:pPr>
                    <w:pStyle w:val="Compact"/>
                    <w:jc w:val="left"/>
                    <w:jc w:val="center"/>
                  </w:pPr>
                  <w:r>
                    <w:t xml:space="preserve">32.0</w:t>
                  </w:r>
                </w:p>
              </w:tc>
              <w:tc>
                <w:tcPr/>
                <w:p>
                  <w:pPr>
                    <w:pStyle w:val="Compact"/>
                    <w:jc w:val="left"/>
                    <w:jc w:val="center"/>
                  </w:pPr>
                  <w:r>
                    <w:t xml:space="preserve">15.0</w:t>
                  </w:r>
                </w:p>
              </w:tc>
              <w:tc>
                <w:tcPr/>
                <w:p>
                  <w:pPr>
                    <w:pStyle w:val="Compact"/>
                    <w:jc w:val="left"/>
                    <w:jc w:val="center"/>
                  </w:pPr>
                  <w:r>
                    <w:t xml:space="preserve">0.37</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pPr>
                </w:p>
              </w:tc>
              <w:tc>
                <w:tcPr/>
                <w:p>
                  <w:pPr>
                    <w:pStyle w:val="Compact"/>
                    <w:jc w:val="left"/>
                    <w:jc w:val="center"/>
                  </w:pPr>
                  <w:r>
                    <w:t xml:space="preserve">27.0</w:t>
                  </w:r>
                </w:p>
              </w:tc>
              <w:tc>
                <w:tcPr/>
                <w:p>
                  <w:pPr>
                    <w:pStyle w:val="Compact"/>
                    <w:jc w:val="left"/>
                    <w:jc w:val="center"/>
                  </w:pPr>
                  <w:r>
                    <w:t xml:space="preserve">15.0</w:t>
                  </w:r>
                </w:p>
              </w:tc>
              <w:tc>
                <w:tcPr/>
                <w:p>
                  <w:pPr>
                    <w:pStyle w:val="Compact"/>
                    <w:jc w:val="left"/>
                    <w:jc w:val="center"/>
                  </w:pPr>
                  <w:r>
                    <w:t xml:space="preserve">0.31</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pPr>
                </w:p>
              </w:tc>
              <w:tc>
                <w:tcPr/>
                <w:p>
                  <w:pPr>
                    <w:pStyle w:val="Compact"/>
                  </w:pPr>
                </w:p>
              </w:tc>
              <w:tc>
                <w:tcPr/>
                <w:p>
                  <w:pPr>
                    <w:pStyle w:val="Compact"/>
                    <w:jc w:val="left"/>
                    <w:jc w:val="center"/>
                  </w:pPr>
                  <w:r>
                    <w:t xml:space="preserve">15.0</w:t>
                  </w:r>
                </w:p>
              </w:tc>
              <w:tc>
                <w:tcPr/>
                <w:p>
                  <w:pPr>
                    <w:pStyle w:val="Compact"/>
                    <w:jc w:val="left"/>
                    <w:jc w:val="center"/>
                  </w:pPr>
                  <w:r>
                    <w:t xml:space="preserve">0.21</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pPr>
                </w:p>
              </w:tc>
              <w:tc>
                <w:tcPr/>
                <w:p>
                  <w:pPr>
                    <w:pStyle w:val="Compact"/>
                  </w:pPr>
                </w:p>
              </w:tc>
              <w:tc>
                <w:tcPr/>
                <w:p>
                  <w:pPr>
                    <w:pStyle w:val="Compact"/>
                    <w:jc w:val="left"/>
                    <w:jc w:val="center"/>
                  </w:pPr>
                  <w:r>
                    <w:t xml:space="preserve">15.0</w:t>
                  </w:r>
                </w:p>
              </w:tc>
              <w:tc>
                <w:tcPr/>
                <w:p>
                  <w:pPr>
                    <w:pStyle w:val="Compact"/>
                    <w:jc w:val="left"/>
                    <w:jc w:val="center"/>
                  </w:pPr>
                  <w:r>
                    <w:t xml:space="preserve">0.22</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pPr>
                </w:p>
              </w:tc>
              <w:tc>
                <w:tcPr/>
                <w:p>
                  <w:pPr>
                    <w:pStyle w:val="Compact"/>
                  </w:pPr>
                </w:p>
              </w:tc>
              <w:tc>
                <w:tcPr/>
                <w:p>
                  <w:pPr>
                    <w:pStyle w:val="Compact"/>
                    <w:jc w:val="left"/>
                    <w:jc w:val="center"/>
                  </w:pPr>
                  <w:r>
                    <w:t xml:space="preserve">10.0</w:t>
                  </w:r>
                </w:p>
              </w:tc>
              <w:tc>
                <w:tcPr/>
                <w:p>
                  <w:pPr>
                    <w:pStyle w:val="Compact"/>
                    <w:jc w:val="left"/>
                    <w:jc w:val="center"/>
                  </w:pPr>
                  <w:r>
                    <w:t xml:space="preserve">0.32</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0.70</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pPr>
                </w:p>
              </w:tc>
              <w:tc>
                <w:tcPr/>
                <w:p>
                  <w:pPr>
                    <w:pStyle w:val="Compact"/>
                  </w:pPr>
                </w:p>
              </w:tc>
              <w:tc>
                <w:tcPr/>
                <w:p>
                  <w:pPr>
                    <w:pStyle w:val="Compact"/>
                    <w:jc w:val="left"/>
                    <w:jc w:val="center"/>
                  </w:pPr>
                  <w:r>
                    <w:t xml:space="preserve">10.0</w:t>
                  </w:r>
                </w:p>
              </w:tc>
              <w:tc>
                <w:tcPr/>
                <w:p>
                  <w:pPr>
                    <w:pStyle w:val="Compact"/>
                    <w:jc w:val="left"/>
                    <w:jc w:val="center"/>
                  </w:pPr>
                  <w:r>
                    <w:t xml:space="preserve">0.22</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0.51</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122.0</w:t>
                  </w:r>
                </w:p>
              </w:tc>
              <w:tc>
                <w:tcPr/>
                <w:p>
                  <w:pPr>
                    <w:pStyle w:val="Compact"/>
                    <w:jc w:val="left"/>
                    <w:jc w:val="center"/>
                  </w:pPr>
                  <w:r>
                    <w:t xml:space="preserve">20.0</w:t>
                  </w:r>
                </w:p>
              </w:tc>
              <w:tc>
                <w:tcPr/>
                <w:p>
                  <w:pPr>
                    <w:pStyle w:val="Compact"/>
                    <w:jc w:val="left"/>
                    <w:jc w:val="center"/>
                  </w:pPr>
                  <w:r>
                    <w:t xml:space="preserve">0.47</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75.0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122.0</w:t>
                  </w:r>
                </w:p>
              </w:tc>
              <w:tc>
                <w:tcPr/>
                <w:p>
                  <w:pPr>
                    <w:pStyle w:val="Compact"/>
                    <w:jc w:val="left"/>
                    <w:jc w:val="center"/>
                  </w:pPr>
                  <w:r>
                    <w:t xml:space="preserve">20.0</w:t>
                  </w:r>
                </w:p>
              </w:tc>
              <w:tc>
                <w:tcPr/>
                <w:p>
                  <w:pPr>
                    <w:pStyle w:val="Compact"/>
                    <w:jc w:val="left"/>
                    <w:jc w:val="center"/>
                  </w:pPr>
                  <w:r>
                    <w:t xml:space="preserve">0.53</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134.0</w:t>
                  </w:r>
                </w:p>
              </w:tc>
              <w:tc>
                <w:tcPr/>
                <w:p>
                  <w:pPr>
                    <w:pStyle w:val="Compact"/>
                    <w:jc w:val="left"/>
                    <w:jc w:val="center"/>
                  </w:pPr>
                  <w:r>
                    <w:t xml:space="preserve">20.0</w:t>
                  </w:r>
                </w:p>
              </w:tc>
              <w:tc>
                <w:tcPr/>
                <w:p>
                  <w:pPr>
                    <w:pStyle w:val="Compact"/>
                    <w:jc w:val="left"/>
                    <w:jc w:val="center"/>
                  </w:pPr>
                  <w:r>
                    <w:t xml:space="preserve">0.80</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56.0</w:t>
                  </w:r>
                </w:p>
              </w:tc>
              <w:tc>
                <w:tcPr/>
                <w:p>
                  <w:pPr>
                    <w:pStyle w:val="Compact"/>
                    <w:jc w:val="left"/>
                    <w:jc w:val="center"/>
                  </w:pPr>
                  <w:r>
                    <w:t xml:space="preserve">20.0</w:t>
                  </w:r>
                </w:p>
              </w:tc>
              <w:tc>
                <w:tcPr/>
                <w:p>
                  <w:pPr>
                    <w:pStyle w:val="Compact"/>
                    <w:jc w:val="left"/>
                    <w:jc w:val="center"/>
                  </w:pPr>
                  <w:r>
                    <w:t xml:space="preserve">0.70</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254.0</w:t>
                  </w:r>
                </w:p>
              </w:tc>
              <w:tc>
                <w:tcPr/>
                <w:p>
                  <w:pPr>
                    <w:pStyle w:val="Compact"/>
                    <w:jc w:val="left"/>
                    <w:jc w:val="center"/>
                  </w:pPr>
                  <w:r>
                    <w:t xml:space="preserve">20.0</w:t>
                  </w:r>
                </w:p>
              </w:tc>
              <w:tc>
                <w:tcPr/>
                <w:p>
                  <w:pPr>
                    <w:pStyle w:val="Compact"/>
                    <w:jc w:val="left"/>
                    <w:jc w:val="center"/>
                  </w:pPr>
                  <w:r>
                    <w:t xml:space="preserve">0.50</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60.0</w:t>
                  </w:r>
                </w:p>
              </w:tc>
              <w:tc>
                <w:tcPr/>
                <w:p>
                  <w:pPr>
                    <w:pStyle w:val="Compact"/>
                    <w:jc w:val="left"/>
                    <w:jc w:val="center"/>
                  </w:pPr>
                  <w:r>
                    <w:t xml:space="preserve">20.0</w:t>
                  </w:r>
                </w:p>
              </w:tc>
              <w:tc>
                <w:tcPr/>
                <w:p>
                  <w:pPr>
                    <w:pStyle w:val="Compact"/>
                    <w:jc w:val="left"/>
                    <w:jc w:val="center"/>
                  </w:pPr>
                  <w:r>
                    <w:t xml:space="preserve">1.11</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183.0</w:t>
                  </w:r>
                </w:p>
              </w:tc>
              <w:tc>
                <w:tcPr/>
                <w:p>
                  <w:pPr>
                    <w:pStyle w:val="Compact"/>
                    <w:jc w:val="left"/>
                    <w:jc w:val="center"/>
                  </w:pPr>
                  <w:r>
                    <w:t xml:space="preserve">20.0</w:t>
                  </w:r>
                </w:p>
              </w:tc>
              <w:tc>
                <w:tcPr/>
                <w:p>
                  <w:pPr>
                    <w:pStyle w:val="Compact"/>
                    <w:jc w:val="left"/>
                    <w:jc w:val="center"/>
                  </w:pPr>
                  <w:r>
                    <w:t xml:space="preserve">0.69</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270.0</w:t>
                  </w:r>
                </w:p>
              </w:tc>
              <w:tc>
                <w:tcPr/>
                <w:p>
                  <w:pPr>
                    <w:pStyle w:val="Compact"/>
                    <w:jc w:val="left"/>
                    <w:jc w:val="center"/>
                  </w:pPr>
                  <w:r>
                    <w:t xml:space="preserve">20.0</w:t>
                  </w:r>
                </w:p>
              </w:tc>
              <w:tc>
                <w:tcPr/>
                <w:p>
                  <w:pPr>
                    <w:pStyle w:val="Compact"/>
                    <w:jc w:val="left"/>
                    <w:jc w:val="center"/>
                  </w:pPr>
                  <w:r>
                    <w:t xml:space="preserve">0.70</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427.0</w:t>
                  </w:r>
                </w:p>
              </w:tc>
              <w:tc>
                <w:tcPr/>
                <w:p>
                  <w:pPr>
                    <w:pStyle w:val="Compact"/>
                    <w:jc w:val="left"/>
                    <w:jc w:val="center"/>
                  </w:pPr>
                  <w:r>
                    <w:t xml:space="preserve">20.0</w:t>
                  </w:r>
                </w:p>
              </w:tc>
              <w:tc>
                <w:tcPr/>
                <w:p>
                  <w:pPr>
                    <w:pStyle w:val="Compact"/>
                    <w:jc w:val="left"/>
                    <w:jc w:val="center"/>
                  </w:pPr>
                  <w:r>
                    <w:t xml:space="preserve">0.28</w:t>
                  </w:r>
                </w:p>
              </w:tc>
              <w:tc>
                <w:tcPr/>
                <w:p>
                  <w:pPr>
                    <w:pStyle w:val="Compact"/>
                    <w:jc w:val="left"/>
                    <w:jc w:val="center"/>
                  </w:pPr>
                  <w:r>
                    <w:t xml:space="preserve">(Nicklisch, 1998)</w:t>
                  </w:r>
                </w:p>
              </w:tc>
            </w:tr>
            <w:tr>
              <w:tc>
                <w:tcPr/>
                <w:p>
                  <w:pPr>
                    <w:pStyle w:val="Compact"/>
                    <w:jc w:val="left"/>
                    <w:jc w:val="center"/>
                  </w:pPr>
                  <w:r>
                    <w:rPr>
                      <w:i/>
                      <w:iCs/>
                    </w:rPr>
                    <w:t xml:space="preserve">Lyngbya dendrobia</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0.06</w:t>
                  </w:r>
                </w:p>
              </w:tc>
              <w:tc>
                <w:tcPr/>
                <w:p>
                  <w:pPr>
                    <w:pStyle w:val="Compact"/>
                    <w:jc w:val="left"/>
                    <w:jc w:val="center"/>
                  </w:pPr>
                  <w:r>
                    <w:t xml:space="preserve">(Tiwari et al., 2001)</w:t>
                  </w:r>
                </w:p>
              </w:tc>
            </w:tr>
            <w:tr>
              <w:tc>
                <w:tcPr/>
                <w:p>
                  <w:pPr>
                    <w:pStyle w:val="Compact"/>
                    <w:jc w:val="left"/>
                    <w:jc w:val="center"/>
                  </w:pPr>
                  <w:r>
                    <w:rPr>
                      <w:i/>
                      <w:iCs/>
                    </w:rPr>
                    <w:t xml:space="preserve">Lyngbya kuetzinghii</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0.14</w:t>
                  </w:r>
                </w:p>
              </w:tc>
              <w:tc>
                <w:tcPr/>
                <w:p>
                  <w:pPr>
                    <w:pStyle w:val="Compact"/>
                    <w:jc w:val="left"/>
                    <w:jc w:val="center"/>
                  </w:pPr>
                  <w:r>
                    <w:t xml:space="preserve">(Zhang et al., 2009)</w:t>
                  </w:r>
                </w:p>
              </w:tc>
            </w:tr>
            <w:tr>
              <w:tc>
                <w:tcPr/>
                <w:p>
                  <w:pPr>
                    <w:pStyle w:val="Compact"/>
                    <w:jc w:val="left"/>
                    <w:jc w:val="center"/>
                  </w:pPr>
                  <w:r>
                    <w:rPr>
                      <w:i/>
                      <w:iCs/>
                    </w:rPr>
                    <w:t xml:space="preserve">Lyngbya lachneri</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0.08</w:t>
                  </w:r>
                </w:p>
              </w:tc>
              <w:tc>
                <w:tcPr/>
                <w:p>
                  <w:pPr>
                    <w:pStyle w:val="Compact"/>
                    <w:jc w:val="left"/>
                    <w:jc w:val="center"/>
                  </w:pPr>
                  <w:r>
                    <w:t xml:space="preserve">(Tiwari et al., 2001)</w:t>
                  </w:r>
                </w:p>
              </w:tc>
            </w:tr>
            <w:tr>
              <w:tc>
                <w:tcPr/>
                <w:p>
                  <w:pPr>
                    <w:pStyle w:val="Compact"/>
                    <w:jc w:val="left"/>
                    <w:jc w:val="center"/>
                  </w:pPr>
                  <w:r>
                    <w:rPr>
                      <w:i/>
                      <w:iCs/>
                    </w:rPr>
                    <w:t xml:space="preserve">Lyngbya majuscula</w:t>
                  </w:r>
                </w:p>
              </w:tc>
              <w:tc>
                <w:tcPr/>
                <w:p>
                  <w:pPr>
                    <w:pStyle w:val="Compact"/>
                  </w:pPr>
                </w:p>
              </w:tc>
              <w:tc>
                <w:tcPr/>
                <w:p>
                  <w:pPr>
                    <w:pStyle w:val="Compact"/>
                  </w:pPr>
                </w:p>
              </w:tc>
              <w:tc>
                <w:tcPr/>
                <w:p>
                  <w:pPr>
                    <w:pStyle w:val="Compact"/>
                  </w:pPr>
                </w:p>
              </w:tc>
              <w:tc>
                <w:tcPr/>
                <w:p>
                  <w:pPr>
                    <w:pStyle w:val="Compact"/>
                    <w:jc w:val="left"/>
                    <w:jc w:val="center"/>
                  </w:pPr>
                  <w:r>
                    <w:t xml:space="preserve">0.33</w:t>
                  </w:r>
                </w:p>
              </w:tc>
              <w:tc>
                <w:tcPr/>
                <w:p>
                  <w:pPr>
                    <w:pStyle w:val="Compact"/>
                    <w:jc w:val="left"/>
                    <w:jc w:val="center"/>
                  </w:pPr>
                  <w:r>
                    <w:t xml:space="preserve">(Elmetri and Bell, 2004)</w:t>
                  </w:r>
                </w:p>
              </w:tc>
            </w:tr>
            <w:tr>
              <w:tc>
                <w:tcPr/>
                <w:p>
                  <w:pPr>
                    <w:pStyle w:val="Compact"/>
                    <w:jc w:val="left"/>
                    <w:jc w:val="center"/>
                  </w:pPr>
                  <w:r>
                    <w:rPr>
                      <w:i/>
                      <w:iCs/>
                    </w:rPr>
                    <w:t xml:space="preserve">Lyngbya majuscula</w:t>
                  </w:r>
                </w:p>
              </w:tc>
              <w:tc>
                <w:tcPr/>
                <w:p>
                  <w:pPr>
                    <w:pStyle w:val="Compact"/>
                  </w:pPr>
                </w:p>
              </w:tc>
              <w:tc>
                <w:tcPr/>
                <w:p>
                  <w:pPr>
                    <w:pStyle w:val="Compact"/>
                  </w:pPr>
                </w:p>
              </w:tc>
              <w:tc>
                <w:tcPr/>
                <w:p>
                  <w:pPr>
                    <w:pStyle w:val="Compact"/>
                  </w:pPr>
                </w:p>
              </w:tc>
              <w:tc>
                <w:tcPr/>
                <w:p>
                  <w:pPr>
                    <w:pStyle w:val="Compact"/>
                    <w:jc w:val="left"/>
                    <w:jc w:val="center"/>
                  </w:pPr>
                  <w:r>
                    <w:t xml:space="preserve">0.25</w:t>
                  </w:r>
                </w:p>
              </w:tc>
              <w:tc>
                <w:tcPr/>
                <w:p>
                  <w:pPr>
                    <w:pStyle w:val="Compact"/>
                    <w:jc w:val="left"/>
                    <w:jc w:val="center"/>
                  </w:pPr>
                  <w:r>
                    <w:t xml:space="preserve">(Elmetri and Bell, 2004)</w:t>
                  </w:r>
                </w:p>
              </w:tc>
            </w:tr>
            <w:tr>
              <w:tc>
                <w:tcPr/>
                <w:p>
                  <w:pPr>
                    <w:pStyle w:val="Compact"/>
                    <w:jc w:val="left"/>
                    <w:jc w:val="center"/>
                  </w:pPr>
                  <w:r>
                    <w:rPr>
                      <w:i/>
                      <w:iCs/>
                    </w:rPr>
                    <w:t xml:space="preserve">Lyngbya majuscula</w:t>
                  </w:r>
                </w:p>
              </w:tc>
              <w:tc>
                <w:tcPr/>
                <w:p>
                  <w:pPr>
                    <w:pStyle w:val="Compact"/>
                  </w:pPr>
                </w:p>
              </w:tc>
              <w:tc>
                <w:tcPr/>
                <w:p>
                  <w:pPr>
                    <w:pStyle w:val="Compact"/>
                  </w:pPr>
                </w:p>
              </w:tc>
              <w:tc>
                <w:tcPr/>
                <w:p>
                  <w:pPr>
                    <w:pStyle w:val="Compact"/>
                  </w:pPr>
                </w:p>
              </w:tc>
              <w:tc>
                <w:tcPr/>
                <w:p>
                  <w:pPr>
                    <w:pStyle w:val="Compact"/>
                    <w:jc w:val="left"/>
                    <w:jc w:val="center"/>
                  </w:pPr>
                  <w:r>
                    <w:t xml:space="preserve">0.19</w:t>
                  </w:r>
                </w:p>
              </w:tc>
              <w:tc>
                <w:tcPr/>
                <w:p>
                  <w:pPr>
                    <w:pStyle w:val="Compact"/>
                    <w:jc w:val="left"/>
                    <w:jc w:val="center"/>
                  </w:pPr>
                  <w:r>
                    <w:t xml:space="preserve">(Elmetri and Bell, 2004)</w:t>
                  </w:r>
                </w:p>
              </w:tc>
            </w:tr>
            <w:tr>
              <w:tc>
                <w:tcPr/>
                <w:p>
                  <w:pPr>
                    <w:pStyle w:val="Compact"/>
                    <w:jc w:val="left"/>
                    <w:jc w:val="center"/>
                  </w:pPr>
                  <w:r>
                    <w:rPr>
                      <w:i/>
                      <w:iCs/>
                    </w:rPr>
                    <w:t xml:space="preserve">Lyngbya majuscula</w:t>
                  </w:r>
                </w:p>
              </w:tc>
              <w:tc>
                <w:tcPr/>
                <w:p>
                  <w:pPr>
                    <w:pStyle w:val="Compact"/>
                  </w:pPr>
                </w:p>
              </w:tc>
              <w:tc>
                <w:tcPr/>
                <w:p>
                  <w:pPr>
                    <w:pStyle w:val="Compact"/>
                  </w:pPr>
                </w:p>
              </w:tc>
              <w:tc>
                <w:tcPr/>
                <w:p>
                  <w:pPr>
                    <w:pStyle w:val="Compact"/>
                  </w:pPr>
                </w:p>
              </w:tc>
              <w:tc>
                <w:tcPr/>
                <w:p>
                  <w:pPr>
                    <w:pStyle w:val="Compact"/>
                    <w:jc w:val="left"/>
                    <w:jc w:val="center"/>
                  </w:pPr>
                  <w:r>
                    <w:t xml:space="preserve">0.14</w:t>
                  </w:r>
                </w:p>
              </w:tc>
              <w:tc>
                <w:tcPr/>
                <w:p>
                  <w:pPr>
                    <w:pStyle w:val="Compact"/>
                    <w:jc w:val="left"/>
                    <w:jc w:val="center"/>
                  </w:pPr>
                  <w:r>
                    <w:t xml:space="preserve">(Elmetri and Bell, 2004)</w:t>
                  </w:r>
                </w:p>
              </w:tc>
            </w:tr>
            <w:tr>
              <w:tc>
                <w:tcPr/>
                <w:p>
                  <w:pPr>
                    <w:pStyle w:val="Compact"/>
                    <w:jc w:val="left"/>
                    <w:jc w:val="center"/>
                  </w:pPr>
                  <w:r>
                    <w:rPr>
                      <w:i/>
                      <w:iCs/>
                    </w:rPr>
                    <w:t xml:space="preserve">Lyngbya majuscula</w:t>
                  </w:r>
                </w:p>
              </w:tc>
              <w:tc>
                <w:tcPr/>
                <w:p>
                  <w:pPr>
                    <w:pStyle w:val="Compact"/>
                  </w:pPr>
                </w:p>
              </w:tc>
              <w:tc>
                <w:tcPr/>
                <w:p>
                  <w:pPr>
                    <w:pStyle w:val="Compact"/>
                  </w:pPr>
                </w:p>
              </w:tc>
              <w:tc>
                <w:tcPr/>
                <w:p>
                  <w:pPr>
                    <w:pStyle w:val="Compact"/>
                  </w:pPr>
                </w:p>
              </w:tc>
              <w:tc>
                <w:tcPr/>
                <w:p>
                  <w:pPr>
                    <w:pStyle w:val="Compact"/>
                    <w:jc w:val="left"/>
                    <w:jc w:val="center"/>
                  </w:pPr>
                  <w:r>
                    <w:t xml:space="preserve">0.04</w:t>
                  </w:r>
                </w:p>
              </w:tc>
              <w:tc>
                <w:tcPr/>
                <w:p>
                  <w:pPr>
                    <w:pStyle w:val="Compact"/>
                    <w:jc w:val="left"/>
                    <w:jc w:val="center"/>
                  </w:pPr>
                  <w:r>
                    <w:t xml:space="preserve">(Elmetri and Bell, 2004)</w:t>
                  </w:r>
                </w:p>
              </w:tc>
            </w:tr>
            <w:tr>
              <w:tc>
                <w:tcPr/>
                <w:p>
                  <w:pPr>
                    <w:pStyle w:val="Compact"/>
                    <w:jc w:val="left"/>
                    <w:jc w:val="center"/>
                  </w:pPr>
                  <w:r>
                    <w:rPr>
                      <w:i/>
                      <w:iCs/>
                    </w:rPr>
                    <w:t xml:space="preserve">Lyngbya majuscula</w:t>
                  </w:r>
                </w:p>
              </w:tc>
              <w:tc>
                <w:tcPr/>
                <w:p>
                  <w:pPr>
                    <w:pStyle w:val="Compact"/>
                  </w:pPr>
                </w:p>
              </w:tc>
              <w:tc>
                <w:tcPr/>
                <w:p>
                  <w:pPr>
                    <w:pStyle w:val="Compact"/>
                  </w:pPr>
                </w:p>
              </w:tc>
              <w:tc>
                <w:tcPr/>
                <w:p>
                  <w:pPr>
                    <w:pStyle w:val="Compact"/>
                  </w:pPr>
                </w:p>
              </w:tc>
              <w:tc>
                <w:tcPr/>
                <w:p>
                  <w:pPr>
                    <w:pStyle w:val="Compact"/>
                    <w:jc w:val="left"/>
                    <w:jc w:val="center"/>
                  </w:pPr>
                  <w:r>
                    <w:t xml:space="preserve">0.05</w:t>
                  </w:r>
                </w:p>
              </w:tc>
              <w:tc>
                <w:tcPr/>
                <w:p>
                  <w:pPr>
                    <w:pStyle w:val="Compact"/>
                    <w:jc w:val="left"/>
                    <w:jc w:val="center"/>
                  </w:pPr>
                  <w:r>
                    <w:t xml:space="preserve">(Elmetri and Bell, 2004)</w:t>
                  </w:r>
                </w:p>
              </w:tc>
            </w:tr>
            <w:tr>
              <w:tc>
                <w:tcPr/>
                <w:p>
                  <w:pPr>
                    <w:pStyle w:val="Compact"/>
                    <w:jc w:val="left"/>
                    <w:jc w:val="center"/>
                  </w:pPr>
                  <w:r>
                    <w:rPr>
                      <w:i/>
                      <w:iCs/>
                    </w:rPr>
                    <w:t xml:space="preserve">Lyngbya nigra</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(Tiwari et al., 2001)</w:t>
                  </w:r>
                </w:p>
              </w:tc>
            </w:tr>
            <w:tr>
              <w:tc>
                <w:tcPr/>
                <w:p>
                  <w:pPr>
                    <w:pStyle w:val="Compact"/>
                    <w:jc w:val="left"/>
                    <w:jc w:val="center"/>
                  </w:pPr>
                  <w:r>
                    <w:rPr>
                      <w:i/>
                      <w:iCs/>
                    </w:rPr>
                    <w:t xml:space="preserve">Lyngbya palmarum</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0.28</w:t>
                  </w:r>
                </w:p>
              </w:tc>
              <w:tc>
                <w:tcPr/>
                <w:p>
                  <w:pPr>
                    <w:pStyle w:val="Compact"/>
                    <w:jc w:val="left"/>
                    <w:jc w:val="center"/>
                  </w:pPr>
                  <w:r>
                    <w:t xml:space="preserve">(Tiwari et al., 2001)</w:t>
                  </w:r>
                </w:p>
              </w:tc>
            </w:tr>
            <w:tr>
              <w:tc>
                <w:tcPr/>
                <w:p>
                  <w:pPr>
                    <w:pStyle w:val="Compact"/>
                    <w:jc w:val="left"/>
                    <w:jc w:val="center"/>
                  </w:pPr>
                  <w:r>
                    <w:rPr>
                      <w:i/>
                      <w:iCs/>
                    </w:rPr>
                    <w:t xml:space="preserve">Lyngbya spiralis</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(Tiwari et al., 2001)</w:t>
                  </w:r>
                </w:p>
              </w:tc>
            </w:tr>
            <w:tr>
              <w:tc>
                <w:tcPr/>
                <w:p>
                  <w:pPr>
                    <w:pStyle w:val="Compact"/>
                    <w:jc w:val="left"/>
                    <w:jc w:val="center"/>
                  </w:pPr>
                  <w:r>
                    <w:rPr>
                      <w:i/>
                      <w:iCs/>
                    </w:rPr>
                    <w:t xml:space="preserve">Lyngbya truncicola</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(Tiwari et al., 2001)</w:t>
                  </w:r>
                </w:p>
              </w:tc>
            </w:tr>
            <w:tr>
              <w:tc>
                <w:tcPr/>
                <w:p>
                  <w:pPr>
                    <w:pStyle w:val="Compact"/>
                    <w:jc w:val="left"/>
                    <w:jc w:val="center"/>
                  </w:pPr>
                  <w:r>
                    <w:rPr>
                      <w:i/>
                      <w:iCs/>
                    </w:rPr>
                    <w:t xml:space="preserve">Microcoleus chthonoplastes MPI CHI-1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0.55</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CHI-1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0.47</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CHI-1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0.28</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EBD-1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0.24</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EBD-1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0.26</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EBD-1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0.18</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GN5-1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GN5-1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0.23</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GN5-1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0.17</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GNL-1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0.23</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GNL-1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0.29</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GNL-1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0.24</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SOL-1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0.13</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SOL-1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0.17</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SOL-1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0.20</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SPW-1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0.29</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SPW-1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0.29</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SPW-1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0.18</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TOW-1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0.35</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TOW-1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0.35</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TOW-1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0.33</w:t>
                  </w:r>
                </w:p>
              </w:tc>
              <w:tc>
                <w:tcPr/>
                <w:p>
                  <w:pPr>
                    <w:pStyle w:val="Compact"/>
                    <w:jc w:val="left"/>
                    <w:jc w:val="center"/>
                  </w:pPr>
                  <w:r>
                    <w:t xml:space="preserve">(Karsten, 1996)</w:t>
                  </w:r>
                </w:p>
              </w:tc>
            </w:tr>
            <w:tr>
              <w:tc>
                <w:tcPr/>
                <w:p>
                  <w:pPr>
                    <w:pStyle w:val="Compact"/>
                    <w:jc w:val="left"/>
                    <w:jc w:val="center"/>
                  </w:pPr>
                  <w:r>
                    <w:rPr>
                      <w:i/>
                      <w:iCs/>
                    </w:rPr>
                    <w:t xml:space="preserve">Microcoleus chthonoplastes PCC 7420</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0.42</w:t>
                  </w:r>
                </w:p>
              </w:tc>
              <w:tc>
                <w:tcPr/>
                <w:p>
                  <w:pPr>
                    <w:pStyle w:val="Compact"/>
                    <w:jc w:val="left"/>
                    <w:jc w:val="center"/>
                  </w:pPr>
                  <w:r>
                    <w:t xml:space="preserve">(Karsten, 1996)</w:t>
                  </w:r>
                </w:p>
              </w:tc>
            </w:tr>
            <w:tr>
              <w:tc>
                <w:tcPr/>
                <w:p>
                  <w:pPr>
                    <w:pStyle w:val="Compact"/>
                    <w:jc w:val="left"/>
                    <w:jc w:val="center"/>
                  </w:pPr>
                  <w:r>
                    <w:rPr>
                      <w:i/>
                      <w:iCs/>
                    </w:rPr>
                    <w:t xml:space="preserve">Microcoleus chthonoplastes PCC 7420</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0.46</w:t>
                  </w:r>
                </w:p>
              </w:tc>
              <w:tc>
                <w:tcPr/>
                <w:p>
                  <w:pPr>
                    <w:pStyle w:val="Compact"/>
                    <w:jc w:val="left"/>
                    <w:jc w:val="center"/>
                  </w:pPr>
                  <w:r>
                    <w:t xml:space="preserve">(Karsten, 1996)</w:t>
                  </w:r>
                </w:p>
              </w:tc>
            </w:tr>
            <w:tr>
              <w:tc>
                <w:tcPr/>
                <w:p>
                  <w:pPr>
                    <w:pStyle w:val="Compact"/>
                    <w:jc w:val="left"/>
                    <w:jc w:val="center"/>
                  </w:pPr>
                  <w:r>
                    <w:rPr>
                      <w:i/>
                      <w:iCs/>
                    </w:rPr>
                    <w:t xml:space="preserve">Microcoleus chthonoplastes PCC 7420</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(Karsten, 1996)</w:t>
                  </w:r>
                </w:p>
              </w:tc>
            </w:tr>
            <w:tr>
              <w:tc>
                <w:tcPr/>
                <w:p>
                  <w:pPr>
                    <w:pStyle w:val="Compact"/>
                    <w:jc w:val="left"/>
                    <w:jc w:val="center"/>
                  </w:pPr>
                  <w:r>
                    <w:rPr>
                      <w:i/>
                      <w:iCs/>
                    </w:rPr>
                    <w:t xml:space="preserve">Microcoleus chthonoplastes UBM HID</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0.42</w:t>
                  </w:r>
                </w:p>
              </w:tc>
              <w:tc>
                <w:tcPr/>
                <w:p>
                  <w:pPr>
                    <w:pStyle w:val="Compact"/>
                    <w:jc w:val="left"/>
                    <w:jc w:val="center"/>
                  </w:pPr>
                  <w:r>
                    <w:t xml:space="preserve">(Karsten, 1996)</w:t>
                  </w:r>
                </w:p>
              </w:tc>
            </w:tr>
            <w:tr>
              <w:tc>
                <w:tcPr/>
                <w:p>
                  <w:pPr>
                    <w:pStyle w:val="Compact"/>
                    <w:jc w:val="left"/>
                    <w:jc w:val="center"/>
                  </w:pPr>
                  <w:r>
                    <w:rPr>
                      <w:i/>
                      <w:iCs/>
                    </w:rPr>
                    <w:t xml:space="preserve">Microcoleus chthonoplastes UBM HID</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0.35</w:t>
                  </w:r>
                </w:p>
              </w:tc>
              <w:tc>
                <w:tcPr/>
                <w:p>
                  <w:pPr>
                    <w:pStyle w:val="Compact"/>
                    <w:jc w:val="left"/>
                    <w:jc w:val="center"/>
                  </w:pPr>
                  <w:r>
                    <w:t xml:space="preserve">(Karsten, 1996)</w:t>
                  </w:r>
                </w:p>
              </w:tc>
            </w:tr>
            <w:tr>
              <w:tc>
                <w:tcPr/>
                <w:p>
                  <w:pPr>
                    <w:pStyle w:val="Compact"/>
                    <w:jc w:val="left"/>
                    <w:jc w:val="center"/>
                  </w:pPr>
                  <w:r>
                    <w:rPr>
                      <w:i/>
                      <w:iCs/>
                    </w:rPr>
                    <w:t xml:space="preserve">Microcoleus chthonoplastes UBM HID</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(Karsten, 1996)</w:t>
                  </w:r>
                </w:p>
              </w:tc>
            </w:tr>
            <w:tr>
              <w:tc>
                <w:tcPr/>
                <w:p>
                  <w:pPr>
                    <w:pStyle w:val="Compact"/>
                    <w:jc w:val="left"/>
                    <w:jc w:val="center"/>
                  </w:pPr>
                  <w:r>
                    <w:rPr>
                      <w:i/>
                      <w:iCs/>
                    </w:rPr>
                    <w:t xml:space="preserve">Microcoleus chthonoplastes UBM WIS</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(Karsten, 1996)</w:t>
                  </w:r>
                </w:p>
              </w:tc>
            </w:tr>
            <w:tr>
              <w:tc>
                <w:tcPr/>
                <w:p>
                  <w:pPr>
                    <w:pStyle w:val="Compact"/>
                    <w:jc w:val="left"/>
                    <w:jc w:val="center"/>
                  </w:pPr>
                  <w:r>
                    <w:rPr>
                      <w:i/>
                      <w:iCs/>
                    </w:rPr>
                    <w:t xml:space="preserve">Microcoleus chthonoplastes UBM WIS</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0.46</w:t>
                  </w:r>
                </w:p>
              </w:tc>
              <w:tc>
                <w:tcPr/>
                <w:p>
                  <w:pPr>
                    <w:pStyle w:val="Compact"/>
                    <w:jc w:val="left"/>
                    <w:jc w:val="center"/>
                  </w:pPr>
                  <w:r>
                    <w:t xml:space="preserve">(Karsten, 1996)</w:t>
                  </w:r>
                </w:p>
              </w:tc>
            </w:tr>
            <w:tr>
              <w:tc>
                <w:tcPr/>
                <w:p>
                  <w:pPr>
                    <w:pStyle w:val="Compact"/>
                    <w:jc w:val="left"/>
                    <w:jc w:val="center"/>
                  </w:pPr>
                  <w:r>
                    <w:rPr>
                      <w:i/>
                      <w:iCs/>
                    </w:rPr>
                    <w:t xml:space="preserve">Microcoleus chthonoplastes UBM WIS</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0.16</w:t>
                  </w:r>
                </w:p>
              </w:tc>
              <w:tc>
                <w:tcPr/>
                <w:p>
                  <w:pPr>
                    <w:pStyle w:val="Compact"/>
                    <w:jc w:val="left"/>
                    <w:jc w:val="center"/>
                  </w:pPr>
                  <w:r>
                    <w:t xml:space="preserve">(Karsten, 1996)</w:t>
                  </w:r>
                </w:p>
              </w:tc>
            </w:tr>
            <w:tr>
              <w:tc>
                <w:tcPr/>
                <w:p>
                  <w:pPr>
                    <w:pStyle w:val="Compact"/>
                    <w:jc w:val="left"/>
                    <w:jc w:val="center"/>
                  </w:pPr>
                  <w:r>
                    <w:rPr>
                      <w:i/>
                      <w:iCs/>
                    </w:rPr>
                    <w:t xml:space="preserve">Microcoleus chthonoplastes</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0.20</w:t>
                  </w:r>
                </w:p>
              </w:tc>
              <w:tc>
                <w:tcPr/>
                <w:p>
                  <w:pPr>
                    <w:pStyle w:val="Compact"/>
                    <w:jc w:val="left"/>
                    <w:jc w:val="center"/>
                  </w:pPr>
                  <w:r>
                    <w:t xml:space="preserve">(Tiwari et al., 2001)</w:t>
                  </w:r>
                </w:p>
              </w:tc>
            </w:tr>
            <w:tr>
              <w:tc>
                <w:tcPr/>
                <w:p>
                  <w:pPr>
                    <w:pStyle w:val="Compact"/>
                    <w:jc w:val="left"/>
                    <w:jc w:val="center"/>
                  </w:pPr>
                  <w:r>
                    <w:rPr>
                      <w:i/>
                      <w:iCs/>
                    </w:rPr>
                    <w:t xml:space="preserve">Microcoleus paludosus</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(Tiwari et al., 2001)</w:t>
                  </w:r>
                </w:p>
              </w:tc>
            </w:tr>
            <w:tr>
              <w:tc>
                <w:tcPr/>
                <w:p>
                  <w:pPr>
                    <w:pStyle w:val="Compact"/>
                    <w:jc w:val="left"/>
                    <w:jc w:val="center"/>
                  </w:pPr>
                  <w:r>
                    <w:rPr>
                      <w:i/>
                      <w:iCs/>
                    </w:rPr>
                    <w:t xml:space="preserve">Microcoleus spp.</w:t>
                  </w:r>
                </w:p>
              </w:tc>
              <w:tc>
                <w:tcPr/>
                <w:p>
                  <w:pPr>
                    <w:pStyle w:val="Compact"/>
                  </w:pPr>
                </w:p>
              </w:tc>
              <w:tc>
                <w:tcPr/>
                <w:p>
                  <w:pPr>
                    <w:pStyle w:val="Compact"/>
                  </w:pPr>
                </w:p>
              </w:tc>
              <w:tc>
                <w:tcPr/>
                <w:p>
                  <w:pPr>
                    <w:pStyle w:val="Compact"/>
                  </w:pPr>
                </w:p>
              </w:tc>
              <w:tc>
                <w:tcPr/>
                <w:p>
                  <w:pPr>
                    <w:pStyle w:val="Compact"/>
                    <w:jc w:val="left"/>
                    <w:jc w:val="center"/>
                  </w:pPr>
                  <w:r>
                    <w:t xml:space="preserve">0.03</w:t>
                  </w:r>
                </w:p>
              </w:tc>
              <w:tc>
                <w:tcPr/>
                <w:p>
                  <w:pPr>
                    <w:pStyle w:val="Compact"/>
                    <w:jc w:val="left"/>
                    <w:jc w:val="center"/>
                  </w:pPr>
                  <w:r>
                    <w:t xml:space="preserve">(Lababpour and Kaviani, 2016)</w:t>
                  </w:r>
                </w:p>
              </w:tc>
            </w:tr>
            <w:tr>
              <w:tc>
                <w:tcPr/>
                <w:p>
                  <w:pPr>
                    <w:pStyle w:val="Compact"/>
                    <w:jc w:val="left"/>
                    <w:jc w:val="center"/>
                  </w:pPr>
                  <w:r>
                    <w:rPr>
                      <w:i/>
                      <w:iCs/>
                    </w:rPr>
                    <w:t xml:space="preserve">Microcoleus spp.</w:t>
                  </w:r>
                </w:p>
              </w:tc>
              <w:tc>
                <w:tcPr/>
                <w:p>
                  <w:pPr>
                    <w:pStyle w:val="Compact"/>
                  </w:pPr>
                </w:p>
              </w:tc>
              <w:tc>
                <w:tcPr/>
                <w:p>
                  <w:pPr>
                    <w:pStyle w:val="Compact"/>
                  </w:pPr>
                </w:p>
              </w:tc>
              <w:tc>
                <w:tcPr/>
                <w:p>
                  <w:pPr>
                    <w:pStyle w:val="Compact"/>
                  </w:pPr>
                </w:p>
              </w:tc>
              <w:tc>
                <w:tcPr/>
                <w:p>
                  <w:pPr>
                    <w:pStyle w:val="Compact"/>
                    <w:jc w:val="left"/>
                    <w:jc w:val="center"/>
                  </w:pPr>
                  <w:r>
                    <w:t xml:space="preserve">0.06</w:t>
                  </w:r>
                </w:p>
              </w:tc>
              <w:tc>
                <w:tcPr/>
                <w:p>
                  <w:pPr>
                    <w:pStyle w:val="Compact"/>
                    <w:jc w:val="left"/>
                    <w:jc w:val="center"/>
                  </w:pPr>
                  <w:r>
                    <w:t xml:space="preserve">(Lababpour and Kaviani, 2016)</w:t>
                  </w:r>
                </w:p>
              </w:tc>
            </w:tr>
            <w:tr>
              <w:tc>
                <w:tcPr/>
                <w:p>
                  <w:pPr>
                    <w:pStyle w:val="Compact"/>
                    <w:jc w:val="left"/>
                    <w:jc w:val="center"/>
                  </w:pPr>
                  <w:r>
                    <w:rPr>
                      <w:i/>
                      <w:iCs/>
                    </w:rPr>
                    <w:t xml:space="preserve">Microcoleus steenstrupii HS024</w:t>
                  </w:r>
                </w:p>
              </w:tc>
              <w:tc>
                <w:tcPr/>
                <w:p>
                  <w:pPr>
                    <w:pStyle w:val="Compact"/>
                  </w:pPr>
                </w:p>
              </w:tc>
              <w:tc>
                <w:tcPr/>
                <w:p>
                  <w:pPr>
                    <w:pStyle w:val="Compact"/>
                  </w:pPr>
                </w:p>
              </w:tc>
              <w:tc>
                <w:tcPr/>
                <w:p>
                  <w:pPr>
                    <w:pStyle w:val="Compact"/>
                  </w:pPr>
                </w:p>
              </w:tc>
              <w:tc>
                <w:tcPr/>
                <w:p>
                  <w:pPr>
                    <w:pStyle w:val="Compact"/>
                    <w:jc w:val="left"/>
                    <w:jc w:val="center"/>
                  </w:pPr>
                  <w:r>
                    <w:t xml:space="preserve">3.22</w:t>
                  </w:r>
                </w:p>
              </w:tc>
              <w:tc>
                <w:tcPr/>
                <w:p>
                  <w:pPr>
                    <w:pStyle w:val="Compact"/>
                    <w:jc w:val="left"/>
                    <w:jc w:val="center"/>
                  </w:pPr>
                  <w:r>
                    <w:t xml:space="preserve">(Giraldo-Silva et al., 2019)</w:t>
                  </w:r>
                </w:p>
              </w:tc>
            </w:tr>
            <w:tr>
              <w:tc>
                <w:tcPr/>
                <w:p>
                  <w:pPr>
                    <w:pStyle w:val="Compact"/>
                    <w:jc w:val="left"/>
                    <w:jc w:val="center"/>
                  </w:pPr>
                  <w:r>
                    <w:rPr>
                      <w:i/>
                      <w:iCs/>
                    </w:rPr>
                    <w:t xml:space="preserve">Microcoleus steenstrupii HS024</w:t>
                  </w:r>
                </w:p>
              </w:tc>
              <w:tc>
                <w:tcPr/>
                <w:p>
                  <w:pPr>
                    <w:pStyle w:val="Compact"/>
                  </w:pPr>
                </w:p>
              </w:tc>
              <w:tc>
                <w:tcPr/>
                <w:p>
                  <w:pPr>
                    <w:pStyle w:val="Compact"/>
                  </w:pPr>
                </w:p>
              </w:tc>
              <w:tc>
                <w:tcPr/>
                <w:p>
                  <w:pPr>
                    <w:pStyle w:val="Compact"/>
                  </w:pPr>
                </w:p>
              </w:tc>
              <w:tc>
                <w:tcPr/>
                <w:p>
                  <w:pPr>
                    <w:pStyle w:val="Compact"/>
                    <w:jc w:val="left"/>
                    <w:jc w:val="center"/>
                  </w:pPr>
                  <w:r>
                    <w:t xml:space="preserve">0.30</w:t>
                  </w:r>
                </w:p>
              </w:tc>
              <w:tc>
                <w:tcPr/>
                <w:p>
                  <w:pPr>
                    <w:pStyle w:val="Compact"/>
                    <w:jc w:val="left"/>
                    <w:jc w:val="center"/>
                  </w:pPr>
                  <w:r>
                    <w:t xml:space="preserve">(Giraldo-Silva et al., 2019)</w:t>
                  </w:r>
                </w:p>
              </w:tc>
            </w:tr>
            <w:tr>
              <w:tc>
                <w:tcPr/>
                <w:p>
                  <w:pPr>
                    <w:pStyle w:val="Compact"/>
                    <w:jc w:val="left"/>
                    <w:jc w:val="center"/>
                  </w:pPr>
                  <w:r>
                    <w:rPr>
                      <w:i/>
                      <w:iCs/>
                    </w:rPr>
                    <w:t xml:space="preserve">Microcoleus steenstrupii HS024</w:t>
                  </w:r>
                </w:p>
              </w:tc>
              <w:tc>
                <w:tcPr/>
                <w:p>
                  <w:pPr>
                    <w:pStyle w:val="Compact"/>
                  </w:pPr>
                </w:p>
              </w:tc>
              <w:tc>
                <w:tcPr/>
                <w:p>
                  <w:pPr>
                    <w:pStyle w:val="Compact"/>
                  </w:pPr>
                </w:p>
              </w:tc>
              <w:tc>
                <w:tcPr/>
                <w:p>
                  <w:pPr>
                    <w:pStyle w:val="Compact"/>
                  </w:pPr>
                </w:p>
              </w:tc>
              <w:tc>
                <w:tcPr/>
                <w:p>
                  <w:pPr>
                    <w:pStyle w:val="Compact"/>
                    <w:jc w:val="left"/>
                    <w:jc w:val="center"/>
                  </w:pPr>
                  <w:r>
                    <w:t xml:space="preserve">0.30</w:t>
                  </w:r>
                </w:p>
              </w:tc>
              <w:tc>
                <w:tcPr/>
                <w:p>
                  <w:pPr>
                    <w:pStyle w:val="Compact"/>
                    <w:jc w:val="left"/>
                    <w:jc w:val="center"/>
                  </w:pPr>
                  <w:r>
                    <w:t xml:space="preserve">(Giraldo-Silva et al., 2019)</w:t>
                  </w:r>
                </w:p>
              </w:tc>
            </w:tr>
            <w:tr>
              <w:tc>
                <w:tcPr/>
                <w:p>
                  <w:pPr>
                    <w:pStyle w:val="Compact"/>
                    <w:jc w:val="left"/>
                    <w:jc w:val="center"/>
                  </w:pPr>
                  <w:r>
                    <w:rPr>
                      <w:i/>
                      <w:iCs/>
                    </w:rPr>
                    <w:t xml:space="preserve">Microcoleus steenstrupii JS010</w:t>
                  </w:r>
                </w:p>
              </w:tc>
              <w:tc>
                <w:tcPr/>
                <w:p>
                  <w:pPr>
                    <w:pStyle w:val="Compact"/>
                  </w:pPr>
                </w:p>
              </w:tc>
              <w:tc>
                <w:tcPr/>
                <w:p>
                  <w:pPr>
                    <w:pStyle w:val="Compact"/>
                  </w:pPr>
                </w:p>
              </w:tc>
              <w:tc>
                <w:tcPr/>
                <w:p>
                  <w:pPr>
                    <w:pStyle w:val="Compact"/>
                  </w:pPr>
                </w:p>
              </w:tc>
              <w:tc>
                <w:tcPr/>
                <w:p>
                  <w:pPr>
                    <w:pStyle w:val="Compact"/>
                    <w:jc w:val="left"/>
                    <w:jc w:val="center"/>
                  </w:pPr>
                  <w:r>
                    <w:t xml:space="preserve">1.37</w:t>
                  </w:r>
                </w:p>
              </w:tc>
              <w:tc>
                <w:tcPr/>
                <w:p>
                  <w:pPr>
                    <w:pStyle w:val="Compact"/>
                    <w:jc w:val="left"/>
                    <w:jc w:val="center"/>
                  </w:pPr>
                  <w:r>
                    <w:t xml:space="preserve">(Giraldo-Silva et al., 2019)</w:t>
                  </w:r>
                </w:p>
              </w:tc>
            </w:tr>
            <w:tr>
              <w:tc>
                <w:tcPr/>
                <w:p>
                  <w:pPr>
                    <w:pStyle w:val="Compact"/>
                    <w:jc w:val="left"/>
                    <w:jc w:val="center"/>
                  </w:pPr>
                  <w:r>
                    <w:rPr>
                      <w:i/>
                      <w:iCs/>
                    </w:rPr>
                    <w:t xml:space="preserve">Microcoleus steenstrupii JS010</w:t>
                  </w:r>
                </w:p>
              </w:tc>
              <w:tc>
                <w:tcPr/>
                <w:p>
                  <w:pPr>
                    <w:pStyle w:val="Compact"/>
                  </w:pPr>
                </w:p>
              </w:tc>
              <w:tc>
                <w:tcPr/>
                <w:p>
                  <w:pPr>
                    <w:pStyle w:val="Compact"/>
                  </w:pPr>
                </w:p>
              </w:tc>
              <w:tc>
                <w:tcPr/>
                <w:p>
                  <w:pPr>
                    <w:pStyle w:val="Compact"/>
                  </w:pPr>
                </w:p>
              </w:tc>
              <w:tc>
                <w:tcPr/>
                <w:p>
                  <w:pPr>
                    <w:pStyle w:val="Compact"/>
                    <w:jc w:val="left"/>
                    <w:jc w:val="center"/>
                  </w:pPr>
                  <w:r>
                    <w:t xml:space="preserve">-1.00</w:t>
                  </w:r>
                </w:p>
              </w:tc>
              <w:tc>
                <w:tcPr/>
                <w:p>
                  <w:pPr>
                    <w:pStyle w:val="Compact"/>
                    <w:jc w:val="left"/>
                    <w:jc w:val="center"/>
                  </w:pPr>
                  <w:r>
                    <w:t xml:space="preserve">(Giraldo-Silva et al., 2019)</w:t>
                  </w:r>
                </w:p>
              </w:tc>
            </w:tr>
            <w:tr>
              <w:tc>
                <w:tcPr/>
                <w:p>
                  <w:pPr>
                    <w:pStyle w:val="Compact"/>
                    <w:jc w:val="left"/>
                    <w:jc w:val="center"/>
                  </w:pPr>
                  <w:r>
                    <w:rPr>
                      <w:i/>
                      <w:iCs/>
                    </w:rPr>
                    <w:t xml:space="preserve">Microcoleus steenstrupii JS010</w:t>
                  </w:r>
                </w:p>
              </w:tc>
              <w:tc>
                <w:tcPr/>
                <w:p>
                  <w:pPr>
                    <w:pStyle w:val="Compact"/>
                  </w:pPr>
                </w:p>
              </w:tc>
              <w:tc>
                <w:tcPr/>
                <w:p>
                  <w:pPr>
                    <w:pStyle w:val="Compact"/>
                  </w:pPr>
                </w:p>
              </w:tc>
              <w:tc>
                <w:tcPr/>
                <w:p>
                  <w:pPr>
                    <w:pStyle w:val="Compact"/>
                  </w:pPr>
                </w:p>
              </w:tc>
              <w:tc>
                <w:tcPr/>
                <w:p>
                  <w:pPr>
                    <w:pStyle w:val="Compact"/>
                    <w:jc w:val="left"/>
                    <w:jc w:val="center"/>
                  </w:pPr>
                  <w:r>
                    <w:t xml:space="preserve">14.80</w:t>
                  </w:r>
                </w:p>
              </w:tc>
              <w:tc>
                <w:tcPr/>
                <w:p>
                  <w:pPr>
                    <w:pStyle w:val="Compact"/>
                    <w:jc w:val="left"/>
                    <w:jc w:val="center"/>
                  </w:pPr>
                  <w:r>
                    <w:t xml:space="preserve">(Giraldo-Silva et al., 2019)</w:t>
                  </w:r>
                </w:p>
              </w:tc>
            </w:tr>
            <w:tr>
              <w:tc>
                <w:tcPr/>
                <w:p>
                  <w:pPr>
                    <w:pStyle w:val="Compact"/>
                    <w:jc w:val="left"/>
                    <w:jc w:val="center"/>
                  </w:pPr>
                  <w:r>
                    <w:rPr>
                      <w:i/>
                      <w:iCs/>
                    </w:rPr>
                    <w:t xml:space="preserve">Microcoleus vaginatus FB020</w:t>
                  </w:r>
                </w:p>
              </w:tc>
              <w:tc>
                <w:tcPr/>
                <w:p>
                  <w:pPr>
                    <w:pStyle w:val="Compact"/>
                  </w:pPr>
                </w:p>
              </w:tc>
              <w:tc>
                <w:tcPr/>
                <w:p>
                  <w:pPr>
                    <w:pStyle w:val="Compact"/>
                  </w:pPr>
                </w:p>
              </w:tc>
              <w:tc>
                <w:tcPr/>
                <w:p>
                  <w:pPr>
                    <w:pStyle w:val="Compact"/>
                  </w:pPr>
                </w:p>
              </w:tc>
              <w:tc>
                <w:tcPr/>
                <w:p>
                  <w:pPr>
                    <w:pStyle w:val="Compact"/>
                    <w:jc w:val="left"/>
                    <w:jc w:val="center"/>
                  </w:pPr>
                  <w:r>
                    <w:t xml:space="preserve">1.17</w:t>
                  </w:r>
                </w:p>
              </w:tc>
              <w:tc>
                <w:tcPr/>
                <w:p>
                  <w:pPr>
                    <w:pStyle w:val="Compact"/>
                    <w:jc w:val="left"/>
                    <w:jc w:val="center"/>
                  </w:pPr>
                  <w:r>
                    <w:t xml:space="preserve">(Giraldo-Silva et al., 2019)</w:t>
                  </w:r>
                </w:p>
              </w:tc>
            </w:tr>
            <w:tr>
              <w:tc>
                <w:tcPr/>
                <w:p>
                  <w:pPr>
                    <w:pStyle w:val="Compact"/>
                    <w:jc w:val="left"/>
                    <w:jc w:val="center"/>
                  </w:pPr>
                  <w:r>
                    <w:rPr>
                      <w:i/>
                      <w:iCs/>
                    </w:rPr>
                    <w:t xml:space="preserve">Microcoleus vaginatus FB020</w:t>
                  </w:r>
                </w:p>
              </w:tc>
              <w:tc>
                <w:tcPr/>
                <w:p>
                  <w:pPr>
                    <w:pStyle w:val="Compact"/>
                  </w:pPr>
                </w:p>
              </w:tc>
              <w:tc>
                <w:tcPr/>
                <w:p>
                  <w:pPr>
                    <w:pStyle w:val="Compact"/>
                  </w:pPr>
                </w:p>
              </w:tc>
              <w:tc>
                <w:tcPr/>
                <w:p>
                  <w:pPr>
                    <w:pStyle w:val="Compact"/>
                  </w:pPr>
                </w:p>
              </w:tc>
              <w:tc>
                <w:tcPr/>
                <w:p>
                  <w:pPr>
                    <w:pStyle w:val="Compact"/>
                    <w:jc w:val="left"/>
                    <w:jc w:val="center"/>
                  </w:pPr>
                  <w:r>
                    <w:t xml:space="preserve">1.80</w:t>
                  </w:r>
                </w:p>
              </w:tc>
              <w:tc>
                <w:tcPr/>
                <w:p>
                  <w:pPr>
                    <w:pStyle w:val="Compact"/>
                    <w:jc w:val="left"/>
                    <w:jc w:val="center"/>
                  </w:pPr>
                  <w:r>
                    <w:t xml:space="preserve">(Giraldo-Silva et al., 2019)</w:t>
                  </w:r>
                </w:p>
              </w:tc>
            </w:tr>
            <w:tr>
              <w:tc>
                <w:tcPr/>
                <w:p>
                  <w:pPr>
                    <w:pStyle w:val="Compact"/>
                    <w:jc w:val="left"/>
                    <w:jc w:val="center"/>
                  </w:pPr>
                  <w:r>
                    <w:rPr>
                      <w:i/>
                      <w:iCs/>
                    </w:rPr>
                    <w:t xml:space="preserve">Microcoleus vaginatus FB020</w:t>
                  </w:r>
                </w:p>
              </w:tc>
              <w:tc>
                <w:tcPr/>
                <w:p>
                  <w:pPr>
                    <w:pStyle w:val="Compact"/>
                  </w:pPr>
                </w:p>
              </w:tc>
              <w:tc>
                <w:tcPr/>
                <w:p>
                  <w:pPr>
                    <w:pStyle w:val="Compact"/>
                  </w:pPr>
                </w:p>
              </w:tc>
              <w:tc>
                <w:tcPr/>
                <w:p>
                  <w:pPr>
                    <w:pStyle w:val="Compact"/>
                  </w:pPr>
                </w:p>
              </w:tc>
              <w:tc>
                <w:tcPr/>
                <w:p>
                  <w:pPr>
                    <w:pStyle w:val="Compact"/>
                    <w:jc w:val="left"/>
                    <w:jc w:val="center"/>
                  </w:pPr>
                  <w:r>
                    <w:t xml:space="preserve">0.50</w:t>
                  </w:r>
                </w:p>
              </w:tc>
              <w:tc>
                <w:tcPr/>
                <w:p>
                  <w:pPr>
                    <w:pStyle w:val="Compact"/>
                    <w:jc w:val="left"/>
                    <w:jc w:val="center"/>
                  </w:pPr>
                  <w:r>
                    <w:t xml:space="preserve">(Giraldo-Silva et al., 2019)</w:t>
                  </w:r>
                </w:p>
              </w:tc>
            </w:tr>
            <w:tr>
              <w:tc>
                <w:tcPr/>
                <w:p>
                  <w:pPr>
                    <w:pStyle w:val="Compact"/>
                    <w:jc w:val="left"/>
                    <w:jc w:val="center"/>
                  </w:pPr>
                  <w:r>
                    <w:rPr>
                      <w:i/>
                      <w:iCs/>
                    </w:rPr>
                    <w:t xml:space="preserve">Microcoleus vaginatus HSN003</w:t>
                  </w:r>
                </w:p>
              </w:tc>
              <w:tc>
                <w:tcPr/>
                <w:p>
                  <w:pPr>
                    <w:pStyle w:val="Compact"/>
                  </w:pPr>
                </w:p>
              </w:tc>
              <w:tc>
                <w:tcPr/>
                <w:p>
                  <w:pPr>
                    <w:pStyle w:val="Compact"/>
                  </w:pPr>
                </w:p>
              </w:tc>
              <w:tc>
                <w:tcPr/>
                <w:p>
                  <w:pPr>
                    <w:pStyle w:val="Compact"/>
                  </w:pPr>
                </w:p>
              </w:tc>
              <w:tc>
                <w:tcPr/>
                <w:p>
                  <w:pPr>
                    <w:pStyle w:val="Compact"/>
                    <w:jc w:val="left"/>
                    <w:jc w:val="center"/>
                  </w:pPr>
                  <w:r>
                    <w:t xml:space="preserve">2.12</w:t>
                  </w:r>
                </w:p>
              </w:tc>
              <w:tc>
                <w:tcPr/>
                <w:p>
                  <w:pPr>
                    <w:pStyle w:val="Compact"/>
                    <w:jc w:val="left"/>
                    <w:jc w:val="center"/>
                  </w:pPr>
                  <w:r>
                    <w:t xml:space="preserve">(Giraldo-Silva et al., 2019)</w:t>
                  </w:r>
                </w:p>
              </w:tc>
            </w:tr>
            <w:tr>
              <w:tc>
                <w:tcPr/>
                <w:p>
                  <w:pPr>
                    <w:pStyle w:val="Compact"/>
                    <w:jc w:val="left"/>
                    <w:jc w:val="center"/>
                  </w:pPr>
                  <w:r>
                    <w:rPr>
                      <w:i/>
                      <w:iCs/>
                    </w:rPr>
                    <w:t xml:space="preserve">Microcoleus vaginatus HSN003</w:t>
                  </w:r>
                </w:p>
              </w:tc>
              <w:tc>
                <w:tcPr/>
                <w:p>
                  <w:pPr>
                    <w:pStyle w:val="Compact"/>
                  </w:pPr>
                </w:p>
              </w:tc>
              <w:tc>
                <w:tcPr/>
                <w:p>
                  <w:pPr>
                    <w:pStyle w:val="Compact"/>
                  </w:pPr>
                </w:p>
              </w:tc>
              <w:tc>
                <w:tcPr/>
                <w:p>
                  <w:pPr>
                    <w:pStyle w:val="Compact"/>
                  </w:pPr>
                </w:p>
              </w:tc>
              <w:tc>
                <w:tcPr/>
                <w:p>
                  <w:pPr>
                    <w:pStyle w:val="Compact"/>
                    <w:jc w:val="left"/>
                    <w:jc w:val="center"/>
                  </w:pPr>
                  <w:r>
                    <w:t xml:space="preserve">0.60</w:t>
                  </w:r>
                </w:p>
              </w:tc>
              <w:tc>
                <w:tcPr/>
                <w:p>
                  <w:pPr>
                    <w:pStyle w:val="Compact"/>
                    <w:jc w:val="left"/>
                    <w:jc w:val="center"/>
                  </w:pPr>
                  <w:r>
                    <w:t xml:space="preserve">(Giraldo-Silva et al., 2019)</w:t>
                  </w:r>
                </w:p>
              </w:tc>
            </w:tr>
            <w:tr>
              <w:tc>
                <w:tcPr/>
                <w:p>
                  <w:pPr>
                    <w:pStyle w:val="Compact"/>
                    <w:jc w:val="left"/>
                    <w:jc w:val="center"/>
                  </w:pPr>
                  <w:r>
                    <w:rPr>
                      <w:i/>
                      <w:iCs/>
                    </w:rPr>
                    <w:t xml:space="preserve">Microcoleus vaginatus HSN003</w:t>
                  </w:r>
                </w:p>
              </w:tc>
              <w:tc>
                <w:tcPr/>
                <w:p>
                  <w:pPr>
                    <w:pStyle w:val="Compact"/>
                  </w:pPr>
                </w:p>
              </w:tc>
              <w:tc>
                <w:tcPr/>
                <w:p>
                  <w:pPr>
                    <w:pStyle w:val="Compact"/>
                  </w:pPr>
                </w:p>
              </w:tc>
              <w:tc>
                <w:tcPr/>
                <w:p>
                  <w:pPr>
                    <w:pStyle w:val="Compact"/>
                  </w:pPr>
                </w:p>
              </w:tc>
              <w:tc>
                <w:tcPr/>
                <w:p>
                  <w:pPr>
                    <w:pStyle w:val="Compact"/>
                    <w:jc w:val="left"/>
                    <w:jc w:val="center"/>
                  </w:pPr>
                  <w:r>
                    <w:t xml:space="preserve">0.30</w:t>
                  </w:r>
                </w:p>
              </w:tc>
              <w:tc>
                <w:tcPr/>
                <w:p>
                  <w:pPr>
                    <w:pStyle w:val="Compact"/>
                    <w:jc w:val="left"/>
                    <w:jc w:val="center"/>
                  </w:pPr>
                  <w:r>
                    <w:t xml:space="preserve">(Giraldo-Silva et al., 2019)</w:t>
                  </w:r>
                </w:p>
              </w:tc>
            </w:tr>
            <w:tr>
              <w:tc>
                <w:tcPr/>
                <w:p>
                  <w:pPr>
                    <w:pStyle w:val="Compact"/>
                    <w:jc w:val="left"/>
                    <w:jc w:val="center"/>
                  </w:pPr>
                  <w:r>
                    <w:rPr>
                      <w:i/>
                      <w:iCs/>
                    </w:rPr>
                    <w:t xml:space="preserve">Microcoleus vaginatus</w:t>
                  </w:r>
                </w:p>
              </w:tc>
              <w:tc>
                <w:tcPr/>
                <w:p>
                  <w:pPr>
                    <w:pStyle w:val="Compact"/>
                  </w:pPr>
                </w:p>
              </w:tc>
              <w:tc>
                <w:tcPr/>
                <w:p>
                  <w:pPr>
                    <w:pStyle w:val="Compact"/>
                  </w:pPr>
                </w:p>
              </w:tc>
              <w:tc>
                <w:tcPr/>
                <w:p>
                  <w:pPr>
                    <w:pStyle w:val="Compact"/>
                    <w:jc w:val="left"/>
                    <w:jc w:val="center"/>
                  </w:pPr>
                  <w:r>
                    <w:t xml:space="preserve">21.0</w:t>
                  </w:r>
                </w:p>
              </w:tc>
              <w:tc>
                <w:tcPr/>
                <w:p>
                  <w:pPr>
                    <w:pStyle w:val="Compact"/>
                    <w:jc w:val="left"/>
                    <w:jc w:val="center"/>
                  </w:pPr>
                  <w:r>
                    <w:t xml:space="preserve">0.22</w:t>
                  </w:r>
                </w:p>
              </w:tc>
              <w:tc>
                <w:tcPr/>
                <w:p>
                  <w:pPr>
                    <w:pStyle w:val="Compact"/>
                    <w:jc w:val="left"/>
                    <w:jc w:val="center"/>
                  </w:pPr>
                  <w:r>
                    <w:t xml:space="preserve">(Novak and Brune, 1985)</w:t>
                  </w:r>
                </w:p>
              </w:tc>
            </w:tr>
            <w:tr>
              <w:tc>
                <w:tcPr/>
                <w:p>
                  <w:pPr>
                    <w:pStyle w:val="Compact"/>
                    <w:jc w:val="left"/>
                    <w:jc w:val="center"/>
                  </w:pPr>
                  <w:r>
                    <w:rPr>
                      <w:i/>
                      <w:iCs/>
                    </w:rPr>
                    <w:t xml:space="preserve">Microcystis aeruginosa CYA140</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CYA140</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0.77</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CYA140</w:t>
                  </w:r>
                </w:p>
              </w:tc>
              <w:tc>
                <w:tcPr/>
                <w:p>
                  <w:pPr>
                    <w:pStyle w:val="Compact"/>
                  </w:pPr>
                </w:p>
              </w:tc>
              <w:tc>
                <w:tcPr/>
                <w:p>
                  <w:pPr>
                    <w:pStyle w:val="Compact"/>
                  </w:pPr>
                </w:p>
              </w:tc>
              <w:tc>
                <w:tcPr/>
                <w:p>
                  <w:pPr>
                    <w:pStyle w:val="Compact"/>
                    <w:jc w:val="left"/>
                    <w:jc w:val="center"/>
                  </w:pPr>
                  <w:r>
                    <w:t xml:space="preserve">22.5</w:t>
                  </w:r>
                </w:p>
              </w:tc>
              <w:tc>
                <w:tcPr/>
                <w:p>
                  <w:pPr>
                    <w:pStyle w:val="Compact"/>
                    <w:jc w:val="left"/>
                    <w:jc w:val="center"/>
                  </w:pPr>
                  <w:r>
                    <w:t xml:space="preserve">0.82</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CYA140</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0.94</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CYA140</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0.93</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CYA140</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0.70</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15.0</w:t>
                  </w:r>
                </w:p>
              </w:tc>
              <w:tc>
                <w:tcPr/>
                <w:p>
                  <w:pPr>
                    <w:pStyle w:val="Compact"/>
                    <w:jc w:val="left"/>
                    <w:jc w:val="center"/>
                  </w:pPr>
                  <w:r>
                    <w:t xml:space="preserve">0.29</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15.0</w:t>
                  </w:r>
                </w:p>
              </w:tc>
              <w:tc>
                <w:tcPr/>
                <w:p>
                  <w:pPr>
                    <w:pStyle w:val="Compact"/>
                    <w:jc w:val="left"/>
                    <w:jc w:val="center"/>
                  </w:pPr>
                  <w:r>
                    <w:t xml:space="preserve">0.31</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15.0</w:t>
                  </w:r>
                </w:p>
              </w:tc>
              <w:tc>
                <w:tcPr/>
                <w:p>
                  <w:pPr>
                    <w:pStyle w:val="Compact"/>
                    <w:jc w:val="left"/>
                    <w:jc w:val="center"/>
                  </w:pPr>
                  <w:r>
                    <w:t xml:space="preserve">0.30</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0.51</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0.53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0.54</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0.55</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30.0</w:t>
                  </w:r>
                </w:p>
              </w:tc>
              <w:tc>
                <w:tcPr/>
                <w:p>
                  <w:pPr>
                    <w:pStyle w:val="Compact"/>
                    <w:jc w:val="left"/>
                    <w:jc w:val="center"/>
                  </w:pPr>
                  <w:r>
                    <w:t xml:space="preserve">0.72</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30.0</w:t>
                  </w:r>
                </w:p>
              </w:tc>
              <w:tc>
                <w:tcPr/>
                <w:p>
                  <w:pPr>
                    <w:pStyle w:val="Compact"/>
                    <w:jc w:val="left"/>
                    <w:jc w:val="center"/>
                  </w:pPr>
                  <w:r>
                    <w:t xml:space="preserve">0.68</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30.0</w:t>
                  </w:r>
                </w:p>
              </w:tc>
              <w:tc>
                <w:tcPr/>
                <w:p>
                  <w:pPr>
                    <w:pStyle w:val="Compact"/>
                    <w:jc w:val="left"/>
                    <w:jc w:val="center"/>
                  </w:pPr>
                  <w:r>
                    <w:t xml:space="preserve">0.66</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35.0</w:t>
                  </w:r>
                </w:p>
              </w:tc>
              <w:tc>
                <w:tcPr/>
                <w:p>
                  <w:pPr>
                    <w:pStyle w:val="Compact"/>
                    <w:jc w:val="left"/>
                    <w:jc w:val="center"/>
                  </w:pPr>
                  <w:r>
                    <w:t xml:space="preserve">0.79</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35.0</w:t>
                  </w:r>
                </w:p>
              </w:tc>
              <w:tc>
                <w:tcPr/>
                <w:p>
                  <w:pPr>
                    <w:pStyle w:val="Compact"/>
                    <w:jc w:val="left"/>
                    <w:jc w:val="center"/>
                  </w:pPr>
                  <w:r>
                    <w:t xml:space="preserve">0.77</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35.0</w:t>
                  </w:r>
                </w:p>
              </w:tc>
              <w:tc>
                <w:tcPr/>
                <w:p>
                  <w:pPr>
                    <w:pStyle w:val="Compact"/>
                    <w:jc w:val="left"/>
                    <w:jc w:val="center"/>
                  </w:pPr>
                  <w:r>
                    <w:t xml:space="preserve">0.78</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0.33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0.31</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0.29</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25.0</w:t>
                  </w:r>
                </w:p>
              </w:tc>
              <w:tc>
                <w:tcPr/>
                <w:p>
                  <w:pPr>
                    <w:pStyle w:val="Compact"/>
                    <w:jc w:val="left"/>
                    <w:jc w:val="center"/>
                  </w:pPr>
                  <w:r>
                    <w:t xml:space="preserve">0.35</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25.0</w:t>
                  </w:r>
                </w:p>
              </w:tc>
              <w:tc>
                <w:tcPr/>
                <w:p>
                  <w:pPr>
                    <w:pStyle w:val="Compact"/>
                    <w:jc w:val="left"/>
                    <w:jc w:val="center"/>
                  </w:pPr>
                  <w:r>
                    <w:t xml:space="preserve">0.33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25.0</w:t>
                  </w:r>
                </w:p>
              </w:tc>
              <w:tc>
                <w:tcPr/>
                <w:p>
                  <w:pPr>
                    <w:pStyle w:val="Compact"/>
                    <w:jc w:val="left"/>
                    <w:jc w:val="center"/>
                  </w:pPr>
                  <w:r>
                    <w:t xml:space="preserve">0.35</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0.43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0.42</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0.43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0.69</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0.69</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0.33</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0.34</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0.41</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0.39</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20.0</w:t>
                  </w:r>
                </w:p>
              </w:tc>
              <w:tc>
                <w:tcPr/>
                <w:p>
                  <w:pPr>
                    <w:pStyle w:val="Compact"/>
                    <w:jc w:val="left"/>
                    <w:jc w:val="center"/>
                  </w:pPr>
                  <w:r>
                    <w:t xml:space="preserve">0.42</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20.0</w:t>
                  </w:r>
                </w:p>
              </w:tc>
              <w:tc>
                <w:tcPr/>
                <w:p>
                  <w:pPr>
                    <w:pStyle w:val="Compact"/>
                    <w:jc w:val="left"/>
                    <w:jc w:val="center"/>
                  </w:pPr>
                  <w:r>
                    <w:t xml:space="preserve">0.41</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20.0</w:t>
                  </w:r>
                </w:p>
              </w:tc>
              <w:tc>
                <w:tcPr/>
                <w:p>
                  <w:pPr>
                    <w:pStyle w:val="Compact"/>
                    <w:jc w:val="left"/>
                    <w:jc w:val="center"/>
                  </w:pPr>
                  <w:r>
                    <w:t xml:space="preserve">0.40</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20.0</w:t>
                  </w:r>
                </w:p>
              </w:tc>
              <w:tc>
                <w:tcPr/>
                <w:p>
                  <w:pPr>
                    <w:pStyle w:val="Compact"/>
                    <w:jc w:val="left"/>
                    <w:jc w:val="center"/>
                  </w:pPr>
                  <w:r>
                    <w:t xml:space="preserve">0.44</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20.0</w:t>
                  </w:r>
                </w:p>
              </w:tc>
              <w:tc>
                <w:tcPr/>
                <w:p>
                  <w:pPr>
                    <w:pStyle w:val="Compact"/>
                    <w:jc w:val="left"/>
                    <w:jc w:val="center"/>
                  </w:pPr>
                  <w:r>
                    <w:t xml:space="preserve">0.46</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20.0</w:t>
                  </w:r>
                </w:p>
              </w:tc>
              <w:tc>
                <w:tcPr/>
                <w:p>
                  <w:pPr>
                    <w:pStyle w:val="Compact"/>
                    <w:jc w:val="left"/>
                    <w:jc w:val="center"/>
                  </w:pPr>
                  <w:r>
                    <w:t xml:space="preserve">0.43</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20.0</w:t>
                  </w:r>
                </w:p>
              </w:tc>
              <w:tc>
                <w:tcPr/>
                <w:p>
                  <w:pPr>
                    <w:pStyle w:val="Compact"/>
                    <w:jc w:val="left"/>
                    <w:jc w:val="center"/>
                  </w:pPr>
                  <w:r>
                    <w:t xml:space="preserve">0.52</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20.0</w:t>
                  </w:r>
                </w:p>
              </w:tc>
              <w:tc>
                <w:tcPr/>
                <w:p>
                  <w:pPr>
                    <w:pStyle w:val="Compact"/>
                    <w:jc w:val="left"/>
                    <w:jc w:val="center"/>
                  </w:pPr>
                  <w:r>
                    <w:t xml:space="preserve">0.54</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20.0</w:t>
                  </w:r>
                </w:p>
              </w:tc>
              <w:tc>
                <w:tcPr/>
                <w:p>
                  <w:pPr>
                    <w:pStyle w:val="Compact"/>
                    <w:jc w:val="left"/>
                    <w:jc w:val="center"/>
                  </w:pPr>
                  <w:r>
                    <w:t xml:space="preserve">0.50</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0.53</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0.55</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0.51</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20.0</w:t>
                  </w:r>
                </w:p>
              </w:tc>
              <w:tc>
                <w:tcPr/>
                <w:p>
                  <w:pPr>
                    <w:pStyle w:val="Compact"/>
                    <w:jc w:val="left"/>
                    <w:jc w:val="center"/>
                  </w:pPr>
                  <w:r>
                    <w:t xml:space="preserve">0.56</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20.0</w:t>
                  </w:r>
                </w:p>
              </w:tc>
              <w:tc>
                <w:tcPr/>
                <w:p>
                  <w:pPr>
                    <w:pStyle w:val="Compact"/>
                    <w:jc w:val="left"/>
                    <w:jc w:val="center"/>
                  </w:pPr>
                  <w:r>
                    <w:t xml:space="preserve">0.58</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20.0</w:t>
                  </w:r>
                </w:p>
              </w:tc>
              <w:tc>
                <w:tcPr/>
                <w:p>
                  <w:pPr>
                    <w:pStyle w:val="Compact"/>
                    <w:jc w:val="left"/>
                    <w:jc w:val="center"/>
                  </w:pPr>
                  <w:r>
                    <w:t xml:space="preserve">0.53</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20.0</w:t>
                  </w:r>
                </w:p>
              </w:tc>
              <w:tc>
                <w:tcPr/>
                <w:p>
                  <w:pPr>
                    <w:pStyle w:val="Compact"/>
                    <w:jc w:val="left"/>
                    <w:jc w:val="center"/>
                  </w:pPr>
                  <w:r>
                    <w:t xml:space="preserve">0.56</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20.0</w:t>
                  </w:r>
                </w:p>
              </w:tc>
              <w:tc>
                <w:tcPr/>
                <w:p>
                  <w:pPr>
                    <w:pStyle w:val="Compact"/>
                    <w:jc w:val="left"/>
                    <w:jc w:val="center"/>
                  </w:pPr>
                  <w:r>
                    <w:t xml:space="preserve">0.55</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20.0</w:t>
                  </w:r>
                </w:p>
              </w:tc>
              <w:tc>
                <w:tcPr/>
                <w:p>
                  <w:pPr>
                    <w:pStyle w:val="Compact"/>
                    <w:jc w:val="left"/>
                    <w:jc w:val="center"/>
                  </w:pPr>
                  <w:r>
                    <w:t xml:space="preserve">0.58</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0.52</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0.51</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0.53</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0.57</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25.0</w:t>
                  </w:r>
                </w:p>
              </w:tc>
              <w:tc>
                <w:tcPr/>
                <w:p>
                  <w:pPr>
                    <w:pStyle w:val="Compact"/>
                    <w:jc w:val="left"/>
                    <w:jc w:val="center"/>
                  </w:pPr>
                  <w:r>
                    <w:t xml:space="preserve">0.60</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25.0</w:t>
                  </w:r>
                </w:p>
              </w:tc>
              <w:tc>
                <w:tcPr/>
                <w:p>
                  <w:pPr>
                    <w:pStyle w:val="Compact"/>
                    <w:jc w:val="left"/>
                    <w:jc w:val="center"/>
                  </w:pPr>
                  <w:r>
                    <w:t xml:space="preserve">0.61</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25.0</w:t>
                  </w:r>
                </w:p>
              </w:tc>
              <w:tc>
                <w:tcPr/>
                <w:p>
                  <w:pPr>
                    <w:pStyle w:val="Compact"/>
                    <w:jc w:val="left"/>
                    <w:jc w:val="center"/>
                  </w:pPr>
                  <w:r>
                    <w:t xml:space="preserve">0.58</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25.0</w:t>
                  </w:r>
                </w:p>
              </w:tc>
              <w:tc>
                <w:tcPr/>
                <w:p>
                  <w:pPr>
                    <w:pStyle w:val="Compact"/>
                    <w:jc w:val="left"/>
                    <w:jc w:val="center"/>
                  </w:pPr>
                  <w:r>
                    <w:t xml:space="preserve">0.60</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25.0</w:t>
                  </w:r>
                </w:p>
              </w:tc>
              <w:tc>
                <w:tcPr/>
                <w:p>
                  <w:pPr>
                    <w:pStyle w:val="Compact"/>
                    <w:jc w:val="left"/>
                    <w:jc w:val="center"/>
                  </w:pPr>
                  <w:r>
                    <w:t xml:space="preserve">0.61</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25.0</w:t>
                  </w:r>
                </w:p>
              </w:tc>
              <w:tc>
                <w:tcPr/>
                <w:p>
                  <w:pPr>
                    <w:pStyle w:val="Compact"/>
                    <w:jc w:val="left"/>
                    <w:jc w:val="center"/>
                  </w:pPr>
                  <w:r>
                    <w:t xml:space="preserve">0.59</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0.61</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0.60</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0.61</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0.65</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(Li et al., 2014)</w:t>
                  </w:r>
                </w:p>
              </w:tc>
            </w:tr>
            <w:tr>
              <w:tc>
                <w:tcPr/>
                <w:p>
                  <w:pPr>
                    <w:pStyle w:val="Compact"/>
                    <w:jc w:val="left"/>
                    <w:jc w:val="center"/>
                  </w:pPr>
                  <w:r>
                    <w:rPr>
                      <w:i/>
                      <w:iCs/>
                    </w:rPr>
                    <w:t xml:space="preserve">Microcystis aeruginosa FACHB905</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0.11</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FACHB905</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0.11</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FACHB905</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0.10</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FACHB909</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0.18</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FACHB909</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0.20</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FACHB909</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0.15</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FACHB938</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0.15</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FACHB938</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0.16</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FACHB938</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0.14</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FACHB939</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0.13</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FACHB939</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0.14</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FACHB939</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0.13</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FACHB942</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0.13</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FACHB942</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0.14</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FACHB942</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0.12</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FACHB975</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0.17</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FACHB975</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0.19</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FACHB975</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(Shen and Song, 2007)</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0.03</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0.37</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-0.12</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-0.13</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0.03</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0.13</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0.10</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0.12</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0.39</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0.38</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0.37</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0.38</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0.40</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0.38</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0.37</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0.38</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LMECYA</w:t>
                  </w:r>
                </w:p>
              </w:tc>
              <w:tc>
                <w:tcPr/>
                <w:p>
                  <w:pPr>
                    <w:pStyle w:val="Compact"/>
                    <w:jc w:val="left"/>
                    <w:jc w:val="center"/>
                  </w:pPr>
                  <w:r>
                    <w:t xml:space="preserve">Z8</w:t>
                  </w:r>
                </w:p>
              </w:tc>
              <w:tc>
                <w:tcPr/>
                <w:p>
                  <w:pPr>
                    <w:pStyle w:val="Compact"/>
                    <w:jc w:val="left"/>
                    <w:jc w:val="center"/>
                  </w:pPr>
                  <w:r>
                    <w:t xml:space="preserve">4.0</w:t>
                  </w:r>
                </w:p>
              </w:tc>
              <w:tc>
                <w:tcPr/>
                <w:p>
                  <w:pPr>
                    <w:pStyle w:val="Compact"/>
                    <w:jc w:val="left"/>
                    <w:jc w:val="center"/>
                  </w:pPr>
                  <w:r>
                    <w:t xml:space="preserve">20.0</w:t>
                  </w:r>
                </w:p>
              </w:tc>
              <w:tc>
                <w:tcPr/>
                <w:p>
                  <w:pPr>
                    <w:pStyle w:val="Compact"/>
                    <w:jc w:val="left"/>
                    <w:jc w:val="center"/>
                  </w:pPr>
                  <w:r>
                    <w:t xml:space="preserve">0.07</w:t>
                  </w:r>
                </w:p>
              </w:tc>
              <w:tc>
                <w:tcPr/>
                <w:p>
                  <w:pPr>
                    <w:pStyle w:val="Compact"/>
                    <w:jc w:val="left"/>
                    <w:jc w:val="center"/>
                  </w:pPr>
                  <w:r>
                    <w:t xml:space="preserve">(Salvador et al., 2016)</w:t>
                  </w:r>
                </w:p>
              </w:tc>
            </w:tr>
            <w:tr>
              <w:tc>
                <w:tcPr/>
                <w:p>
                  <w:pPr>
                    <w:pStyle w:val="Compact"/>
                    <w:jc w:val="left"/>
                    <w:jc w:val="center"/>
                  </w:pPr>
                  <w:r>
                    <w:rPr>
                      <w:i/>
                      <w:iCs/>
                    </w:rPr>
                    <w:t xml:space="preserve">Microcystis aeruginosa LMECYA</w:t>
                  </w:r>
                </w:p>
              </w:tc>
              <w:tc>
                <w:tcPr/>
                <w:p>
                  <w:pPr>
                    <w:pStyle w:val="Compact"/>
                    <w:jc w:val="left"/>
                    <w:jc w:val="center"/>
                  </w:pPr>
                  <w:r>
                    <w:t xml:space="preserve">Z8</w:t>
                  </w:r>
                </w:p>
              </w:tc>
              <w:tc>
                <w:tcPr/>
                <w:p>
                  <w:pPr>
                    <w:pStyle w:val="Compact"/>
                    <w:jc w:val="left"/>
                    <w:jc w:val="center"/>
                  </w:pPr>
                  <w:r>
                    <w:t xml:space="preserve">20.0</w:t>
                  </w:r>
                </w:p>
              </w:tc>
              <w:tc>
                <w:tcPr/>
                <w:p>
                  <w:pPr>
                    <w:pStyle w:val="Compact"/>
                    <w:jc w:val="left"/>
                    <w:jc w:val="center"/>
                  </w:pPr>
                  <w:r>
                    <w:t xml:space="preserve">20.0</w:t>
                  </w:r>
                </w:p>
              </w:tc>
              <w:tc>
                <w:tcPr/>
                <w:p>
                  <w:pPr>
                    <w:pStyle w:val="Compact"/>
                    <w:jc w:val="left"/>
                    <w:jc w:val="center"/>
                  </w:pPr>
                  <w:r>
                    <w:t xml:space="preserve">0.11</w:t>
                  </w:r>
                </w:p>
              </w:tc>
              <w:tc>
                <w:tcPr/>
                <w:p>
                  <w:pPr>
                    <w:pStyle w:val="Compact"/>
                    <w:jc w:val="left"/>
                    <w:jc w:val="center"/>
                  </w:pPr>
                  <w:r>
                    <w:t xml:space="preserve">(Salvador et al., 2016)</w:t>
                  </w:r>
                </w:p>
              </w:tc>
            </w:tr>
            <w:tr>
              <w:tc>
                <w:tcPr/>
                <w:p>
                  <w:pPr>
                    <w:pStyle w:val="Compact"/>
                    <w:jc w:val="left"/>
                    <w:jc w:val="center"/>
                  </w:pPr>
                  <w:r>
                    <w:rPr>
                      <w:i/>
                      <w:iCs/>
                    </w:rPr>
                    <w:t xml:space="preserve">Microcystis aeruginosa LMECYA</w:t>
                  </w:r>
                </w:p>
              </w:tc>
              <w:tc>
                <w:tcPr/>
                <w:p>
                  <w:pPr>
                    <w:pStyle w:val="Compact"/>
                    <w:jc w:val="left"/>
                    <w:jc w:val="center"/>
                  </w:pPr>
                  <w:r>
                    <w:t xml:space="preserve">Z8</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0.12</w:t>
                  </w:r>
                </w:p>
              </w:tc>
              <w:tc>
                <w:tcPr/>
                <w:p>
                  <w:pPr>
                    <w:pStyle w:val="Compact"/>
                    <w:jc w:val="left"/>
                    <w:jc w:val="center"/>
                  </w:pPr>
                  <w:r>
                    <w:t xml:space="preserve">(Salvador et al., 2016)</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0.42</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0.42</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0.39</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0.45</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0.18</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0.25</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0.45</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0.45</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10.0</w:t>
                  </w:r>
                </w:p>
              </w:tc>
              <w:tc>
                <w:tcPr/>
                <w:p>
                  <w:pPr>
                    <w:pStyle w:val="Compact"/>
                    <w:jc w:val="left"/>
                    <w:jc w:val="center"/>
                  </w:pPr>
                  <w:r>
                    <w:t xml:space="preserve">24.0</w:t>
                  </w:r>
                </w:p>
              </w:tc>
              <w:tc>
                <w:tcPr/>
                <w:p>
                  <w:pPr>
                    <w:pStyle w:val="Compact"/>
                    <w:jc w:val="left"/>
                    <w:jc w:val="center"/>
                  </w:pPr>
                  <w:r>
                    <w:t xml:space="preserve">0.28</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10.0</w:t>
                  </w:r>
                </w:p>
              </w:tc>
              <w:tc>
                <w:tcPr/>
                <w:p>
                  <w:pPr>
                    <w:pStyle w:val="Compact"/>
                    <w:jc w:val="left"/>
                    <w:jc w:val="center"/>
                  </w:pPr>
                  <w:r>
                    <w:t xml:space="preserve">24.0</w:t>
                  </w:r>
                </w:p>
              </w:tc>
              <w:tc>
                <w:tcPr/>
                <w:p>
                  <w:pPr>
                    <w:pStyle w:val="Compact"/>
                    <w:jc w:val="left"/>
                    <w:jc w:val="center"/>
                  </w:pPr>
                  <w:r>
                    <w:t xml:space="preserve">0.26</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10.0</w:t>
                  </w:r>
                </w:p>
              </w:tc>
              <w:tc>
                <w:tcPr/>
                <w:p>
                  <w:pPr>
                    <w:pStyle w:val="Compact"/>
                    <w:jc w:val="left"/>
                    <w:jc w:val="center"/>
                  </w:pPr>
                  <w:r>
                    <w:t xml:space="preserve">24.0</w:t>
                  </w:r>
                </w:p>
              </w:tc>
              <w:tc>
                <w:tcPr/>
                <w:p>
                  <w:pPr>
                    <w:pStyle w:val="Compact"/>
                    <w:jc w:val="left"/>
                    <w:jc w:val="center"/>
                  </w:pPr>
                  <w:r>
                    <w:t xml:space="preserve">0.26</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60.0</w:t>
                  </w:r>
                </w:p>
              </w:tc>
              <w:tc>
                <w:tcPr/>
                <w:p>
                  <w:pPr>
                    <w:pStyle w:val="Compact"/>
                    <w:jc w:val="left"/>
                    <w:jc w:val="center"/>
                  </w:pPr>
                  <w:r>
                    <w:t xml:space="preserve">24.0</w:t>
                  </w:r>
                </w:p>
              </w:tc>
              <w:tc>
                <w:tcPr/>
                <w:p>
                  <w:pPr>
                    <w:pStyle w:val="Compact"/>
                    <w:jc w:val="left"/>
                    <w:jc w:val="center"/>
                  </w:pPr>
                  <w:r>
                    <w:t xml:space="preserve">0.54</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60.0</w:t>
                  </w:r>
                </w:p>
              </w:tc>
              <w:tc>
                <w:tcPr/>
                <w:p>
                  <w:pPr>
                    <w:pStyle w:val="Compact"/>
                    <w:jc w:val="left"/>
                    <w:jc w:val="center"/>
                  </w:pPr>
                  <w:r>
                    <w:t xml:space="preserve">24.0</w:t>
                  </w:r>
                </w:p>
              </w:tc>
              <w:tc>
                <w:tcPr/>
                <w:p>
                  <w:pPr>
                    <w:pStyle w:val="Compact"/>
                    <w:jc w:val="left"/>
                    <w:jc w:val="center"/>
                  </w:pPr>
                  <w:r>
                    <w:t xml:space="preserve">0.53</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60.0</w:t>
                  </w:r>
                </w:p>
              </w:tc>
              <w:tc>
                <w:tcPr/>
                <w:p>
                  <w:pPr>
                    <w:pStyle w:val="Compact"/>
                    <w:jc w:val="left"/>
                    <w:jc w:val="center"/>
                  </w:pPr>
                  <w:r>
                    <w:t xml:space="preserve">24.0</w:t>
                  </w:r>
                </w:p>
              </w:tc>
              <w:tc>
                <w:tcPr/>
                <w:p>
                  <w:pPr>
                    <w:pStyle w:val="Compact"/>
                    <w:jc w:val="left"/>
                    <w:jc w:val="center"/>
                  </w:pPr>
                  <w:r>
                    <w:t xml:space="preserve">0.55</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100.0</w:t>
                  </w:r>
                </w:p>
              </w:tc>
              <w:tc>
                <w:tcPr/>
                <w:p>
                  <w:pPr>
                    <w:pStyle w:val="Compact"/>
                    <w:jc w:val="left"/>
                    <w:jc w:val="center"/>
                  </w:pPr>
                  <w:r>
                    <w:t xml:space="preserve">24.0</w:t>
                  </w:r>
                </w:p>
              </w:tc>
              <w:tc>
                <w:tcPr/>
                <w:p>
                  <w:pPr>
                    <w:pStyle w:val="Compact"/>
                    <w:jc w:val="left"/>
                    <w:jc w:val="center"/>
                  </w:pPr>
                  <w:r>
                    <w:t xml:space="preserve">0.45</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100.0</w:t>
                  </w:r>
                </w:p>
              </w:tc>
              <w:tc>
                <w:tcPr/>
                <w:p>
                  <w:pPr>
                    <w:pStyle w:val="Compact"/>
                    <w:jc w:val="left"/>
                    <w:jc w:val="center"/>
                  </w:pPr>
                  <w:r>
                    <w:t xml:space="preserve">24.0</w:t>
                  </w:r>
                </w:p>
              </w:tc>
              <w:tc>
                <w:tcPr/>
                <w:p>
                  <w:pPr>
                    <w:pStyle w:val="Compact"/>
                    <w:jc w:val="left"/>
                    <w:jc w:val="center"/>
                  </w:pPr>
                  <w:r>
                    <w:t xml:space="preserve">0.45</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100.0</w:t>
                  </w:r>
                </w:p>
              </w:tc>
              <w:tc>
                <w:tcPr/>
                <w:p>
                  <w:pPr>
                    <w:pStyle w:val="Compact"/>
                    <w:jc w:val="left"/>
                    <w:jc w:val="center"/>
                  </w:pPr>
                  <w:r>
                    <w:t xml:space="preserve">24.0</w:t>
                  </w:r>
                </w:p>
              </w:tc>
              <w:tc>
                <w:tcPr/>
                <w:p>
                  <w:pPr>
                    <w:pStyle w:val="Compact"/>
                    <w:jc w:val="left"/>
                    <w:jc w:val="center"/>
                  </w:pPr>
                  <w:r>
                    <w:t xml:space="preserve">0.45</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500.0</w:t>
                  </w:r>
                </w:p>
              </w:tc>
              <w:tc>
                <w:tcPr/>
                <w:p>
                  <w:pPr>
                    <w:pStyle w:val="Compact"/>
                    <w:jc w:val="left"/>
                    <w:jc w:val="center"/>
                  </w:pPr>
                  <w:r>
                    <w:t xml:space="preserve">24.0</w:t>
                  </w:r>
                </w:p>
              </w:tc>
              <w:tc>
                <w:tcPr/>
                <w:p>
                  <w:pPr>
                    <w:pStyle w:val="Compact"/>
                    <w:jc w:val="left"/>
                    <w:jc w:val="center"/>
                  </w:pPr>
                  <w:r>
                    <w:t xml:space="preserve">0.39</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500.0</w:t>
                  </w:r>
                </w:p>
              </w:tc>
              <w:tc>
                <w:tcPr/>
                <w:p>
                  <w:pPr>
                    <w:pStyle w:val="Compact"/>
                    <w:jc w:val="left"/>
                    <w:jc w:val="center"/>
                  </w:pPr>
                  <w:r>
                    <w:t xml:space="preserve">24.0</w:t>
                  </w:r>
                </w:p>
              </w:tc>
              <w:tc>
                <w:tcPr/>
                <w:p>
                  <w:pPr>
                    <w:pStyle w:val="Compact"/>
                    <w:jc w:val="left"/>
                    <w:jc w:val="center"/>
                  </w:pPr>
                  <w:r>
                    <w:t xml:space="preserve">0.41</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500.0</w:t>
                  </w:r>
                </w:p>
              </w:tc>
              <w:tc>
                <w:tcPr/>
                <w:p>
                  <w:pPr>
                    <w:pStyle w:val="Compact"/>
                    <w:jc w:val="left"/>
                    <w:jc w:val="center"/>
                  </w:pPr>
                  <w:r>
                    <w:t xml:space="preserve">24.0</w:t>
                  </w:r>
                </w:p>
              </w:tc>
              <w:tc>
                <w:tcPr/>
                <w:p>
                  <w:pPr>
                    <w:pStyle w:val="Compact"/>
                    <w:jc w:val="left"/>
                    <w:jc w:val="center"/>
                  </w:pPr>
                  <w:r>
                    <w:t xml:space="preserve">0.37</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40.0</w:t>
                  </w:r>
                </w:p>
              </w:tc>
              <w:tc>
                <w:tcPr/>
                <w:p>
                  <w:pPr>
                    <w:pStyle w:val="Compact"/>
                    <w:jc w:val="left"/>
                    <w:jc w:val="center"/>
                  </w:pPr>
                  <w:r>
                    <w:t xml:space="preserve">24.0</w:t>
                  </w:r>
                </w:p>
              </w:tc>
              <w:tc>
                <w:tcPr/>
                <w:p>
                  <w:pPr>
                    <w:pStyle w:val="Compact"/>
                    <w:jc w:val="left"/>
                    <w:jc w:val="center"/>
                  </w:pPr>
                  <w:r>
                    <w:t xml:space="preserve">0.47</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40.0</w:t>
                  </w:r>
                </w:p>
              </w:tc>
              <w:tc>
                <w:tcPr/>
                <w:p>
                  <w:pPr>
                    <w:pStyle w:val="Compact"/>
                    <w:jc w:val="left"/>
                    <w:jc w:val="center"/>
                  </w:pPr>
                  <w:r>
                    <w:t xml:space="preserve">24.0</w:t>
                  </w:r>
                </w:p>
              </w:tc>
              <w:tc>
                <w:tcPr/>
                <w:p>
                  <w:pPr>
                    <w:pStyle w:val="Compact"/>
                    <w:jc w:val="left"/>
                    <w:jc w:val="center"/>
                  </w:pPr>
                  <w:r>
                    <w:t xml:space="preserve">0.46</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40.0</w:t>
                  </w:r>
                </w:p>
              </w:tc>
              <w:tc>
                <w:tcPr/>
                <w:p>
                  <w:pPr>
                    <w:pStyle w:val="Compact"/>
                    <w:jc w:val="left"/>
                    <w:jc w:val="center"/>
                  </w:pPr>
                  <w:r>
                    <w:t xml:space="preserve">24.0</w:t>
                  </w:r>
                </w:p>
              </w:tc>
              <w:tc>
                <w:tcPr/>
                <w:p>
                  <w:pPr>
                    <w:pStyle w:val="Compact"/>
                    <w:jc w:val="left"/>
                    <w:jc w:val="center"/>
                  </w:pPr>
                  <w:r>
                    <w:t xml:space="preserve">0.45</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10.0</w:t>
                  </w:r>
                </w:p>
              </w:tc>
              <w:tc>
                <w:tcPr/>
                <w:p>
                  <w:pPr>
                    <w:pStyle w:val="Compact"/>
                    <w:jc w:val="left"/>
                    <w:jc w:val="center"/>
                  </w:pPr>
                  <w:r>
                    <w:t xml:space="preserve">24.0</w:t>
                  </w:r>
                </w:p>
              </w:tc>
              <w:tc>
                <w:tcPr/>
                <w:p>
                  <w:pPr>
                    <w:pStyle w:val="Compact"/>
                    <w:jc w:val="left"/>
                    <w:jc w:val="center"/>
                  </w:pPr>
                  <w:r>
                    <w:t xml:space="preserve">0.29</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10.0</w:t>
                  </w:r>
                </w:p>
              </w:tc>
              <w:tc>
                <w:tcPr/>
                <w:p>
                  <w:pPr>
                    <w:pStyle w:val="Compact"/>
                    <w:jc w:val="left"/>
                    <w:jc w:val="center"/>
                  </w:pPr>
                  <w:r>
                    <w:t xml:space="preserve">24.0</w:t>
                  </w:r>
                </w:p>
              </w:tc>
              <w:tc>
                <w:tcPr/>
                <w:p>
                  <w:pPr>
                    <w:pStyle w:val="Compact"/>
                    <w:jc w:val="left"/>
                    <w:jc w:val="center"/>
                  </w:pPr>
                  <w:r>
                    <w:t xml:space="preserve">0.28</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10.0</w:t>
                  </w:r>
                </w:p>
              </w:tc>
              <w:tc>
                <w:tcPr/>
                <w:p>
                  <w:pPr>
                    <w:pStyle w:val="Compact"/>
                    <w:jc w:val="left"/>
                    <w:jc w:val="center"/>
                  </w:pPr>
                  <w:r>
                    <w:t xml:space="preserve">24.0</w:t>
                  </w:r>
                </w:p>
              </w:tc>
              <w:tc>
                <w:tcPr/>
                <w:p>
                  <w:pPr>
                    <w:pStyle w:val="Compact"/>
                    <w:jc w:val="left"/>
                    <w:jc w:val="center"/>
                  </w:pPr>
                  <w:r>
                    <w:t xml:space="preserve">0.29</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60.0</w:t>
                  </w:r>
                </w:p>
              </w:tc>
              <w:tc>
                <w:tcPr/>
                <w:p>
                  <w:pPr>
                    <w:pStyle w:val="Compact"/>
                    <w:jc w:val="left"/>
                    <w:jc w:val="center"/>
                  </w:pPr>
                  <w:r>
                    <w:t xml:space="preserve">24.0</w:t>
                  </w:r>
                </w:p>
              </w:tc>
              <w:tc>
                <w:tcPr/>
                <w:p>
                  <w:pPr>
                    <w:pStyle w:val="Compact"/>
                    <w:jc w:val="left"/>
                    <w:jc w:val="center"/>
                  </w:pPr>
                  <w:r>
                    <w:t xml:space="preserve">0.45</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60.0</w:t>
                  </w:r>
                </w:p>
              </w:tc>
              <w:tc>
                <w:tcPr/>
                <w:p>
                  <w:pPr>
                    <w:pStyle w:val="Compact"/>
                    <w:jc w:val="left"/>
                    <w:jc w:val="center"/>
                  </w:pPr>
                  <w:r>
                    <w:t xml:space="preserve">24.0</w:t>
                  </w:r>
                </w:p>
              </w:tc>
              <w:tc>
                <w:tcPr/>
                <w:p>
                  <w:pPr>
                    <w:pStyle w:val="Compact"/>
                    <w:jc w:val="left"/>
                    <w:jc w:val="center"/>
                  </w:pPr>
                  <w:r>
                    <w:t xml:space="preserve">0.43</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60.0</w:t>
                  </w:r>
                </w:p>
              </w:tc>
              <w:tc>
                <w:tcPr/>
                <w:p>
                  <w:pPr>
                    <w:pStyle w:val="Compact"/>
                    <w:jc w:val="left"/>
                    <w:jc w:val="center"/>
                  </w:pPr>
                  <w:r>
                    <w:t xml:space="preserve">24.0</w:t>
                  </w:r>
                </w:p>
              </w:tc>
              <w:tc>
                <w:tcPr/>
                <w:p>
                  <w:pPr>
                    <w:pStyle w:val="Compact"/>
                    <w:jc w:val="left"/>
                    <w:jc w:val="center"/>
                  </w:pPr>
                  <w:r>
                    <w:t xml:space="preserve">0.47</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100.0</w:t>
                  </w:r>
                </w:p>
              </w:tc>
              <w:tc>
                <w:tcPr/>
                <w:p>
                  <w:pPr>
                    <w:pStyle w:val="Compact"/>
                    <w:jc w:val="left"/>
                    <w:jc w:val="center"/>
                  </w:pPr>
                  <w:r>
                    <w:t xml:space="preserve">24.0</w:t>
                  </w:r>
                </w:p>
              </w:tc>
              <w:tc>
                <w:tcPr/>
                <w:p>
                  <w:pPr>
                    <w:pStyle w:val="Compact"/>
                    <w:jc w:val="left"/>
                    <w:jc w:val="center"/>
                  </w:pPr>
                  <w:r>
                    <w:t xml:space="preserve">0.56</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100.0</w:t>
                  </w:r>
                </w:p>
              </w:tc>
              <w:tc>
                <w:tcPr/>
                <w:p>
                  <w:pPr>
                    <w:pStyle w:val="Compact"/>
                    <w:jc w:val="left"/>
                    <w:jc w:val="center"/>
                  </w:pPr>
                  <w:r>
                    <w:t xml:space="preserve">24.0</w:t>
                  </w:r>
                </w:p>
              </w:tc>
              <w:tc>
                <w:tcPr/>
                <w:p>
                  <w:pPr>
                    <w:pStyle w:val="Compact"/>
                    <w:jc w:val="left"/>
                    <w:jc w:val="center"/>
                  </w:pPr>
                  <w:r>
                    <w:t xml:space="preserve">0.56</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100.0</w:t>
                  </w:r>
                </w:p>
              </w:tc>
              <w:tc>
                <w:tcPr/>
                <w:p>
                  <w:pPr>
                    <w:pStyle w:val="Compact"/>
                    <w:jc w:val="left"/>
                    <w:jc w:val="center"/>
                  </w:pPr>
                  <w:r>
                    <w:t xml:space="preserve">24.0</w:t>
                  </w:r>
                </w:p>
              </w:tc>
              <w:tc>
                <w:tcPr/>
                <w:p>
                  <w:pPr>
                    <w:pStyle w:val="Compact"/>
                    <w:jc w:val="left"/>
                    <w:jc w:val="center"/>
                  </w:pPr>
                  <w:r>
                    <w:t xml:space="preserve">0.56</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500.0</w:t>
                  </w:r>
                </w:p>
              </w:tc>
              <w:tc>
                <w:tcPr/>
                <w:p>
                  <w:pPr>
                    <w:pStyle w:val="Compact"/>
                    <w:jc w:val="left"/>
                    <w:jc w:val="center"/>
                  </w:pPr>
                  <w:r>
                    <w:t xml:space="preserve">24.0</w:t>
                  </w:r>
                </w:p>
              </w:tc>
              <w:tc>
                <w:tcPr/>
                <w:p>
                  <w:pPr>
                    <w:pStyle w:val="Compact"/>
                    <w:jc w:val="left"/>
                    <w:jc w:val="center"/>
                  </w:pPr>
                  <w:r>
                    <w:t xml:space="preserve">0.58</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500.0</w:t>
                  </w:r>
                </w:p>
              </w:tc>
              <w:tc>
                <w:tcPr/>
                <w:p>
                  <w:pPr>
                    <w:pStyle w:val="Compact"/>
                    <w:jc w:val="left"/>
                    <w:jc w:val="center"/>
                  </w:pPr>
                  <w:r>
                    <w:t xml:space="preserve">24.0</w:t>
                  </w:r>
                </w:p>
              </w:tc>
              <w:tc>
                <w:tcPr/>
                <w:p>
                  <w:pPr>
                    <w:pStyle w:val="Compact"/>
                    <w:jc w:val="left"/>
                    <w:jc w:val="center"/>
                  </w:pPr>
                  <w:r>
                    <w:t xml:space="preserve">0.59</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500.0</w:t>
                  </w:r>
                </w:p>
              </w:tc>
              <w:tc>
                <w:tcPr/>
                <w:p>
                  <w:pPr>
                    <w:pStyle w:val="Compact"/>
                    <w:jc w:val="left"/>
                    <w:jc w:val="center"/>
                  </w:pPr>
                  <w:r>
                    <w:t xml:space="preserve">24.0</w:t>
                  </w:r>
                </w:p>
              </w:tc>
              <w:tc>
                <w:tcPr/>
                <w:p>
                  <w:pPr>
                    <w:pStyle w:val="Compact"/>
                    <w:jc w:val="left"/>
                    <w:jc w:val="center"/>
                  </w:pPr>
                  <w:r>
                    <w:t xml:space="preserve">0.56</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40.0</w:t>
                  </w:r>
                </w:p>
              </w:tc>
              <w:tc>
                <w:tcPr/>
                <w:p>
                  <w:pPr>
                    <w:pStyle w:val="Compact"/>
                    <w:jc w:val="left"/>
                    <w:jc w:val="center"/>
                  </w:pPr>
                  <w:r>
                    <w:t xml:space="preserve">24.0</w:t>
                  </w:r>
                </w:p>
              </w:tc>
              <w:tc>
                <w:tcPr/>
                <w:p>
                  <w:pPr>
                    <w:pStyle w:val="Compact"/>
                    <w:jc w:val="left"/>
                    <w:jc w:val="center"/>
                  </w:pPr>
                  <w:r>
                    <w:t xml:space="preserve">0.54</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40.0</w:t>
                  </w:r>
                </w:p>
              </w:tc>
              <w:tc>
                <w:tcPr/>
                <w:p>
                  <w:pPr>
                    <w:pStyle w:val="Compact"/>
                    <w:jc w:val="left"/>
                    <w:jc w:val="center"/>
                  </w:pPr>
                  <w:r>
                    <w:t xml:space="preserve">24.0</w:t>
                  </w:r>
                </w:p>
              </w:tc>
              <w:tc>
                <w:tcPr/>
                <w:p>
                  <w:pPr>
                    <w:pStyle w:val="Compact"/>
                    <w:jc w:val="left"/>
                    <w:jc w:val="center"/>
                  </w:pPr>
                  <w:r>
                    <w:t xml:space="preserve">0.58</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40.0</w:t>
                  </w:r>
                </w:p>
              </w:tc>
              <w:tc>
                <w:tcPr/>
                <w:p>
                  <w:pPr>
                    <w:pStyle w:val="Compact"/>
                    <w:jc w:val="left"/>
                    <w:jc w:val="center"/>
                  </w:pPr>
                  <w:r>
                    <w:t xml:space="preserve">24.0</w:t>
                  </w:r>
                </w:p>
              </w:tc>
              <w:tc>
                <w:tcPr/>
                <w:p>
                  <w:pPr>
                    <w:pStyle w:val="Compact"/>
                    <w:jc w:val="left"/>
                    <w:jc w:val="center"/>
                  </w:pPr>
                  <w:r>
                    <w:t xml:space="preserve">0.51</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MIRF</w:t>
                  </w:r>
                </w:p>
              </w:tc>
              <w:tc>
                <w:tcPr/>
                <w:p>
                  <w:pPr>
                    <w:pStyle w:val="Compact"/>
                    <w:jc w:val="left"/>
                    <w:jc w:val="center"/>
                  </w:pPr>
                  <w:r>
                    <w:t xml:space="preserve">ASM-1</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0.61</w:t>
                  </w:r>
                </w:p>
              </w:tc>
              <w:tc>
                <w:tcPr/>
                <w:p>
                  <w:pPr>
                    <w:pStyle w:val="Compact"/>
                    <w:jc w:val="left"/>
                    <w:jc w:val="center"/>
                  </w:pPr>
                  <w:r>
                    <w:t xml:space="preserve">(Mello et al., 2012)</w:t>
                  </w:r>
                </w:p>
              </w:tc>
            </w:tr>
            <w:tr>
              <w:tc>
                <w:tcPr/>
                <w:p>
                  <w:pPr>
                    <w:pStyle w:val="Compact"/>
                    <w:jc w:val="left"/>
                    <w:jc w:val="center"/>
                  </w:pPr>
                  <w:r>
                    <w:rPr>
                      <w:i/>
                      <w:iCs/>
                    </w:rPr>
                    <w:t xml:space="preserve">Microcystis aeruginosa MIRF</w:t>
                  </w:r>
                </w:p>
              </w:tc>
              <w:tc>
                <w:tcPr/>
                <w:p>
                  <w:pPr>
                    <w:pStyle w:val="Compact"/>
                    <w:jc w:val="left"/>
                    <w:jc w:val="center"/>
                  </w:pPr>
                  <w:r>
                    <w:t xml:space="preserve">ASM-1</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(Mello et al., 2012)</w:t>
                  </w:r>
                </w:p>
              </w:tc>
            </w:tr>
            <w:tr>
              <w:tc>
                <w:tcPr/>
                <w:p>
                  <w:pPr>
                    <w:pStyle w:val="Compact"/>
                    <w:jc w:val="left"/>
                    <w:jc w:val="center"/>
                  </w:pPr>
                  <w:r>
                    <w:rPr>
                      <w:i/>
                      <w:iCs/>
                    </w:rPr>
                    <w:t xml:space="preserve">Microcystis aeruginosa MIRF</w:t>
                  </w:r>
                </w:p>
              </w:tc>
              <w:tc>
                <w:tcPr/>
                <w:p>
                  <w:pPr>
                    <w:pStyle w:val="Compact"/>
                    <w:jc w:val="left"/>
                    <w:jc w:val="center"/>
                  </w:pPr>
                  <w:r>
                    <w:t xml:space="preserve">ASM-1</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0.58</w:t>
                  </w:r>
                </w:p>
              </w:tc>
              <w:tc>
                <w:tcPr/>
                <w:p>
                  <w:pPr>
                    <w:pStyle w:val="Compact"/>
                    <w:jc w:val="left"/>
                    <w:jc w:val="center"/>
                  </w:pPr>
                  <w:r>
                    <w:t xml:space="preserve">(Mello et al., 2012)</w:t>
                  </w:r>
                </w:p>
              </w:tc>
            </w:tr>
            <w:tr>
              <w:tc>
                <w:tcPr/>
                <w:p>
                  <w:pPr>
                    <w:pStyle w:val="Compact"/>
                    <w:jc w:val="left"/>
                    <w:jc w:val="center"/>
                  </w:pPr>
                  <w:r>
                    <w:rPr>
                      <w:i/>
                      <w:iCs/>
                    </w:rPr>
                    <w:t xml:space="preserve">Microcystis aeruginosa MT2PCC7806</w:t>
                  </w:r>
                </w:p>
              </w:tc>
              <w:tc>
                <w:tcPr/>
                <w:p>
                  <w:pPr>
                    <w:pStyle w:val="Compact"/>
                    <w:jc w:val="left"/>
                    <w:jc w:val="center"/>
                  </w:pPr>
                  <w:r>
                    <w:t xml:space="preserve">Modified BG11</w:t>
                  </w:r>
                </w:p>
              </w:tc>
              <w:tc>
                <w:tcPr/>
                <w:p>
                  <w:pPr>
                    <w:pStyle w:val="Compact"/>
                    <w:jc w:val="left"/>
                    <w:jc w:val="center"/>
                  </w:pPr>
                  <w:r>
                    <w:t xml:space="preserve">39.0</w:t>
                  </w:r>
                </w:p>
              </w:tc>
              <w:tc>
                <w:tcPr/>
                <w:p>
                  <w:pPr>
                    <w:pStyle w:val="Compact"/>
                    <w:jc w:val="left"/>
                    <w:jc w:val="center"/>
                  </w:pPr>
                  <w:r>
                    <w:t xml:space="preserve">22.0</w:t>
                  </w:r>
                </w:p>
              </w:tc>
              <w:tc>
                <w:tcPr/>
                <w:p>
                  <w:pPr>
                    <w:pStyle w:val="Compact"/>
                    <w:jc w:val="left"/>
                    <w:jc w:val="center"/>
                  </w:pPr>
                  <w:r>
                    <w:t xml:space="preserve">0.49</w:t>
                  </w:r>
                </w:p>
              </w:tc>
              <w:tc>
                <w:tcPr/>
                <w:p>
                  <w:pPr>
                    <w:pStyle w:val="Compact"/>
                    <w:jc w:val="left"/>
                    <w:jc w:val="center"/>
                  </w:pPr>
                  <w:r>
                    <w:t xml:space="preserve">(Briand et al., 2012)</w:t>
                  </w:r>
                </w:p>
              </w:tc>
            </w:tr>
            <w:tr>
              <w:tc>
                <w:tcPr/>
                <w:p>
                  <w:pPr>
                    <w:pStyle w:val="Compact"/>
                    <w:jc w:val="left"/>
                    <w:jc w:val="center"/>
                  </w:pPr>
                  <w:r>
                    <w:rPr>
                      <w:i/>
                      <w:iCs/>
                    </w:rPr>
                    <w:t xml:space="preserve">Microcystis aeruginosa MT2PCC7806</w:t>
                  </w:r>
                </w:p>
              </w:tc>
              <w:tc>
                <w:tcPr/>
                <w:p>
                  <w:pPr>
                    <w:pStyle w:val="Compact"/>
                    <w:jc w:val="left"/>
                    <w:jc w:val="center"/>
                  </w:pPr>
                  <w:r>
                    <w:t xml:space="preserve">Modified BG11</w:t>
                  </w:r>
                </w:p>
              </w:tc>
              <w:tc>
                <w:tcPr/>
                <w:p>
                  <w:pPr>
                    <w:pStyle w:val="Compact"/>
                    <w:jc w:val="left"/>
                    <w:jc w:val="center"/>
                  </w:pPr>
                  <w:r>
                    <w:t xml:space="preserve">39.0</w:t>
                  </w:r>
                </w:p>
              </w:tc>
              <w:tc>
                <w:tcPr/>
                <w:p>
                  <w:pPr>
                    <w:pStyle w:val="Compact"/>
                    <w:jc w:val="left"/>
                    <w:jc w:val="center"/>
                  </w:pPr>
                  <w:r>
                    <w:t xml:space="preserve">22.0</w:t>
                  </w:r>
                </w:p>
              </w:tc>
              <w:tc>
                <w:tcPr/>
                <w:p>
                  <w:pPr>
                    <w:pStyle w:val="Compact"/>
                    <w:jc w:val="left"/>
                    <w:jc w:val="center"/>
                  </w:pPr>
                  <w:r>
                    <w:t xml:space="preserve">0.45</w:t>
                  </w:r>
                </w:p>
              </w:tc>
              <w:tc>
                <w:tcPr/>
                <w:p>
                  <w:pPr>
                    <w:pStyle w:val="Compact"/>
                    <w:jc w:val="left"/>
                    <w:jc w:val="center"/>
                  </w:pPr>
                  <w:r>
                    <w:t xml:space="preserve">(Briand et al., 2012)</w:t>
                  </w:r>
                </w:p>
              </w:tc>
            </w:tr>
            <w:tr>
              <w:tc>
                <w:tcPr/>
                <w:p>
                  <w:pPr>
                    <w:pStyle w:val="Compact"/>
                    <w:jc w:val="left"/>
                    <w:jc w:val="center"/>
                  </w:pPr>
                  <w:r>
                    <w:rPr>
                      <w:i/>
                      <w:iCs/>
                    </w:rPr>
                    <w:t xml:space="preserve">Microcystis aeruginosa MT2PCC7806</w:t>
                  </w:r>
                </w:p>
              </w:tc>
              <w:tc>
                <w:tcPr/>
                <w:p>
                  <w:pPr>
                    <w:pStyle w:val="Compact"/>
                    <w:jc w:val="left"/>
                    <w:jc w:val="center"/>
                  </w:pPr>
                  <w:r>
                    <w:t xml:space="preserve">Modified BG11</w:t>
                  </w:r>
                </w:p>
              </w:tc>
              <w:tc>
                <w:tcPr/>
                <w:p>
                  <w:pPr>
                    <w:pStyle w:val="Compact"/>
                    <w:jc w:val="left"/>
                    <w:jc w:val="center"/>
                  </w:pPr>
                  <w:r>
                    <w:t xml:space="preserve">39.0</w:t>
                  </w:r>
                </w:p>
              </w:tc>
              <w:tc>
                <w:tcPr/>
                <w:p>
                  <w:pPr>
                    <w:pStyle w:val="Compact"/>
                    <w:jc w:val="left"/>
                    <w:jc w:val="center"/>
                  </w:pPr>
                  <w:r>
                    <w:t xml:space="preserve">22.0</w:t>
                  </w:r>
                </w:p>
              </w:tc>
              <w:tc>
                <w:tcPr/>
                <w:p>
                  <w:pPr>
                    <w:pStyle w:val="Compact"/>
                    <w:jc w:val="left"/>
                    <w:jc w:val="center"/>
                  </w:pPr>
                  <w:r>
                    <w:t xml:space="preserve">0.53</w:t>
                  </w:r>
                </w:p>
              </w:tc>
              <w:tc>
                <w:tcPr/>
                <w:p>
                  <w:pPr>
                    <w:pStyle w:val="Compact"/>
                    <w:jc w:val="left"/>
                    <w:jc w:val="center"/>
                  </w:pPr>
                  <w:r>
                    <w:t xml:space="preserve">(Briand et al., 2012)</w:t>
                  </w:r>
                </w:p>
              </w:tc>
            </w:tr>
            <w:tr>
              <w:tc>
                <w:tcPr/>
                <w:p>
                  <w:pPr>
                    <w:pStyle w:val="Compact"/>
                    <w:jc w:val="left"/>
                    <w:jc w:val="center"/>
                  </w:pPr>
                  <w:r>
                    <w:rPr>
                      <w:i/>
                      <w:iCs/>
                    </w:rPr>
                    <w:t xml:space="preserve">Microcystis aeruginosa MT2PCC7806</w:t>
                  </w:r>
                </w:p>
              </w:tc>
              <w:tc>
                <w:tcPr/>
                <w:p>
                  <w:pPr>
                    <w:pStyle w:val="Compact"/>
                    <w:jc w:val="left"/>
                    <w:jc w:val="center"/>
                  </w:pPr>
                  <w:r>
                    <w:t xml:space="preserve">Modified BG11</w:t>
                  </w:r>
                </w:p>
              </w:tc>
              <w:tc>
                <w:tcPr/>
                <w:p>
                  <w:pPr>
                    <w:pStyle w:val="Compact"/>
                    <w:jc w:val="left"/>
                    <w:jc w:val="center"/>
                  </w:pPr>
                  <w:r>
                    <w:t xml:space="preserve">5.0</w:t>
                  </w:r>
                </w:p>
              </w:tc>
              <w:tc>
                <w:tcPr/>
                <w:p>
                  <w:pPr>
                    <w:pStyle w:val="Compact"/>
                    <w:jc w:val="left"/>
                    <w:jc w:val="center"/>
                  </w:pPr>
                  <w:r>
                    <w:t xml:space="preserve">22.0</w:t>
                  </w:r>
                </w:p>
              </w:tc>
              <w:tc>
                <w:tcPr/>
                <w:p>
                  <w:pPr>
                    <w:pStyle w:val="Compact"/>
                    <w:jc w:val="left"/>
                    <w:jc w:val="center"/>
                  </w:pPr>
                  <w:r>
                    <w:t xml:space="preserve">0.11</w:t>
                  </w:r>
                </w:p>
              </w:tc>
              <w:tc>
                <w:tcPr/>
                <w:p>
                  <w:pPr>
                    <w:pStyle w:val="Compact"/>
                    <w:jc w:val="left"/>
                    <w:jc w:val="center"/>
                  </w:pPr>
                  <w:r>
                    <w:t xml:space="preserve">(Briand et al., 2012)</w:t>
                  </w:r>
                </w:p>
              </w:tc>
            </w:tr>
            <w:tr>
              <w:tc>
                <w:tcPr/>
                <w:p>
                  <w:pPr>
                    <w:pStyle w:val="Compact"/>
                    <w:jc w:val="left"/>
                    <w:jc w:val="center"/>
                  </w:pPr>
                  <w:r>
                    <w:rPr>
                      <w:i/>
                      <w:iCs/>
                    </w:rPr>
                    <w:t xml:space="preserve">Microcystis aeruginosa MT2PCC7806</w:t>
                  </w:r>
                </w:p>
              </w:tc>
              <w:tc>
                <w:tcPr/>
                <w:p>
                  <w:pPr>
                    <w:pStyle w:val="Compact"/>
                    <w:jc w:val="left"/>
                    <w:jc w:val="center"/>
                  </w:pPr>
                  <w:r>
                    <w:t xml:space="preserve">Modified BG11</w:t>
                  </w:r>
                </w:p>
              </w:tc>
              <w:tc>
                <w:tcPr/>
                <w:p>
                  <w:pPr>
                    <w:pStyle w:val="Compact"/>
                    <w:jc w:val="left"/>
                    <w:jc w:val="center"/>
                  </w:pPr>
                  <w:r>
                    <w:t xml:space="preserve">5.0</w:t>
                  </w:r>
                </w:p>
              </w:tc>
              <w:tc>
                <w:tcPr/>
                <w:p>
                  <w:pPr>
                    <w:pStyle w:val="Compact"/>
                    <w:jc w:val="left"/>
                    <w:jc w:val="center"/>
                  </w:pPr>
                  <w:r>
                    <w:t xml:space="preserve">22.0</w:t>
                  </w:r>
                </w:p>
              </w:tc>
              <w:tc>
                <w:tcPr/>
                <w:p>
                  <w:pPr>
                    <w:pStyle w:val="Compact"/>
                    <w:jc w:val="left"/>
                    <w:jc w:val="center"/>
                  </w:pPr>
                  <w:r>
                    <w:t xml:space="preserve">0.10</w:t>
                  </w:r>
                </w:p>
              </w:tc>
              <w:tc>
                <w:tcPr/>
                <w:p>
                  <w:pPr>
                    <w:pStyle w:val="Compact"/>
                    <w:jc w:val="left"/>
                    <w:jc w:val="center"/>
                  </w:pPr>
                  <w:r>
                    <w:t xml:space="preserve">(Briand et al., 2012)</w:t>
                  </w:r>
                </w:p>
              </w:tc>
            </w:tr>
            <w:tr>
              <w:tc>
                <w:tcPr/>
                <w:p>
                  <w:pPr>
                    <w:pStyle w:val="Compact"/>
                    <w:jc w:val="left"/>
                    <w:jc w:val="center"/>
                  </w:pPr>
                  <w:r>
                    <w:rPr>
                      <w:i/>
                      <w:iCs/>
                    </w:rPr>
                    <w:t xml:space="preserve">Microcystis aeruginosa MT2PCC7806</w:t>
                  </w:r>
                </w:p>
              </w:tc>
              <w:tc>
                <w:tcPr/>
                <w:p>
                  <w:pPr>
                    <w:pStyle w:val="Compact"/>
                    <w:jc w:val="left"/>
                    <w:jc w:val="center"/>
                  </w:pPr>
                  <w:r>
                    <w:t xml:space="preserve">Modified BG11</w:t>
                  </w:r>
                </w:p>
              </w:tc>
              <w:tc>
                <w:tcPr/>
                <w:p>
                  <w:pPr>
                    <w:pStyle w:val="Compact"/>
                    <w:jc w:val="left"/>
                    <w:jc w:val="center"/>
                  </w:pPr>
                  <w:r>
                    <w:t xml:space="preserve">5.0</w:t>
                  </w:r>
                </w:p>
              </w:tc>
              <w:tc>
                <w:tcPr/>
                <w:p>
                  <w:pPr>
                    <w:pStyle w:val="Compact"/>
                    <w:jc w:val="left"/>
                    <w:jc w:val="center"/>
                  </w:pPr>
                  <w:r>
                    <w:t xml:space="preserve">22.0</w:t>
                  </w:r>
                </w:p>
              </w:tc>
              <w:tc>
                <w:tcPr/>
                <w:p>
                  <w:pPr>
                    <w:pStyle w:val="Compact"/>
                    <w:jc w:val="left"/>
                    <w:jc w:val="center"/>
                  </w:pPr>
                  <w:r>
                    <w:t xml:space="preserve">0.12</w:t>
                  </w:r>
                </w:p>
              </w:tc>
              <w:tc>
                <w:tcPr/>
                <w:p>
                  <w:pPr>
                    <w:pStyle w:val="Compact"/>
                    <w:jc w:val="left"/>
                    <w:jc w:val="center"/>
                  </w:pPr>
                  <w:r>
                    <w:t xml:space="preserve">(Briand et al., 2012)</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4.0</w:t>
                  </w:r>
                </w:p>
              </w:tc>
              <w:tc>
                <w:tcPr/>
                <w:p>
                  <w:pPr>
                    <w:pStyle w:val="Compact"/>
                    <w:jc w:val="left"/>
                    <w:jc w:val="center"/>
                  </w:pPr>
                  <w:r>
                    <w:t xml:space="preserve">20.0</w:t>
                  </w:r>
                </w:p>
              </w:tc>
              <w:tc>
                <w:tcPr/>
                <w:p>
                  <w:pPr>
                    <w:pStyle w:val="Compact"/>
                    <w:jc w:val="left"/>
                    <w:jc w:val="center"/>
                  </w:pPr>
                  <w:r>
                    <w:t xml:space="preserve">0.05</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4.0</w:t>
                  </w:r>
                </w:p>
              </w:tc>
              <w:tc>
                <w:tcPr/>
                <w:p>
                  <w:pPr>
                    <w:pStyle w:val="Compact"/>
                    <w:jc w:val="left"/>
                    <w:jc w:val="center"/>
                  </w:pPr>
                  <w:r>
                    <w:t xml:space="preserve">20.0</w:t>
                  </w:r>
                </w:p>
              </w:tc>
              <w:tc>
                <w:tcPr/>
                <w:p>
                  <w:pPr>
                    <w:pStyle w:val="Compact"/>
                    <w:jc w:val="left"/>
                    <w:jc w:val="center"/>
                  </w:pPr>
                  <w:r>
                    <w:t xml:space="preserve">0.05</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4.0</w:t>
                  </w:r>
                </w:p>
              </w:tc>
              <w:tc>
                <w:tcPr/>
                <w:p>
                  <w:pPr>
                    <w:pStyle w:val="Compact"/>
                    <w:jc w:val="left"/>
                    <w:jc w:val="center"/>
                  </w:pPr>
                  <w:r>
                    <w:t xml:space="preserve">20.0</w:t>
                  </w:r>
                </w:p>
              </w:tc>
              <w:tc>
                <w:tcPr/>
                <w:p>
                  <w:pPr>
                    <w:pStyle w:val="Compact"/>
                    <w:jc w:val="left"/>
                    <w:jc w:val="center"/>
                  </w:pPr>
                  <w:r>
                    <w:t xml:space="preserve">0.04</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9.0</w:t>
                  </w:r>
                </w:p>
              </w:tc>
              <w:tc>
                <w:tcPr/>
                <w:p>
                  <w:pPr>
                    <w:pStyle w:val="Compact"/>
                    <w:jc w:val="left"/>
                    <w:jc w:val="center"/>
                  </w:pPr>
                  <w:r>
                    <w:t xml:space="preserve">20.0</w:t>
                  </w:r>
                </w:p>
              </w:tc>
              <w:tc>
                <w:tcPr/>
                <w:p>
                  <w:pPr>
                    <w:pStyle w:val="Compact"/>
                    <w:jc w:val="left"/>
                    <w:jc w:val="center"/>
                  </w:pPr>
                  <w:r>
                    <w:t xml:space="preserve">0.11</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9.0</w:t>
                  </w:r>
                </w:p>
              </w:tc>
              <w:tc>
                <w:tcPr/>
                <w:p>
                  <w:pPr>
                    <w:pStyle w:val="Compact"/>
                    <w:jc w:val="left"/>
                    <w:jc w:val="center"/>
                  </w:pPr>
                  <w:r>
                    <w:t xml:space="preserve">20.0</w:t>
                  </w:r>
                </w:p>
              </w:tc>
              <w:tc>
                <w:tcPr/>
                <w:p>
                  <w:pPr>
                    <w:pStyle w:val="Compact"/>
                    <w:jc w:val="left"/>
                    <w:jc w:val="center"/>
                  </w:pPr>
                  <w:r>
                    <w:t xml:space="preserve">0.10</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9.0</w:t>
                  </w:r>
                </w:p>
              </w:tc>
              <w:tc>
                <w:tcPr/>
                <w:p>
                  <w:pPr>
                    <w:pStyle w:val="Compact"/>
                    <w:jc w:val="left"/>
                    <w:jc w:val="center"/>
                  </w:pPr>
                  <w:r>
                    <w:t xml:space="preserve">20.0</w:t>
                  </w:r>
                </w:p>
              </w:tc>
              <w:tc>
                <w:tcPr/>
                <w:p>
                  <w:pPr>
                    <w:pStyle w:val="Compact"/>
                    <w:jc w:val="left"/>
                    <w:jc w:val="center"/>
                  </w:pPr>
                  <w:r>
                    <w:t xml:space="preserve">0.10</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11.0</w:t>
                  </w:r>
                </w:p>
              </w:tc>
              <w:tc>
                <w:tcPr/>
                <w:p>
                  <w:pPr>
                    <w:pStyle w:val="Compact"/>
                    <w:jc w:val="left"/>
                    <w:jc w:val="center"/>
                  </w:pPr>
                  <w:r>
                    <w:t xml:space="preserve">20.0</w:t>
                  </w:r>
                </w:p>
              </w:tc>
              <w:tc>
                <w:tcPr/>
                <w:p>
                  <w:pPr>
                    <w:pStyle w:val="Compact"/>
                    <w:jc w:val="left"/>
                    <w:jc w:val="center"/>
                  </w:pPr>
                  <w:r>
                    <w:t xml:space="preserve">0.12</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11.0</w:t>
                  </w:r>
                </w:p>
              </w:tc>
              <w:tc>
                <w:tcPr/>
                <w:p>
                  <w:pPr>
                    <w:pStyle w:val="Compact"/>
                    <w:jc w:val="left"/>
                    <w:jc w:val="center"/>
                  </w:pPr>
                  <w:r>
                    <w:t xml:space="preserve">20.0</w:t>
                  </w:r>
                </w:p>
              </w:tc>
              <w:tc>
                <w:tcPr/>
                <w:p>
                  <w:pPr>
                    <w:pStyle w:val="Compact"/>
                    <w:jc w:val="left"/>
                    <w:jc w:val="center"/>
                  </w:pPr>
                  <w:r>
                    <w:t xml:space="preserve">0.11</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11.0</w:t>
                  </w:r>
                </w:p>
              </w:tc>
              <w:tc>
                <w:tcPr/>
                <w:p>
                  <w:pPr>
                    <w:pStyle w:val="Compact"/>
                    <w:jc w:val="left"/>
                    <w:jc w:val="center"/>
                  </w:pPr>
                  <w:r>
                    <w:t xml:space="preserve">20.0</w:t>
                  </w:r>
                </w:p>
              </w:tc>
              <w:tc>
                <w:tcPr/>
                <w:p>
                  <w:pPr>
                    <w:pStyle w:val="Compact"/>
                    <w:jc w:val="left"/>
                    <w:jc w:val="center"/>
                  </w:pPr>
                  <w:r>
                    <w:t xml:space="preserve">0.11</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20.0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20.0</w:t>
                  </w:r>
                </w:p>
              </w:tc>
              <w:tc>
                <w:tcPr/>
                <w:p>
                  <w:pPr>
                    <w:pStyle w:val="Compact"/>
                    <w:jc w:val="left"/>
                    <w:jc w:val="center"/>
                  </w:pPr>
                  <w:r>
                    <w:t xml:space="preserve">20.0</w:t>
                  </w:r>
                </w:p>
              </w:tc>
              <w:tc>
                <w:tcPr/>
                <w:p>
                  <w:pPr>
                    <w:pStyle w:val="Compact"/>
                    <w:jc w:val="left"/>
                    <w:jc w:val="center"/>
                  </w:pPr>
                  <w:r>
                    <w:t xml:space="preserve">0.15</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20.0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65.0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65.0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65.0</w:t>
                  </w: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90.0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90.0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90.0</w:t>
                  </w: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105.0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105.0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105.0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0.18</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0.16</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0.15</w:t>
                  </w:r>
                </w:p>
              </w:tc>
              <w:tc>
                <w:tcPr/>
                <w:p>
                  <w:pPr>
                    <w:pStyle w:val="Compact"/>
                    <w:jc w:val="left"/>
                    <w:jc w:val="center"/>
                  </w:pPr>
                  <w:r>
                    <w:t xml:space="preserve">(Hesse et al., 2001)</w:t>
                  </w:r>
                </w:p>
              </w:tc>
            </w:tr>
            <w:tr>
              <w:tc>
                <w:tcPr/>
                <w:p>
                  <w:pPr>
                    <w:pStyle w:val="Compact"/>
                    <w:jc w:val="left"/>
                    <w:jc w:val="center"/>
                  </w:pPr>
                  <w:r>
                    <w:rPr>
                      <w:i/>
                      <w:iCs/>
                    </w:rPr>
                    <w:t xml:space="preserve">Microcystis aeruginosa Ma17D</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Ma17D</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Ma17D</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Ma17D</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0.09</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Ma17D</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0.10</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Ma17D</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0.08</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Ma2M</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Ma2M</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Ma2M</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Ma2M</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Ma2M</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Ma2M</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0.16</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Ma5D</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Ma5D</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Ma5D</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Ma5D</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Ma5D</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0.18</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Ma5D</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25.0</w:t>
                  </w:r>
                </w:p>
              </w:tc>
              <w:tc>
                <w:tcPr/>
                <w:p>
                  <w:pPr>
                    <w:pStyle w:val="Compact"/>
                    <w:jc w:val="left"/>
                    <w:jc w:val="center"/>
                  </w:pPr>
                  <w:r>
                    <w:t xml:space="preserve">0.77</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25.0</w:t>
                  </w:r>
                </w:p>
              </w:tc>
              <w:tc>
                <w:tcPr/>
                <w:p>
                  <w:pPr>
                    <w:pStyle w:val="Compact"/>
                    <w:jc w:val="left"/>
                    <w:jc w:val="center"/>
                  </w:pPr>
                  <w:r>
                    <w:t xml:space="preserve">0.79</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25.0</w:t>
                  </w:r>
                </w:p>
              </w:tc>
              <w:tc>
                <w:tcPr/>
                <w:p>
                  <w:pPr>
                    <w:pStyle w:val="Compact"/>
                    <w:jc w:val="left"/>
                    <w:jc w:val="center"/>
                  </w:pPr>
                  <w:r>
                    <w:t xml:space="preserve">0.75</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27.5</w:t>
                  </w:r>
                </w:p>
              </w:tc>
              <w:tc>
                <w:tcPr/>
                <w:p>
                  <w:pPr>
                    <w:pStyle w:val="Compact"/>
                    <w:jc w:val="left"/>
                    <w:jc w:val="center"/>
                  </w:pPr>
                  <w:r>
                    <w:t xml:space="preserve">0.82</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27.5</w:t>
                  </w:r>
                </w:p>
              </w:tc>
              <w:tc>
                <w:tcPr/>
                <w:p>
                  <w:pPr>
                    <w:pStyle w:val="Compact"/>
                    <w:jc w:val="left"/>
                    <w:jc w:val="center"/>
                  </w:pPr>
                  <w:r>
                    <w:t xml:space="preserve">0.83</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27.5</w:t>
                  </w:r>
                </w:p>
              </w:tc>
              <w:tc>
                <w:tcPr/>
                <w:p>
                  <w:pPr>
                    <w:pStyle w:val="Compact"/>
                    <w:jc w:val="left"/>
                    <w:jc w:val="center"/>
                  </w:pPr>
                  <w:r>
                    <w:t xml:space="preserve">0.85</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30.0</w:t>
                  </w:r>
                </w:p>
              </w:tc>
              <w:tc>
                <w:tcPr/>
                <w:p>
                  <w:pPr>
                    <w:pStyle w:val="Compact"/>
                    <w:jc w:val="left"/>
                    <w:jc w:val="center"/>
                  </w:pPr>
                  <w:r>
                    <w:t xml:space="preserve">0.94</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30.0</w:t>
                  </w:r>
                </w:p>
              </w:tc>
              <w:tc>
                <w:tcPr/>
                <w:p>
                  <w:pPr>
                    <w:pStyle w:val="Compact"/>
                    <w:jc w:val="left"/>
                    <w:jc w:val="center"/>
                  </w:pPr>
                  <w:r>
                    <w:t xml:space="preserve">0.95</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30.0</w:t>
                  </w:r>
                </w:p>
              </w:tc>
              <w:tc>
                <w:tcPr/>
                <w:p>
                  <w:pPr>
                    <w:pStyle w:val="Compact"/>
                    <w:jc w:val="left"/>
                    <w:jc w:val="center"/>
                  </w:pPr>
                  <w:r>
                    <w:t xml:space="preserve">0.97</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32.5</w:t>
                  </w:r>
                </w:p>
              </w:tc>
              <w:tc>
                <w:tcPr/>
                <w:p>
                  <w:pPr>
                    <w:pStyle w:val="Compact"/>
                    <w:jc w:val="left"/>
                    <w:jc w:val="center"/>
                  </w:pPr>
                  <w:r>
                    <w:t xml:space="preserve">0.93</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32.5</w:t>
                  </w:r>
                </w:p>
              </w:tc>
              <w:tc>
                <w:tcPr/>
                <w:p>
                  <w:pPr>
                    <w:pStyle w:val="Compact"/>
                    <w:jc w:val="left"/>
                    <w:jc w:val="center"/>
                  </w:pPr>
                  <w:r>
                    <w:t xml:space="preserve">0.95</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32.5</w:t>
                  </w:r>
                </w:p>
              </w:tc>
              <w:tc>
                <w:tcPr/>
                <w:p>
                  <w:pPr>
                    <w:pStyle w:val="Compact"/>
                    <w:jc w:val="left"/>
                    <w:jc w:val="center"/>
                  </w:pPr>
                  <w:r>
                    <w:t xml:space="preserve">0.91</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35.0</w:t>
                  </w:r>
                </w:p>
              </w:tc>
              <w:tc>
                <w:tcPr/>
                <w:p>
                  <w:pPr>
                    <w:pStyle w:val="Compact"/>
                    <w:jc w:val="left"/>
                    <w:jc w:val="center"/>
                  </w:pPr>
                  <w:r>
                    <w:t xml:space="preserve">0.70</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35.0</w:t>
                  </w:r>
                </w:p>
              </w:tc>
              <w:tc>
                <w:tcPr/>
                <w:p>
                  <w:pPr>
                    <w:pStyle w:val="Compact"/>
                    <w:jc w:val="left"/>
                    <w:jc w:val="center"/>
                  </w:pPr>
                  <w:r>
                    <w:t xml:space="preserve">0.71</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35.0</w:t>
                  </w:r>
                </w:p>
              </w:tc>
              <w:tc>
                <w:tcPr/>
                <w:p>
                  <w:pPr>
                    <w:pStyle w:val="Compact"/>
                    <w:jc w:val="left"/>
                    <w:jc w:val="center"/>
                  </w:pPr>
                  <w:r>
                    <w:t xml:space="preserve">0.69</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39.0</w:t>
                  </w:r>
                </w:p>
              </w:tc>
              <w:tc>
                <w:tcPr/>
                <w:p>
                  <w:pPr>
                    <w:pStyle w:val="Compact"/>
                    <w:jc w:val="left"/>
                    <w:jc w:val="center"/>
                  </w:pPr>
                  <w:r>
                    <w:t xml:space="preserve">22.0</w:t>
                  </w:r>
                </w:p>
              </w:tc>
              <w:tc>
                <w:tcPr/>
                <w:p>
                  <w:pPr>
                    <w:pStyle w:val="Compact"/>
                    <w:jc w:val="left"/>
                    <w:jc w:val="center"/>
                  </w:pPr>
                  <w:r>
                    <w:t xml:space="preserve">0.46</w:t>
                  </w:r>
                </w:p>
              </w:tc>
              <w:tc>
                <w:tcPr/>
                <w:p>
                  <w:pPr>
                    <w:pStyle w:val="Compact"/>
                    <w:jc w:val="left"/>
                    <w:jc w:val="center"/>
                  </w:pPr>
                  <w:r>
                    <w:t xml:space="preserve">(Briand et al., 2012)</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39.0</w:t>
                  </w:r>
                </w:p>
              </w:tc>
              <w:tc>
                <w:tcPr/>
                <w:p>
                  <w:pPr>
                    <w:pStyle w:val="Compact"/>
                    <w:jc w:val="left"/>
                    <w:jc w:val="center"/>
                  </w:pPr>
                  <w:r>
                    <w:t xml:space="preserve">22.0</w:t>
                  </w:r>
                </w:p>
              </w:tc>
              <w:tc>
                <w:tcPr/>
                <w:p>
                  <w:pPr>
                    <w:pStyle w:val="Compact"/>
                    <w:jc w:val="left"/>
                    <w:jc w:val="center"/>
                  </w:pPr>
                  <w:r>
                    <w:t xml:space="preserve">0.43</w:t>
                  </w:r>
                </w:p>
              </w:tc>
              <w:tc>
                <w:tcPr/>
                <w:p>
                  <w:pPr>
                    <w:pStyle w:val="Compact"/>
                    <w:jc w:val="left"/>
                    <w:jc w:val="center"/>
                  </w:pPr>
                  <w:r>
                    <w:t xml:space="preserve">(Briand et al., 2012)</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39.0</w:t>
                  </w:r>
                </w:p>
              </w:tc>
              <w:tc>
                <w:tcPr/>
                <w:p>
                  <w:pPr>
                    <w:pStyle w:val="Compact"/>
                    <w:jc w:val="left"/>
                    <w:jc w:val="center"/>
                  </w:pPr>
                  <w:r>
                    <w:t xml:space="preserve">22.0</w:t>
                  </w:r>
                </w:p>
              </w:tc>
              <w:tc>
                <w:tcPr/>
                <w:p>
                  <w:pPr>
                    <w:pStyle w:val="Compact"/>
                    <w:jc w:val="left"/>
                    <w:jc w:val="center"/>
                  </w:pPr>
                  <w:r>
                    <w:t xml:space="preserve">0.49</w:t>
                  </w:r>
                </w:p>
              </w:tc>
              <w:tc>
                <w:tcPr/>
                <w:p>
                  <w:pPr>
                    <w:pStyle w:val="Compact"/>
                    <w:jc w:val="left"/>
                    <w:jc w:val="center"/>
                  </w:pPr>
                  <w:r>
                    <w:t xml:space="preserve">(Briand et al., 2012)</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5.0</w:t>
                  </w:r>
                </w:p>
              </w:tc>
              <w:tc>
                <w:tcPr/>
                <w:p>
                  <w:pPr>
                    <w:pStyle w:val="Compact"/>
                    <w:jc w:val="left"/>
                    <w:jc w:val="center"/>
                  </w:pPr>
                  <w:r>
                    <w:t xml:space="preserve">22.0</w:t>
                  </w:r>
                </w:p>
              </w:tc>
              <w:tc>
                <w:tcPr/>
                <w:p>
                  <w:pPr>
                    <w:pStyle w:val="Compact"/>
                    <w:jc w:val="left"/>
                    <w:jc w:val="center"/>
                  </w:pPr>
                  <w:r>
                    <w:t xml:space="preserve">0.12</w:t>
                  </w:r>
                </w:p>
              </w:tc>
              <w:tc>
                <w:tcPr/>
                <w:p>
                  <w:pPr>
                    <w:pStyle w:val="Compact"/>
                    <w:jc w:val="left"/>
                    <w:jc w:val="center"/>
                  </w:pPr>
                  <w:r>
                    <w:t xml:space="preserve">(Briand et al., 2012)</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5.0</w:t>
                  </w:r>
                </w:p>
              </w:tc>
              <w:tc>
                <w:tcPr/>
                <w:p>
                  <w:pPr>
                    <w:pStyle w:val="Compact"/>
                    <w:jc w:val="left"/>
                    <w:jc w:val="center"/>
                  </w:pPr>
                  <w:r>
                    <w:t xml:space="preserve">22.0</w:t>
                  </w:r>
                </w:p>
              </w:tc>
              <w:tc>
                <w:tcPr/>
                <w:p>
                  <w:pPr>
                    <w:pStyle w:val="Compact"/>
                    <w:jc w:val="left"/>
                    <w:jc w:val="center"/>
                  </w:pPr>
                  <w:r>
                    <w:t xml:space="preserve">0.11</w:t>
                  </w:r>
                </w:p>
              </w:tc>
              <w:tc>
                <w:tcPr/>
                <w:p>
                  <w:pPr>
                    <w:pStyle w:val="Compact"/>
                    <w:jc w:val="left"/>
                    <w:jc w:val="center"/>
                  </w:pPr>
                  <w:r>
                    <w:t xml:space="preserve">(Briand et al., 2012)</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5.0</w:t>
                  </w:r>
                </w:p>
              </w:tc>
              <w:tc>
                <w:tcPr/>
                <w:p>
                  <w:pPr>
                    <w:pStyle w:val="Compact"/>
                    <w:jc w:val="left"/>
                    <w:jc w:val="center"/>
                  </w:pPr>
                  <w:r>
                    <w:t xml:space="preserve">22.0</w:t>
                  </w:r>
                </w:p>
              </w:tc>
              <w:tc>
                <w:tcPr/>
                <w:p>
                  <w:pPr>
                    <w:pStyle w:val="Compact"/>
                    <w:jc w:val="left"/>
                    <w:jc w:val="center"/>
                  </w:pPr>
                  <w:r>
                    <w:t xml:space="preserve">0.13</w:t>
                  </w:r>
                </w:p>
              </w:tc>
              <w:tc>
                <w:tcPr/>
                <w:p>
                  <w:pPr>
                    <w:pStyle w:val="Compact"/>
                    <w:jc w:val="left"/>
                    <w:jc w:val="center"/>
                  </w:pPr>
                  <w:r>
                    <w:t xml:space="preserve">(Briand et al., 2012)</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4.0</w:t>
                  </w:r>
                </w:p>
              </w:tc>
              <w:tc>
                <w:tcPr/>
                <w:p>
                  <w:pPr>
                    <w:pStyle w:val="Compact"/>
                    <w:jc w:val="left"/>
                    <w:jc w:val="center"/>
                  </w:pPr>
                  <w:r>
                    <w:t xml:space="preserve">20.0</w:t>
                  </w:r>
                </w:p>
              </w:tc>
              <w:tc>
                <w:tcPr/>
                <w:p>
                  <w:pPr>
                    <w:pStyle w:val="Compact"/>
                    <w:jc w:val="left"/>
                    <w:jc w:val="center"/>
                  </w:pPr>
                  <w:r>
                    <w:t xml:space="preserve">0.06</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4.0</w:t>
                  </w:r>
                </w:p>
              </w:tc>
              <w:tc>
                <w:tcPr/>
                <w:p>
                  <w:pPr>
                    <w:pStyle w:val="Compact"/>
                    <w:jc w:val="left"/>
                    <w:jc w:val="center"/>
                  </w:pPr>
                  <w:r>
                    <w:t xml:space="preserve">20.0</w:t>
                  </w:r>
                </w:p>
              </w:tc>
              <w:tc>
                <w:tcPr/>
                <w:p>
                  <w:pPr>
                    <w:pStyle w:val="Compact"/>
                    <w:jc w:val="left"/>
                    <w:jc w:val="center"/>
                  </w:pPr>
                  <w:r>
                    <w:t xml:space="preserve">0.06</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4.0</w:t>
                  </w:r>
                </w:p>
              </w:tc>
              <w:tc>
                <w:tcPr/>
                <w:p>
                  <w:pPr>
                    <w:pStyle w:val="Compact"/>
                    <w:jc w:val="left"/>
                    <w:jc w:val="center"/>
                  </w:pPr>
                  <w:r>
                    <w:t xml:space="preserve">20.0</w:t>
                  </w:r>
                </w:p>
              </w:tc>
              <w:tc>
                <w:tcPr/>
                <w:p>
                  <w:pPr>
                    <w:pStyle w:val="Compact"/>
                    <w:jc w:val="left"/>
                    <w:jc w:val="center"/>
                  </w:pPr>
                  <w:r>
                    <w:t xml:space="preserve">0.07</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9.0</w:t>
                  </w:r>
                </w:p>
              </w:tc>
              <w:tc>
                <w:tcPr/>
                <w:p>
                  <w:pPr>
                    <w:pStyle w:val="Compact"/>
                    <w:jc w:val="left"/>
                    <w:jc w:val="center"/>
                  </w:pPr>
                  <w:r>
                    <w:t xml:space="preserve">20.0</w:t>
                  </w:r>
                </w:p>
              </w:tc>
              <w:tc>
                <w:tcPr/>
                <w:p>
                  <w:pPr>
                    <w:pStyle w:val="Compact"/>
                    <w:jc w:val="left"/>
                    <w:jc w:val="center"/>
                  </w:pPr>
                  <w:r>
                    <w:t xml:space="preserve">0.10</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9.0</w:t>
                  </w:r>
                </w:p>
              </w:tc>
              <w:tc>
                <w:tcPr/>
                <w:p>
                  <w:pPr>
                    <w:pStyle w:val="Compact"/>
                    <w:jc w:val="left"/>
                    <w:jc w:val="center"/>
                  </w:pPr>
                  <w:r>
                    <w:t xml:space="preserve">20.0</w:t>
                  </w:r>
                </w:p>
              </w:tc>
              <w:tc>
                <w:tcPr/>
                <w:p>
                  <w:pPr>
                    <w:pStyle w:val="Compact"/>
                    <w:jc w:val="left"/>
                    <w:jc w:val="center"/>
                  </w:pPr>
                  <w:r>
                    <w:t xml:space="preserve">0.11</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9.0</w:t>
                  </w:r>
                </w:p>
              </w:tc>
              <w:tc>
                <w:tcPr/>
                <w:p>
                  <w:pPr>
                    <w:pStyle w:val="Compact"/>
                    <w:jc w:val="left"/>
                    <w:jc w:val="center"/>
                  </w:pPr>
                  <w:r>
                    <w:t xml:space="preserve">20.0</w:t>
                  </w:r>
                </w:p>
              </w:tc>
              <w:tc>
                <w:tcPr/>
                <w:p>
                  <w:pPr>
                    <w:pStyle w:val="Compact"/>
                    <w:jc w:val="left"/>
                    <w:jc w:val="center"/>
                  </w:pPr>
                  <w:r>
                    <w:t xml:space="preserve">0.10</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11.0</w:t>
                  </w:r>
                </w:p>
              </w:tc>
              <w:tc>
                <w:tcPr/>
                <w:p>
                  <w:pPr>
                    <w:pStyle w:val="Compact"/>
                    <w:jc w:val="left"/>
                    <w:jc w:val="center"/>
                  </w:pPr>
                  <w:r>
                    <w:t xml:space="preserve">20.0</w:t>
                  </w:r>
                </w:p>
              </w:tc>
              <w:tc>
                <w:tcPr/>
                <w:p>
                  <w:pPr>
                    <w:pStyle w:val="Compact"/>
                    <w:jc w:val="left"/>
                    <w:jc w:val="center"/>
                  </w:pPr>
                  <w:r>
                    <w:t xml:space="preserve">0.14</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11.0</w:t>
                  </w:r>
                </w:p>
              </w:tc>
              <w:tc>
                <w:tcPr/>
                <w:p>
                  <w:pPr>
                    <w:pStyle w:val="Compact"/>
                    <w:jc w:val="left"/>
                    <w:jc w:val="center"/>
                  </w:pPr>
                  <w:r>
                    <w:t xml:space="preserve">20.0</w:t>
                  </w:r>
                </w:p>
              </w:tc>
              <w:tc>
                <w:tcPr/>
                <w:p>
                  <w:pPr>
                    <w:pStyle w:val="Compact"/>
                    <w:jc w:val="left"/>
                    <w:jc w:val="center"/>
                  </w:pPr>
                  <w:r>
                    <w:t xml:space="preserve">0.15</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11.0</w:t>
                  </w:r>
                </w:p>
              </w:tc>
              <w:tc>
                <w:tcPr/>
                <w:p>
                  <w:pPr>
                    <w:pStyle w:val="Compact"/>
                    <w:jc w:val="left"/>
                    <w:jc w:val="center"/>
                  </w:pPr>
                  <w:r>
                    <w:t xml:space="preserve">20.0</w:t>
                  </w:r>
                </w:p>
              </w:tc>
              <w:tc>
                <w:tcPr/>
                <w:p>
                  <w:pPr>
                    <w:pStyle w:val="Compact"/>
                    <w:jc w:val="left"/>
                    <w:jc w:val="center"/>
                  </w:pPr>
                  <w:r>
                    <w:t xml:space="preserve">0.14</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0.18</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35.0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35.0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35.0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70.0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70.0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70.0</w:t>
                  </w: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90.0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90.0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90.0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105.0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105.0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105.0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0.15</w:t>
                  </w:r>
                </w:p>
              </w:tc>
              <w:tc>
                <w:tcPr/>
                <w:p>
                  <w:pPr>
                    <w:pStyle w:val="Compact"/>
                    <w:jc w:val="left"/>
                    <w:jc w:val="center"/>
                  </w:pPr>
                  <w:r>
                    <w:t xml:space="preserve">(Shen and Song, 2007)</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0.16</w:t>
                  </w:r>
                </w:p>
              </w:tc>
              <w:tc>
                <w:tcPr/>
                <w:p>
                  <w:pPr>
                    <w:pStyle w:val="Compact"/>
                    <w:jc w:val="left"/>
                    <w:jc w:val="center"/>
                  </w:pPr>
                  <w:r>
                    <w:t xml:space="preserve">(Shen and Song, 2007)</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0.14</w:t>
                  </w:r>
                </w:p>
              </w:tc>
              <w:tc>
                <w:tcPr/>
                <w:p>
                  <w:pPr>
                    <w:pStyle w:val="Compact"/>
                    <w:jc w:val="left"/>
                    <w:jc w:val="center"/>
                  </w:pPr>
                  <w:r>
                    <w:t xml:space="preserve">(Shen and Song, 2007)</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9.0</w:t>
                  </w:r>
                </w:p>
              </w:tc>
              <w:tc>
                <w:tcPr/>
                <w:p>
                  <w:pPr>
                    <w:pStyle w:val="Compact"/>
                    <w:jc w:val="left"/>
                    <w:jc w:val="center"/>
                  </w:pPr>
                  <w:r>
                    <w:t xml:space="preserve">22.0</w:t>
                  </w:r>
                </w:p>
              </w:tc>
              <w:tc>
                <w:tcPr/>
                <w:p>
                  <w:pPr>
                    <w:pStyle w:val="Compact"/>
                    <w:jc w:val="left"/>
                    <w:jc w:val="center"/>
                  </w:pPr>
                  <w:r>
                    <w:t xml:space="preserve">0.20</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9.0</w:t>
                  </w:r>
                </w:p>
              </w:tc>
              <w:tc>
                <w:tcPr/>
                <w:p>
                  <w:pPr>
                    <w:pStyle w:val="Compact"/>
                    <w:jc w:val="left"/>
                    <w:jc w:val="center"/>
                  </w:pPr>
                  <w:r>
                    <w:t xml:space="preserve">22.0</w:t>
                  </w:r>
                </w:p>
              </w:tc>
              <w:tc>
                <w:tcPr/>
                <w:p>
                  <w:pPr>
                    <w:pStyle w:val="Compact"/>
                    <w:jc w:val="left"/>
                    <w:jc w:val="center"/>
                  </w:pPr>
                  <w:r>
                    <w:t xml:space="preserve">0.18</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9.0</w:t>
                  </w:r>
                </w:p>
              </w:tc>
              <w:tc>
                <w:tcPr/>
                <w:p>
                  <w:pPr>
                    <w:pStyle w:val="Compact"/>
                    <w:jc w:val="left"/>
                    <w:jc w:val="center"/>
                  </w:pPr>
                  <w:r>
                    <w:t xml:space="preserve">22.0</w:t>
                  </w:r>
                </w:p>
              </w:tc>
              <w:tc>
                <w:tcPr/>
                <w:p>
                  <w:pPr>
                    <w:pStyle w:val="Compact"/>
                    <w:jc w:val="left"/>
                    <w:jc w:val="center"/>
                  </w:pPr>
                  <w:r>
                    <w:t xml:space="preserve">0.21</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13.0</w:t>
                  </w:r>
                </w:p>
              </w:tc>
              <w:tc>
                <w:tcPr/>
                <w:p>
                  <w:pPr>
                    <w:pStyle w:val="Compact"/>
                    <w:jc w:val="left"/>
                    <w:jc w:val="center"/>
                  </w:pPr>
                  <w:r>
                    <w:t xml:space="preserve">22.0</w:t>
                  </w:r>
                </w:p>
              </w:tc>
              <w:tc>
                <w:tcPr/>
                <w:p>
                  <w:pPr>
                    <w:pStyle w:val="Compact"/>
                    <w:jc w:val="left"/>
                    <w:jc w:val="center"/>
                  </w:pPr>
                  <w:r>
                    <w:t xml:space="preserve">0.17</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13.0</w:t>
                  </w:r>
                </w:p>
              </w:tc>
              <w:tc>
                <w:tcPr/>
                <w:p>
                  <w:pPr>
                    <w:pStyle w:val="Compact"/>
                    <w:jc w:val="left"/>
                    <w:jc w:val="center"/>
                  </w:pPr>
                  <w:r>
                    <w:t xml:space="preserve">22.0</w:t>
                  </w:r>
                </w:p>
              </w:tc>
              <w:tc>
                <w:tcPr/>
                <w:p>
                  <w:pPr>
                    <w:pStyle w:val="Compact"/>
                    <w:jc w:val="left"/>
                    <w:jc w:val="center"/>
                  </w:pPr>
                  <w:r>
                    <w:t xml:space="preserve">0.17</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13.0</w:t>
                  </w:r>
                </w:p>
              </w:tc>
              <w:tc>
                <w:tcPr/>
                <w:p>
                  <w:pPr>
                    <w:pStyle w:val="Compact"/>
                    <w:jc w:val="left"/>
                    <w:jc w:val="center"/>
                  </w:pPr>
                  <w:r>
                    <w:t xml:space="preserve">22.0</w:t>
                  </w:r>
                </w:p>
              </w:tc>
              <w:tc>
                <w:tcPr/>
                <w:p>
                  <w:pPr>
                    <w:pStyle w:val="Compact"/>
                    <w:jc w:val="left"/>
                    <w:jc w:val="center"/>
                  </w:pPr>
                  <w:r>
                    <w:t xml:space="preserve">0.17</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20.0</w:t>
                  </w:r>
                </w:p>
              </w:tc>
              <w:tc>
                <w:tcPr/>
                <w:p>
                  <w:pPr>
                    <w:pStyle w:val="Compact"/>
                    <w:jc w:val="left"/>
                    <w:jc w:val="center"/>
                  </w:pPr>
                  <w:r>
                    <w:t xml:space="preserve">22.0</w:t>
                  </w:r>
                </w:p>
              </w:tc>
              <w:tc>
                <w:tcPr/>
                <w:p>
                  <w:pPr>
                    <w:pStyle w:val="Compact"/>
                    <w:jc w:val="left"/>
                    <w:jc w:val="center"/>
                  </w:pPr>
                  <w:r>
                    <w:t xml:space="preserve">0.26</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20.0</w:t>
                  </w:r>
                </w:p>
              </w:tc>
              <w:tc>
                <w:tcPr/>
                <w:p>
                  <w:pPr>
                    <w:pStyle w:val="Compact"/>
                    <w:jc w:val="left"/>
                    <w:jc w:val="center"/>
                  </w:pPr>
                  <w:r>
                    <w:t xml:space="preserve">22.0</w:t>
                  </w:r>
                </w:p>
              </w:tc>
              <w:tc>
                <w:tcPr/>
                <w:p>
                  <w:pPr>
                    <w:pStyle w:val="Compact"/>
                    <w:jc w:val="left"/>
                    <w:jc w:val="center"/>
                  </w:pPr>
                  <w:r>
                    <w:t xml:space="preserve">0.23</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20.0</w:t>
                  </w:r>
                </w:p>
              </w:tc>
              <w:tc>
                <w:tcPr/>
                <w:p>
                  <w:pPr>
                    <w:pStyle w:val="Compact"/>
                    <w:jc w:val="left"/>
                    <w:jc w:val="center"/>
                  </w:pPr>
                  <w:r>
                    <w:t xml:space="preserve">22.0</w:t>
                  </w:r>
                </w:p>
              </w:tc>
              <w:tc>
                <w:tcPr/>
                <w:p>
                  <w:pPr>
                    <w:pStyle w:val="Compact"/>
                    <w:jc w:val="left"/>
                    <w:jc w:val="center"/>
                  </w:pPr>
                  <w:r>
                    <w:t xml:space="preserve">0.29</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30.0</w:t>
                  </w:r>
                </w:p>
              </w:tc>
              <w:tc>
                <w:tcPr/>
                <w:p>
                  <w:pPr>
                    <w:pStyle w:val="Compact"/>
                    <w:jc w:val="left"/>
                    <w:jc w:val="center"/>
                  </w:pPr>
                  <w:r>
                    <w:t xml:space="preserve">22.0</w:t>
                  </w:r>
                </w:p>
              </w:tc>
              <w:tc>
                <w:tcPr/>
                <w:p>
                  <w:pPr>
                    <w:pStyle w:val="Compact"/>
                    <w:jc w:val="left"/>
                    <w:jc w:val="center"/>
                  </w:pPr>
                  <w:r>
                    <w:t xml:space="preserve">0.28</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30.0</w:t>
                  </w:r>
                </w:p>
              </w:tc>
              <w:tc>
                <w:tcPr/>
                <w:p>
                  <w:pPr>
                    <w:pStyle w:val="Compact"/>
                    <w:jc w:val="left"/>
                    <w:jc w:val="center"/>
                  </w:pPr>
                  <w:r>
                    <w:t xml:space="preserve">22.0</w:t>
                  </w:r>
                </w:p>
              </w:tc>
              <w:tc>
                <w:tcPr/>
                <w:p>
                  <w:pPr>
                    <w:pStyle w:val="Compact"/>
                    <w:jc w:val="left"/>
                    <w:jc w:val="center"/>
                  </w:pPr>
                  <w:r>
                    <w:t xml:space="preserve">0.27</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30.0</w:t>
                  </w:r>
                </w:p>
              </w:tc>
              <w:tc>
                <w:tcPr/>
                <w:p>
                  <w:pPr>
                    <w:pStyle w:val="Compact"/>
                    <w:jc w:val="left"/>
                    <w:jc w:val="center"/>
                  </w:pPr>
                  <w:r>
                    <w:t xml:space="preserve">22.0</w:t>
                  </w:r>
                </w:p>
              </w:tc>
              <w:tc>
                <w:tcPr/>
                <w:p>
                  <w:pPr>
                    <w:pStyle w:val="Compact"/>
                    <w:jc w:val="left"/>
                    <w:jc w:val="center"/>
                  </w:pPr>
                  <w:r>
                    <w:t xml:space="preserve">0.29</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38.0</w:t>
                  </w:r>
                </w:p>
              </w:tc>
              <w:tc>
                <w:tcPr/>
                <w:p>
                  <w:pPr>
                    <w:pStyle w:val="Compact"/>
                    <w:jc w:val="left"/>
                    <w:jc w:val="center"/>
                  </w:pPr>
                  <w:r>
                    <w:t xml:space="preserve">22.0</w:t>
                  </w:r>
                </w:p>
              </w:tc>
              <w:tc>
                <w:tcPr/>
                <w:p>
                  <w:pPr>
                    <w:pStyle w:val="Compact"/>
                    <w:jc w:val="left"/>
                    <w:jc w:val="center"/>
                  </w:pPr>
                  <w:r>
                    <w:t xml:space="preserve">0.36</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38.0</w:t>
                  </w:r>
                </w:p>
              </w:tc>
              <w:tc>
                <w:tcPr/>
                <w:p>
                  <w:pPr>
                    <w:pStyle w:val="Compact"/>
                    <w:jc w:val="left"/>
                    <w:jc w:val="center"/>
                  </w:pPr>
                  <w:r>
                    <w:t xml:space="preserve">22.0</w:t>
                  </w:r>
                </w:p>
              </w:tc>
              <w:tc>
                <w:tcPr/>
                <w:p>
                  <w:pPr>
                    <w:pStyle w:val="Compact"/>
                    <w:jc w:val="left"/>
                    <w:jc w:val="center"/>
                  </w:pPr>
                  <w:r>
                    <w:t xml:space="preserve">0.34</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38.0</w:t>
                  </w:r>
                </w:p>
              </w:tc>
              <w:tc>
                <w:tcPr/>
                <w:p>
                  <w:pPr>
                    <w:pStyle w:val="Compact"/>
                    <w:jc w:val="left"/>
                    <w:jc w:val="center"/>
                  </w:pPr>
                  <w:r>
                    <w:t xml:space="preserve">22.0</w:t>
                  </w:r>
                </w:p>
              </w:tc>
              <w:tc>
                <w:tcPr/>
                <w:p>
                  <w:pPr>
                    <w:pStyle w:val="Compact"/>
                    <w:jc w:val="left"/>
                    <w:jc w:val="center"/>
                  </w:pPr>
                  <w:r>
                    <w:t xml:space="preserve">0.39</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43.0</w:t>
                  </w:r>
                </w:p>
              </w:tc>
              <w:tc>
                <w:tcPr/>
                <w:p>
                  <w:pPr>
                    <w:pStyle w:val="Compact"/>
                    <w:jc w:val="left"/>
                    <w:jc w:val="center"/>
                  </w:pPr>
                  <w:r>
                    <w:t xml:space="preserve">22.0</w:t>
                  </w:r>
                </w:p>
              </w:tc>
              <w:tc>
                <w:tcPr/>
                <w:p>
                  <w:pPr>
                    <w:pStyle w:val="Compact"/>
                    <w:jc w:val="left"/>
                    <w:jc w:val="center"/>
                  </w:pPr>
                  <w:r>
                    <w:t xml:space="preserve">0.38</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43.0</w:t>
                  </w:r>
                </w:p>
              </w:tc>
              <w:tc>
                <w:tcPr/>
                <w:p>
                  <w:pPr>
                    <w:pStyle w:val="Compact"/>
                    <w:jc w:val="left"/>
                    <w:jc w:val="center"/>
                  </w:pPr>
                  <w:r>
                    <w:t xml:space="preserve">22.0</w:t>
                  </w:r>
                </w:p>
              </w:tc>
              <w:tc>
                <w:tcPr/>
                <w:p>
                  <w:pPr>
                    <w:pStyle w:val="Compact"/>
                    <w:jc w:val="left"/>
                    <w:jc w:val="center"/>
                  </w:pPr>
                  <w:r>
                    <w:t xml:space="preserve">0.35</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43.0</w:t>
                  </w:r>
                </w:p>
              </w:tc>
              <w:tc>
                <w:tcPr/>
                <w:p>
                  <w:pPr>
                    <w:pStyle w:val="Compact"/>
                    <w:jc w:val="left"/>
                    <w:jc w:val="center"/>
                  </w:pPr>
                  <w:r>
                    <w:t xml:space="preserve">22.0</w:t>
                  </w:r>
                </w:p>
              </w:tc>
              <w:tc>
                <w:tcPr/>
                <w:p>
                  <w:pPr>
                    <w:pStyle w:val="Compact"/>
                    <w:jc w:val="left"/>
                    <w:jc w:val="center"/>
                  </w:pPr>
                  <w:r>
                    <w:t xml:space="preserve">0.40</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65.0</w:t>
                  </w:r>
                </w:p>
              </w:tc>
              <w:tc>
                <w:tcPr/>
                <w:p>
                  <w:pPr>
                    <w:pStyle w:val="Compact"/>
                    <w:jc w:val="left"/>
                    <w:jc w:val="center"/>
                  </w:pPr>
                  <w:r>
                    <w:t xml:space="preserve">22.0</w:t>
                  </w:r>
                </w:p>
              </w:tc>
              <w:tc>
                <w:tcPr/>
                <w:p>
                  <w:pPr>
                    <w:pStyle w:val="Compact"/>
                    <w:jc w:val="left"/>
                    <w:jc w:val="center"/>
                  </w:pPr>
                  <w:r>
                    <w:t xml:space="preserve">0.34</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65.0</w:t>
                  </w:r>
                </w:p>
              </w:tc>
              <w:tc>
                <w:tcPr/>
                <w:p>
                  <w:pPr>
                    <w:pStyle w:val="Compact"/>
                    <w:jc w:val="left"/>
                    <w:jc w:val="center"/>
                  </w:pPr>
                  <w:r>
                    <w:t xml:space="preserve">22.0</w:t>
                  </w:r>
                </w:p>
              </w:tc>
              <w:tc>
                <w:tcPr/>
                <w:p>
                  <w:pPr>
                    <w:pStyle w:val="Compact"/>
                    <w:jc w:val="left"/>
                    <w:jc w:val="center"/>
                  </w:pPr>
                  <w:r>
                    <w:t xml:space="preserve">0.34</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65.0</w:t>
                  </w:r>
                </w:p>
              </w:tc>
              <w:tc>
                <w:tcPr/>
                <w:p>
                  <w:pPr>
                    <w:pStyle w:val="Compact"/>
                    <w:jc w:val="left"/>
                    <w:jc w:val="center"/>
                  </w:pPr>
                  <w:r>
                    <w:t xml:space="preserve">22.0</w:t>
                  </w:r>
                </w:p>
              </w:tc>
              <w:tc>
                <w:tcPr/>
                <w:p>
                  <w:pPr>
                    <w:pStyle w:val="Compact"/>
                    <w:jc w:val="left"/>
                    <w:jc w:val="center"/>
                  </w:pPr>
                  <w:r>
                    <w:t xml:space="preserve">0.34</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125.0</w:t>
                  </w:r>
                </w:p>
              </w:tc>
              <w:tc>
                <w:tcPr/>
                <w:p>
                  <w:pPr>
                    <w:pStyle w:val="Compact"/>
                    <w:jc w:val="left"/>
                    <w:jc w:val="center"/>
                  </w:pPr>
                  <w:r>
                    <w:t xml:space="preserve">22.0</w:t>
                  </w:r>
                </w:p>
              </w:tc>
              <w:tc>
                <w:tcPr/>
                <w:p>
                  <w:pPr>
                    <w:pStyle w:val="Compact"/>
                    <w:jc w:val="left"/>
                    <w:jc w:val="center"/>
                  </w:pPr>
                  <w:r>
                    <w:t xml:space="preserve">0.38</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125.0</w:t>
                  </w:r>
                </w:p>
              </w:tc>
              <w:tc>
                <w:tcPr/>
                <w:p>
                  <w:pPr>
                    <w:pStyle w:val="Compact"/>
                    <w:jc w:val="left"/>
                    <w:jc w:val="center"/>
                  </w:pPr>
                  <w:r>
                    <w:t xml:space="preserve">22.0</w:t>
                  </w:r>
                </w:p>
              </w:tc>
              <w:tc>
                <w:tcPr/>
                <w:p>
                  <w:pPr>
                    <w:pStyle w:val="Compact"/>
                    <w:jc w:val="left"/>
                    <w:jc w:val="center"/>
                  </w:pPr>
                  <w:r>
                    <w:t xml:space="preserve">0.36</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125.0</w:t>
                  </w:r>
                </w:p>
              </w:tc>
              <w:tc>
                <w:tcPr/>
                <w:p>
                  <w:pPr>
                    <w:pStyle w:val="Compact"/>
                    <w:jc w:val="left"/>
                    <w:jc w:val="center"/>
                  </w:pPr>
                  <w:r>
                    <w:t xml:space="preserve">22.0</w:t>
                  </w:r>
                </w:p>
              </w:tc>
              <w:tc>
                <w:tcPr/>
                <w:p>
                  <w:pPr>
                    <w:pStyle w:val="Compact"/>
                    <w:jc w:val="left"/>
                    <w:jc w:val="center"/>
                  </w:pPr>
                  <w:r>
                    <w:t xml:space="preserve">0.41</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150.0</w:t>
                  </w:r>
                </w:p>
              </w:tc>
              <w:tc>
                <w:tcPr/>
                <w:p>
                  <w:pPr>
                    <w:pStyle w:val="Compact"/>
                    <w:jc w:val="left"/>
                    <w:jc w:val="center"/>
                  </w:pPr>
                  <w:r>
                    <w:t xml:space="preserve">22.0</w:t>
                  </w:r>
                </w:p>
              </w:tc>
              <w:tc>
                <w:tcPr/>
                <w:p>
                  <w:pPr>
                    <w:pStyle w:val="Compact"/>
                    <w:jc w:val="left"/>
                    <w:jc w:val="center"/>
                  </w:pPr>
                  <w:r>
                    <w:t xml:space="preserve">0.33</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150.0</w:t>
                  </w:r>
                </w:p>
              </w:tc>
              <w:tc>
                <w:tcPr/>
                <w:p>
                  <w:pPr>
                    <w:pStyle w:val="Compact"/>
                    <w:jc w:val="left"/>
                    <w:jc w:val="center"/>
                  </w:pPr>
                  <w:r>
                    <w:t xml:space="preserve">22.0</w:t>
                  </w:r>
                </w:p>
              </w:tc>
              <w:tc>
                <w:tcPr/>
                <w:p>
                  <w:pPr>
                    <w:pStyle w:val="Compact"/>
                    <w:jc w:val="left"/>
                    <w:jc w:val="center"/>
                  </w:pPr>
                  <w:r>
                    <w:t xml:space="preserve">0.28</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150.0</w:t>
                  </w:r>
                </w:p>
              </w:tc>
              <w:tc>
                <w:tcPr/>
                <w:p>
                  <w:pPr>
                    <w:pStyle w:val="Compact"/>
                    <w:jc w:val="left"/>
                    <w:jc w:val="center"/>
                  </w:pPr>
                  <w:r>
                    <w:t xml:space="preserve">22.0</w:t>
                  </w:r>
                </w:p>
              </w:tc>
              <w:tc>
                <w:tcPr/>
                <w:p>
                  <w:pPr>
                    <w:pStyle w:val="Compact"/>
                    <w:jc w:val="left"/>
                    <w:jc w:val="center"/>
                  </w:pPr>
                  <w:r>
                    <w:t xml:space="preserve">0.38</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250.0</w:t>
                  </w:r>
                </w:p>
              </w:tc>
              <w:tc>
                <w:tcPr/>
                <w:p>
                  <w:pPr>
                    <w:pStyle w:val="Compact"/>
                    <w:jc w:val="left"/>
                    <w:jc w:val="center"/>
                  </w:pPr>
                  <w:r>
                    <w:t xml:space="preserve">22.0</w:t>
                  </w:r>
                </w:p>
              </w:tc>
              <w:tc>
                <w:tcPr/>
                <w:p>
                  <w:pPr>
                    <w:pStyle w:val="Compact"/>
                    <w:jc w:val="left"/>
                    <w:jc w:val="center"/>
                  </w:pPr>
                  <w:r>
                    <w:t xml:space="preserve">0.37</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250.0</w:t>
                  </w:r>
                </w:p>
              </w:tc>
              <w:tc>
                <w:tcPr/>
                <w:p>
                  <w:pPr>
                    <w:pStyle w:val="Compact"/>
                    <w:jc w:val="left"/>
                    <w:jc w:val="center"/>
                  </w:pPr>
                  <w:r>
                    <w:t xml:space="preserve">22.0</w:t>
                  </w:r>
                </w:p>
              </w:tc>
              <w:tc>
                <w:tcPr/>
                <w:p>
                  <w:pPr>
                    <w:pStyle w:val="Compact"/>
                    <w:jc w:val="left"/>
                    <w:jc w:val="center"/>
                  </w:pPr>
                  <w:r>
                    <w:t xml:space="preserve">0.33</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250.0</w:t>
                  </w:r>
                </w:p>
              </w:tc>
              <w:tc>
                <w:tcPr/>
                <w:p>
                  <w:pPr>
                    <w:pStyle w:val="Compact"/>
                    <w:jc w:val="left"/>
                    <w:jc w:val="center"/>
                  </w:pPr>
                  <w:r>
                    <w:t xml:space="preserve">22.0</w:t>
                  </w:r>
                </w:p>
              </w:tc>
              <w:tc>
                <w:tcPr/>
                <w:p>
                  <w:pPr>
                    <w:pStyle w:val="Compact"/>
                    <w:jc w:val="left"/>
                    <w:jc w:val="center"/>
                  </w:pPr>
                  <w:r>
                    <w:t xml:space="preserve">0.41</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255.0</w:t>
                  </w:r>
                </w:p>
              </w:tc>
              <w:tc>
                <w:tcPr/>
                <w:p>
                  <w:pPr>
                    <w:pStyle w:val="Compact"/>
                    <w:jc w:val="left"/>
                    <w:jc w:val="center"/>
                  </w:pPr>
                  <w:r>
                    <w:t xml:space="preserve">22.0</w:t>
                  </w:r>
                </w:p>
              </w:tc>
              <w:tc>
                <w:tcPr/>
                <w:p>
                  <w:pPr>
                    <w:pStyle w:val="Compact"/>
                    <w:jc w:val="left"/>
                    <w:jc w:val="center"/>
                  </w:pPr>
                  <w:r>
                    <w:t xml:space="preserve">0.35</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255.0</w:t>
                  </w:r>
                </w:p>
              </w:tc>
              <w:tc>
                <w:tcPr/>
                <w:p>
                  <w:pPr>
                    <w:pStyle w:val="Compact"/>
                    <w:jc w:val="left"/>
                    <w:jc w:val="center"/>
                  </w:pPr>
                  <w:r>
                    <w:t xml:space="preserve">22.0</w:t>
                  </w:r>
                </w:p>
              </w:tc>
              <w:tc>
                <w:tcPr/>
                <w:p>
                  <w:pPr>
                    <w:pStyle w:val="Compact"/>
                    <w:jc w:val="left"/>
                    <w:jc w:val="center"/>
                  </w:pPr>
                  <w:r>
                    <w:t xml:space="preserve">0.29</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255.0</w:t>
                  </w:r>
                </w:p>
              </w:tc>
              <w:tc>
                <w:tcPr/>
                <w:p>
                  <w:pPr>
                    <w:pStyle w:val="Compact"/>
                    <w:jc w:val="left"/>
                    <w:jc w:val="center"/>
                  </w:pPr>
                  <w:r>
                    <w:t xml:space="preserve">22.0</w:t>
                  </w:r>
                </w:p>
              </w:tc>
              <w:tc>
                <w:tcPr/>
                <w:p>
                  <w:pPr>
                    <w:pStyle w:val="Compact"/>
                    <w:jc w:val="left"/>
                    <w:jc w:val="center"/>
                  </w:pPr>
                  <w:r>
                    <w:t xml:space="preserve">0.42</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400.0</w:t>
                  </w:r>
                </w:p>
              </w:tc>
              <w:tc>
                <w:tcPr/>
                <w:p>
                  <w:pPr>
                    <w:pStyle w:val="Compact"/>
                    <w:jc w:val="left"/>
                    <w:jc w:val="center"/>
                  </w:pPr>
                  <w:r>
                    <w:t xml:space="preserve">22.0</w:t>
                  </w:r>
                </w:p>
              </w:tc>
              <w:tc>
                <w:tcPr/>
                <w:p>
                  <w:pPr>
                    <w:pStyle w:val="Compact"/>
                    <w:jc w:val="left"/>
                    <w:jc w:val="center"/>
                  </w:pPr>
                  <w:r>
                    <w:t xml:space="preserve">0.32</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400.0</w:t>
                  </w:r>
                </w:p>
              </w:tc>
              <w:tc>
                <w:tcPr/>
                <w:p>
                  <w:pPr>
                    <w:pStyle w:val="Compact"/>
                    <w:jc w:val="left"/>
                    <w:jc w:val="center"/>
                  </w:pPr>
                  <w:r>
                    <w:t xml:space="preserve">22.0</w:t>
                  </w:r>
                </w:p>
              </w:tc>
              <w:tc>
                <w:tcPr/>
                <w:p>
                  <w:pPr>
                    <w:pStyle w:val="Compact"/>
                    <w:jc w:val="left"/>
                    <w:jc w:val="center"/>
                  </w:pPr>
                  <w:r>
                    <w:t xml:space="preserve">0.32</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400.0</w:t>
                  </w:r>
                </w:p>
              </w:tc>
              <w:tc>
                <w:tcPr/>
                <w:p>
                  <w:pPr>
                    <w:pStyle w:val="Compact"/>
                    <w:jc w:val="left"/>
                    <w:jc w:val="center"/>
                  </w:pPr>
                  <w:r>
                    <w:t xml:space="preserve">22.0</w:t>
                  </w:r>
                </w:p>
              </w:tc>
              <w:tc>
                <w:tcPr/>
                <w:p>
                  <w:pPr>
                    <w:pStyle w:val="Compact"/>
                    <w:jc w:val="left"/>
                    <w:jc w:val="center"/>
                  </w:pPr>
                  <w:r>
                    <w:t xml:space="preserve">0.32</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PCC7820</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0.10</w:t>
                  </w:r>
                </w:p>
              </w:tc>
              <w:tc>
                <w:tcPr/>
                <w:p>
                  <w:pPr>
                    <w:pStyle w:val="Compact"/>
                    <w:jc w:val="left"/>
                    <w:jc w:val="center"/>
                  </w:pPr>
                  <w:r>
                    <w:t xml:space="preserve">(Shen and Song, 2007)</w:t>
                  </w:r>
                </w:p>
              </w:tc>
            </w:tr>
            <w:tr>
              <w:tc>
                <w:tcPr/>
                <w:p>
                  <w:pPr>
                    <w:pStyle w:val="Compact"/>
                    <w:jc w:val="left"/>
                    <w:jc w:val="center"/>
                  </w:pPr>
                  <w:r>
                    <w:rPr>
                      <w:i/>
                      <w:iCs/>
                    </w:rPr>
                    <w:t xml:space="preserve">Microcystis aeruginosa PCC7820</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0.12</w:t>
                  </w:r>
                </w:p>
              </w:tc>
              <w:tc>
                <w:tcPr/>
                <w:p>
                  <w:pPr>
                    <w:pStyle w:val="Compact"/>
                    <w:jc w:val="left"/>
                    <w:jc w:val="center"/>
                  </w:pPr>
                  <w:r>
                    <w:t xml:space="preserve">(Shen and Song, 2007)</w:t>
                  </w:r>
                </w:p>
              </w:tc>
            </w:tr>
            <w:tr>
              <w:tc>
                <w:tcPr/>
                <w:p>
                  <w:pPr>
                    <w:pStyle w:val="Compact"/>
                    <w:jc w:val="left"/>
                    <w:jc w:val="center"/>
                  </w:pPr>
                  <w:r>
                    <w:rPr>
                      <w:i/>
                      <w:iCs/>
                    </w:rPr>
                    <w:t xml:space="preserve">Microcystis aeruginosa PCC7820</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0.09</w:t>
                  </w:r>
                </w:p>
              </w:tc>
              <w:tc>
                <w:tcPr/>
                <w:p>
                  <w:pPr>
                    <w:pStyle w:val="Compact"/>
                    <w:jc w:val="left"/>
                    <w:jc w:val="center"/>
                  </w:pPr>
                  <w:r>
                    <w:t xml:space="preserve">(Shen and Song, 2007)</w:t>
                  </w:r>
                </w:p>
              </w:tc>
            </w:tr>
            <w:tr>
              <w:tc>
                <w:tcPr/>
                <w:p>
                  <w:pPr>
                    <w:pStyle w:val="Compact"/>
                    <w:jc w:val="left"/>
                    <w:jc w:val="center"/>
                  </w:pPr>
                  <w:r>
                    <w:rPr>
                      <w:i/>
                      <w:iCs/>
                    </w:rPr>
                    <w:t xml:space="preserve">Microcystis aeruginosa PCC7941</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0.58</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0.67</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pPr>
                </w:p>
              </w:tc>
              <w:tc>
                <w:tcPr/>
                <w:p>
                  <w:pPr>
                    <w:pStyle w:val="Compact"/>
                  </w:pPr>
                </w:p>
              </w:tc>
              <w:tc>
                <w:tcPr/>
                <w:p>
                  <w:pPr>
                    <w:pStyle w:val="Compact"/>
                    <w:jc w:val="left"/>
                    <w:jc w:val="center"/>
                  </w:pPr>
                  <w:r>
                    <w:t xml:space="preserve">22.5</w:t>
                  </w:r>
                </w:p>
              </w:tc>
              <w:tc>
                <w:tcPr/>
                <w:p>
                  <w:pPr>
                    <w:pStyle w:val="Compact"/>
                    <w:jc w:val="left"/>
                    <w:jc w:val="center"/>
                  </w:pPr>
                  <w:r>
                    <w:t xml:space="preserve">1.05</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NA</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1.16</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1.01</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20.0</w:t>
                  </w:r>
                </w:p>
              </w:tc>
              <w:tc>
                <w:tcPr/>
                <w:p>
                  <w:pPr>
                    <w:pStyle w:val="Compact"/>
                    <w:jc w:val="left"/>
                    <w:jc w:val="center"/>
                  </w:pPr>
                  <w:r>
                    <w:t xml:space="preserve">0.58</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20.0</w:t>
                  </w:r>
                </w:p>
              </w:tc>
              <w:tc>
                <w:tcPr/>
                <w:p>
                  <w:pPr>
                    <w:pStyle w:val="Compact"/>
                    <w:jc w:val="left"/>
                    <w:jc w:val="center"/>
                  </w:pPr>
                  <w:r>
                    <w:t xml:space="preserve">0.57</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20.0</w:t>
                  </w:r>
                </w:p>
              </w:tc>
              <w:tc>
                <w:tcPr/>
                <w:p>
                  <w:pPr>
                    <w:pStyle w:val="Compact"/>
                    <w:jc w:val="left"/>
                    <w:jc w:val="center"/>
                  </w:pPr>
                  <w:r>
                    <w:t xml:space="preserve">0.59</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25.0</w:t>
                  </w:r>
                </w:p>
              </w:tc>
              <w:tc>
                <w:tcPr/>
                <w:p>
                  <w:pPr>
                    <w:pStyle w:val="Compact"/>
                    <w:jc w:val="left"/>
                    <w:jc w:val="center"/>
                  </w:pPr>
                  <w:r>
                    <w:t xml:space="preserve">0.67</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25.0</w:t>
                  </w:r>
                </w:p>
              </w:tc>
              <w:tc>
                <w:tcPr/>
                <w:p>
                  <w:pPr>
                    <w:pStyle w:val="Compact"/>
                    <w:jc w:val="left"/>
                    <w:jc w:val="center"/>
                  </w:pPr>
                  <w:r>
                    <w:t xml:space="preserve">0.72</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27.5</w:t>
                  </w:r>
                </w:p>
              </w:tc>
              <w:tc>
                <w:tcPr/>
                <w:p>
                  <w:pPr>
                    <w:pStyle w:val="Compact"/>
                    <w:jc w:val="left"/>
                    <w:jc w:val="center"/>
                  </w:pPr>
                  <w:r>
                    <w:t xml:space="preserve">1.05</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27.5</w:t>
                  </w:r>
                </w:p>
              </w:tc>
              <w:tc>
                <w:tcPr/>
                <w:p>
                  <w:pPr>
                    <w:pStyle w:val="Compact"/>
                    <w:jc w:val="left"/>
                    <w:jc w:val="center"/>
                  </w:pPr>
                  <w:r>
                    <w:t xml:space="preserve">1.04</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27.5</w:t>
                  </w:r>
                </w:p>
              </w:tc>
              <w:tc>
                <w:tcPr/>
                <w:p>
                  <w:pPr>
                    <w:pStyle w:val="Compact"/>
                    <w:jc w:val="left"/>
                    <w:jc w:val="center"/>
                  </w:pPr>
                  <w:r>
                    <w:t xml:space="preserve">1.06</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32.5</w:t>
                  </w:r>
                </w:p>
              </w:tc>
              <w:tc>
                <w:tcPr/>
                <w:p>
                  <w:pPr>
                    <w:pStyle w:val="Compact"/>
                    <w:jc w:val="left"/>
                    <w:jc w:val="center"/>
                  </w:pPr>
                  <w:r>
                    <w:t xml:space="preserve">1.16</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32.5</w:t>
                  </w:r>
                </w:p>
              </w:tc>
              <w:tc>
                <w:tcPr/>
                <w:p>
                  <w:pPr>
                    <w:pStyle w:val="Compact"/>
                    <w:jc w:val="left"/>
                    <w:jc w:val="center"/>
                  </w:pPr>
                  <w:r>
                    <w:t xml:space="preserve">1.16</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32.5</w:t>
                  </w:r>
                </w:p>
              </w:tc>
              <w:tc>
                <w:tcPr/>
                <w:p>
                  <w:pPr>
                    <w:pStyle w:val="Compact"/>
                    <w:jc w:val="left"/>
                    <w:jc w:val="center"/>
                  </w:pPr>
                  <w:r>
                    <w:t xml:space="preserve">1.16</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35.0</w:t>
                  </w:r>
                </w:p>
              </w:tc>
              <w:tc>
                <w:tcPr/>
                <w:p>
                  <w:pPr>
                    <w:pStyle w:val="Compact"/>
                    <w:jc w:val="left"/>
                    <w:jc w:val="center"/>
                  </w:pPr>
                  <w:r>
                    <w:t xml:space="preserve">1.01</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35.0</w:t>
                  </w:r>
                </w:p>
              </w:tc>
              <w:tc>
                <w:tcPr/>
                <w:p>
                  <w:pPr>
                    <w:pStyle w:val="Compact"/>
                    <w:jc w:val="left"/>
                    <w:jc w:val="center"/>
                  </w:pPr>
                  <w:r>
                    <w:t xml:space="preserve">1.02</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35.0</w:t>
                  </w:r>
                </w:p>
              </w:tc>
              <w:tc>
                <w:tcPr/>
                <w:p>
                  <w:pPr>
                    <w:pStyle w:val="Compact"/>
                    <w:jc w:val="left"/>
                    <w:jc w:val="center"/>
                  </w:pPr>
                  <w:r>
                    <w:t xml:space="preserve">1.00</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UTEXLB2061</w:t>
                  </w:r>
                </w:p>
              </w:tc>
              <w:tc>
                <w:tcPr/>
                <w:p>
                  <w:pPr>
                    <w:pStyle w:val="Compact"/>
                    <w:jc w:val="left"/>
                    <w:jc w:val="center"/>
                  </w:pPr>
                  <w:r>
                    <w:t xml:space="preserve">WC</w:t>
                  </w:r>
                </w:p>
              </w:tc>
              <w:tc>
                <w:tcPr/>
                <w:p>
                  <w:pPr>
                    <w:pStyle w:val="Compact"/>
                    <w:jc w:val="left"/>
                    <w:jc w:val="center"/>
                  </w:pPr>
                  <w:r>
                    <w:t xml:space="preserve">135.0</w:t>
                  </w:r>
                </w:p>
              </w:tc>
              <w:tc>
                <w:tcPr/>
                <w:p>
                  <w:pPr>
                    <w:pStyle w:val="Compact"/>
                    <w:jc w:val="left"/>
                    <w:jc w:val="center"/>
                  </w:pPr>
                  <w:r>
                    <w:t xml:space="preserve">25.0</w:t>
                  </w:r>
                </w:p>
              </w:tc>
              <w:tc>
                <w:tcPr/>
                <w:p>
                  <w:pPr>
                    <w:pStyle w:val="Compact"/>
                    <w:jc w:val="left"/>
                    <w:jc w:val="center"/>
                  </w:pPr>
                  <w:r>
                    <w:t xml:space="preserve">0.50</w:t>
                  </w:r>
                </w:p>
              </w:tc>
              <w:tc>
                <w:tcPr/>
                <w:p>
                  <w:pPr>
                    <w:pStyle w:val="Compact"/>
                    <w:jc w:val="left"/>
                    <w:jc w:val="center"/>
                  </w:pPr>
                  <w:r>
                    <w:t xml:space="preserve">(Sugimoto et al., 2015)</w:t>
                  </w:r>
                </w:p>
              </w:tc>
            </w:tr>
            <w:tr>
              <w:tc>
                <w:tcPr/>
                <w:p>
                  <w:pPr>
                    <w:pStyle w:val="Compact"/>
                    <w:jc w:val="left"/>
                    <w:jc w:val="center"/>
                  </w:pPr>
                  <w:r>
                    <w:rPr>
                      <w:i/>
                      <w:iCs/>
                    </w:rPr>
                    <w:t xml:space="preserve">Microcystis aeruginosa UTEXLB2061</w:t>
                  </w:r>
                </w:p>
              </w:tc>
              <w:tc>
                <w:tcPr/>
                <w:p>
                  <w:pPr>
                    <w:pStyle w:val="Compact"/>
                    <w:jc w:val="left"/>
                    <w:jc w:val="center"/>
                  </w:pPr>
                  <w:r>
                    <w:t xml:space="preserve">WC</w:t>
                  </w:r>
                </w:p>
              </w:tc>
              <w:tc>
                <w:tcPr/>
                <w:p>
                  <w:pPr>
                    <w:pStyle w:val="Compact"/>
                    <w:jc w:val="left"/>
                    <w:jc w:val="center"/>
                  </w:pPr>
                  <w:r>
                    <w:t xml:space="preserve">135.0</w:t>
                  </w:r>
                </w:p>
              </w:tc>
              <w:tc>
                <w:tcPr/>
                <w:p>
                  <w:pPr>
                    <w:pStyle w:val="Compact"/>
                    <w:jc w:val="left"/>
                    <w:jc w:val="center"/>
                  </w:pPr>
                  <w:r>
                    <w:t xml:space="preserve">25.0</w:t>
                  </w:r>
                </w:p>
              </w:tc>
              <w:tc>
                <w:tcPr/>
                <w:p>
                  <w:pPr>
                    <w:pStyle w:val="Compact"/>
                    <w:jc w:val="left"/>
                    <w:jc w:val="center"/>
                  </w:pPr>
                  <w:r>
                    <w:t xml:space="preserve">0.48</w:t>
                  </w:r>
                </w:p>
              </w:tc>
              <w:tc>
                <w:tcPr/>
                <w:p>
                  <w:pPr>
                    <w:pStyle w:val="Compact"/>
                    <w:jc w:val="left"/>
                    <w:jc w:val="center"/>
                  </w:pPr>
                  <w:r>
                    <w:t xml:space="preserve">(Sugimoto et al., 2015)</w:t>
                  </w:r>
                </w:p>
              </w:tc>
            </w:tr>
            <w:tr>
              <w:tc>
                <w:tcPr/>
                <w:p>
                  <w:pPr>
                    <w:pStyle w:val="Compact"/>
                    <w:jc w:val="left"/>
                    <w:jc w:val="center"/>
                  </w:pPr>
                  <w:r>
                    <w:rPr>
                      <w:i/>
                      <w:iCs/>
                    </w:rPr>
                    <w:t xml:space="preserve">Microcystis aeruginosa UTEXLB2061</w:t>
                  </w:r>
                </w:p>
              </w:tc>
              <w:tc>
                <w:tcPr/>
                <w:p>
                  <w:pPr>
                    <w:pStyle w:val="Compact"/>
                    <w:jc w:val="left"/>
                    <w:jc w:val="center"/>
                  </w:pPr>
                  <w:r>
                    <w:t xml:space="preserve">WC</w:t>
                  </w:r>
                </w:p>
              </w:tc>
              <w:tc>
                <w:tcPr/>
                <w:p>
                  <w:pPr>
                    <w:pStyle w:val="Compact"/>
                    <w:jc w:val="left"/>
                    <w:jc w:val="center"/>
                  </w:pPr>
                  <w:r>
                    <w:t xml:space="preserve">135.0</w:t>
                  </w:r>
                </w:p>
              </w:tc>
              <w:tc>
                <w:tcPr/>
                <w:p>
                  <w:pPr>
                    <w:pStyle w:val="Compact"/>
                    <w:jc w:val="left"/>
                    <w:jc w:val="center"/>
                  </w:pPr>
                  <w:r>
                    <w:t xml:space="preserve">25.0</w:t>
                  </w:r>
                </w:p>
              </w:tc>
              <w:tc>
                <w:tcPr/>
                <w:p>
                  <w:pPr>
                    <w:pStyle w:val="Compact"/>
                    <w:jc w:val="left"/>
                    <w:jc w:val="center"/>
                  </w:pPr>
                  <w:r>
                    <w:t xml:space="preserve">0.49</w:t>
                  </w:r>
                </w:p>
              </w:tc>
              <w:tc>
                <w:tcPr/>
                <w:p>
                  <w:pPr>
                    <w:pStyle w:val="Compact"/>
                    <w:jc w:val="left"/>
                    <w:jc w:val="center"/>
                  </w:pPr>
                  <w:r>
                    <w:t xml:space="preserve">(Sugimoto et al.,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0.00</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0.00</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0.39</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0.41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0.40</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0.40</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0.68</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0.66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0.67</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0.67</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-0.21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-0.20</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-0.23</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-0.21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-0.02</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0.13</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0.12</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0.10</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0.12</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0.26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0.24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0.28</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0.27</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0.26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0.27</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-0.17</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0.81</w:t>
                  </w:r>
                </w:p>
              </w:tc>
              <w:tc>
                <w:tcPr/>
                <w:p>
                  <w:pPr>
                    <w:pStyle w:val="Compact"/>
                    <w:jc w:val="left"/>
                    <w:jc w:val="center"/>
                  </w:pPr>
                  <w:r>
                    <w:t xml:space="preserve">(Chu et al., 2007)</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1.09</w:t>
                  </w:r>
                </w:p>
              </w:tc>
              <w:tc>
                <w:tcPr/>
                <w:p>
                  <w:pPr>
                    <w:pStyle w:val="Compact"/>
                    <w:jc w:val="left"/>
                    <w:jc w:val="center"/>
                  </w:pPr>
                  <w:r>
                    <w:t xml:space="preserve">(Coles and Jones, 2000)</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0.45</w:t>
                  </w:r>
                </w:p>
              </w:tc>
              <w:tc>
                <w:tcPr/>
                <w:p>
                  <w:pPr>
                    <w:pStyle w:val="Compact"/>
                    <w:jc w:val="left"/>
                    <w:jc w:val="center"/>
                  </w:pPr>
                  <w:r>
                    <w:t xml:space="preserve">(Imai et al., 2009)</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32.0</w:t>
                  </w:r>
                </w:p>
              </w:tc>
              <w:tc>
                <w:tcPr/>
                <w:p>
                  <w:pPr>
                    <w:pStyle w:val="Compact"/>
                    <w:jc w:val="left"/>
                    <w:jc w:val="center"/>
                  </w:pPr>
                  <w:r>
                    <w:t xml:space="preserve">1.60</w:t>
                  </w:r>
                </w:p>
              </w:tc>
              <w:tc>
                <w:tcPr/>
                <w:p>
                  <w:pPr>
                    <w:pStyle w:val="Compact"/>
                    <w:jc w:val="left"/>
                    <w:jc w:val="center"/>
                  </w:pPr>
                  <w:r>
                    <w:t xml:space="preserve">(Nalewajko and Murphy, 2001)</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0.80</w:t>
                  </w:r>
                </w:p>
              </w:tc>
              <w:tc>
                <w:tcPr/>
                <w:p>
                  <w:pPr>
                    <w:pStyle w:val="Compact"/>
                    <w:jc w:val="left"/>
                    <w:jc w:val="center"/>
                  </w:pPr>
                  <w:r>
                    <w:t xml:space="preserve">(Nicklisch and Kohl, 1983)</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1.06</w:t>
                  </w:r>
                </w:p>
              </w:tc>
              <w:tc>
                <w:tcPr/>
                <w:p>
                  <w:pPr>
                    <w:pStyle w:val="Compact"/>
                    <w:jc w:val="left"/>
                    <w:jc w:val="center"/>
                  </w:pPr>
                  <w:r>
                    <w:t xml:space="preserve">(OHKUBO et al., 1991)</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0.19</w:t>
                  </w:r>
                </w:p>
              </w:tc>
              <w:tc>
                <w:tcPr/>
                <w:p>
                  <w:pPr>
                    <w:pStyle w:val="Compact"/>
                    <w:jc w:val="left"/>
                    <w:jc w:val="center"/>
                  </w:pPr>
                  <w:r>
                    <w:t xml:space="preserve">(Sivonen et al., 1990)</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0.36</w:t>
                  </w:r>
                </w:p>
              </w:tc>
              <w:tc>
                <w:tcPr/>
                <w:p>
                  <w:pPr>
                    <w:pStyle w:val="Compact"/>
                    <w:jc w:val="left"/>
                    <w:jc w:val="center"/>
                  </w:pPr>
                  <w:r>
                    <w:t xml:space="preserve">(Staehr and Birkeland, 2006)</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32.0</w:t>
                  </w:r>
                </w:p>
              </w:tc>
              <w:tc>
                <w:tcPr/>
                <w:p>
                  <w:pPr>
                    <w:pStyle w:val="Compact"/>
                    <w:jc w:val="left"/>
                    <w:jc w:val="center"/>
                  </w:pPr>
                  <w:r>
                    <w:t xml:space="preserve">0.59</w:t>
                  </w:r>
                </w:p>
              </w:tc>
              <w:tc>
                <w:tcPr/>
                <w:p>
                  <w:pPr>
                    <w:pStyle w:val="Compact"/>
                    <w:jc w:val="left"/>
                    <w:jc w:val="center"/>
                  </w:pPr>
                  <w:r>
                    <w:t xml:space="preserve">(Watanabe and Oishi, 1985)</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32.0</w:t>
                  </w:r>
                </w:p>
              </w:tc>
              <w:tc>
                <w:tcPr/>
                <w:p>
                  <w:pPr>
                    <w:pStyle w:val="Compact"/>
                    <w:jc w:val="left"/>
                    <w:jc w:val="center"/>
                  </w:pPr>
                  <w:r>
                    <w:t xml:space="preserve">0.81</w:t>
                  </w:r>
                </w:p>
              </w:tc>
              <w:tc>
                <w:tcPr/>
                <w:p>
                  <w:pPr>
                    <w:pStyle w:val="Compact"/>
                    <w:jc w:val="left"/>
                    <w:jc w:val="center"/>
                  </w:pPr>
                  <w:r>
                    <w:t xml:space="preserve">(Westhuizen and Eloff, 1985)</w:t>
                  </w:r>
                </w:p>
              </w:tc>
            </w:tr>
            <w:tr>
              <w:tc>
                <w:tcPr/>
                <w:p>
                  <w:pPr>
                    <w:pStyle w:val="Compact"/>
                    <w:jc w:val="left"/>
                    <w:jc w:val="center"/>
                  </w:pPr>
                  <w:r>
                    <w:rPr>
                      <w:i/>
                      <w:iCs/>
                    </w:rPr>
                    <w:t xml:space="preserve">Microcystis aeruginosa</w:t>
                  </w:r>
                </w:p>
              </w:tc>
              <w:tc>
                <w:tcPr/>
                <w:p>
                  <w:pPr>
                    <w:pStyle w:val="Compact"/>
                  </w:pPr>
                </w:p>
              </w:tc>
              <w:tc>
                <w:tcPr/>
                <w:p>
                  <w:pPr>
                    <w:pStyle w:val="Compact"/>
                    <w:jc w:val="left"/>
                    <w:jc w:val="center"/>
                  </w:pPr>
                  <w:r>
                    <w:t xml:space="preserve">77.3 ± 11.4</w:t>
                  </w:r>
                </w:p>
              </w:tc>
              <w:tc>
                <w:tcPr/>
                <w:p>
                  <w:pPr>
                    <w:pStyle w:val="Compact"/>
                    <w:jc w:val="left"/>
                    <w:jc w:val="center"/>
                  </w:pPr>
                  <w:r>
                    <w:t xml:space="preserve">30.0 ± 18.2</w:t>
                  </w:r>
                </w:p>
              </w:tc>
              <w:tc>
                <w:tcPr/>
                <w:p>
                  <w:pPr>
                    <w:pStyle w:val="Compact"/>
                    <w:jc w:val="left"/>
                    <w:jc w:val="center"/>
                  </w:pPr>
                  <w:r>
                    <w:t xml:space="preserve">0.52</w:t>
                  </w:r>
                </w:p>
              </w:tc>
              <w:tc>
                <w:tcPr/>
                <w:p>
                  <w:pPr>
                    <w:pStyle w:val="Compact"/>
                    <w:jc w:val="left"/>
                    <w:jc w:val="center"/>
                  </w:pPr>
                  <w:r>
                    <w:t xml:space="preserve">(Xiao et al., 2020)</w:t>
                  </w:r>
                </w:p>
              </w:tc>
            </w:tr>
            <w:tr>
              <w:tc>
                <w:tcPr/>
                <w:p>
                  <w:pPr>
                    <w:pStyle w:val="Compact"/>
                    <w:jc w:val="left"/>
                    <w:jc w:val="center"/>
                  </w:pPr>
                  <w:r>
                    <w:rPr>
                      <w:i/>
                      <w:iCs/>
                    </w:rPr>
                    <w:t xml:space="preserve">Microcystis agardhii</w:t>
                  </w:r>
                </w:p>
              </w:tc>
              <w:tc>
                <w:tcPr/>
                <w:p>
                  <w:pPr>
                    <w:pStyle w:val="Compact"/>
                    <w:jc w:val="left"/>
                    <w:jc w:val="center"/>
                  </w:pPr>
                  <w:r>
                    <w:t xml:space="preserve">Z8</w:t>
                  </w:r>
                </w:p>
              </w:tc>
              <w:tc>
                <w:tcPr/>
                <w:p>
                  <w:pPr>
                    <w:pStyle w:val="Compact"/>
                    <w:jc w:val="left"/>
                    <w:jc w:val="center"/>
                  </w:pPr>
                  <w:r>
                    <w:t xml:space="preserve">4.0</w:t>
                  </w:r>
                </w:p>
              </w:tc>
              <w:tc>
                <w:tcPr/>
                <w:p>
                  <w:pPr>
                    <w:pStyle w:val="Compact"/>
                    <w:jc w:val="left"/>
                    <w:jc w:val="center"/>
                  </w:pPr>
                  <w:r>
                    <w:t xml:space="preserve">20.0</w:t>
                  </w:r>
                </w:p>
              </w:tc>
              <w:tc>
                <w:tcPr/>
                <w:p>
                  <w:pPr>
                    <w:pStyle w:val="Compact"/>
                    <w:jc w:val="left"/>
                    <w:jc w:val="center"/>
                  </w:pPr>
                  <w:r>
                    <w:t xml:space="preserve">0.06</w:t>
                  </w:r>
                </w:p>
              </w:tc>
              <w:tc>
                <w:tcPr/>
                <w:p>
                  <w:pPr>
                    <w:pStyle w:val="Compact"/>
                    <w:jc w:val="left"/>
                    <w:jc w:val="center"/>
                  </w:pPr>
                  <w:r>
                    <w:t xml:space="preserve">(Salvador et al., 2016)</w:t>
                  </w:r>
                </w:p>
              </w:tc>
            </w:tr>
            <w:tr>
              <w:tc>
                <w:tcPr/>
                <w:p>
                  <w:pPr>
                    <w:pStyle w:val="Compact"/>
                    <w:jc w:val="left"/>
                    <w:jc w:val="center"/>
                  </w:pPr>
                  <w:r>
                    <w:rPr>
                      <w:i/>
                      <w:iCs/>
                    </w:rPr>
                    <w:t xml:space="preserve">Microcystis agardhii</w:t>
                  </w:r>
                </w:p>
              </w:tc>
              <w:tc>
                <w:tcPr/>
                <w:p>
                  <w:pPr>
                    <w:pStyle w:val="Compact"/>
                    <w:jc w:val="left"/>
                    <w:jc w:val="center"/>
                  </w:pPr>
                  <w:r>
                    <w:t xml:space="preserve">Z8</w:t>
                  </w:r>
                </w:p>
              </w:tc>
              <w:tc>
                <w:tcPr/>
                <w:p>
                  <w:pPr>
                    <w:pStyle w:val="Compact"/>
                    <w:jc w:val="left"/>
                    <w:jc w:val="center"/>
                  </w:pPr>
                  <w:r>
                    <w:t xml:space="preserve">20.0</w:t>
                  </w:r>
                </w:p>
              </w:tc>
              <w:tc>
                <w:tcPr/>
                <w:p>
                  <w:pPr>
                    <w:pStyle w:val="Compact"/>
                    <w:jc w:val="left"/>
                    <w:jc w:val="center"/>
                  </w:pPr>
                  <w:r>
                    <w:t xml:space="preserve">20.0</w:t>
                  </w:r>
                </w:p>
              </w:tc>
              <w:tc>
                <w:tcPr/>
                <w:p>
                  <w:pPr>
                    <w:pStyle w:val="Compact"/>
                    <w:jc w:val="left"/>
                    <w:jc w:val="center"/>
                  </w:pPr>
                  <w:r>
                    <w:t xml:space="preserve">0.09</w:t>
                  </w:r>
                </w:p>
              </w:tc>
              <w:tc>
                <w:tcPr/>
                <w:p>
                  <w:pPr>
                    <w:pStyle w:val="Compact"/>
                    <w:jc w:val="left"/>
                    <w:jc w:val="center"/>
                  </w:pPr>
                  <w:r>
                    <w:t xml:space="preserve">(Salvador et al., 2016)</w:t>
                  </w:r>
                </w:p>
              </w:tc>
            </w:tr>
            <w:tr>
              <w:tc>
                <w:tcPr/>
                <w:p>
                  <w:pPr>
                    <w:pStyle w:val="Compact"/>
                    <w:jc w:val="left"/>
                    <w:jc w:val="center"/>
                  </w:pPr>
                  <w:r>
                    <w:rPr>
                      <w:i/>
                      <w:iCs/>
                    </w:rPr>
                    <w:t xml:space="preserve">Microcystis agardhii</w:t>
                  </w:r>
                </w:p>
              </w:tc>
              <w:tc>
                <w:tcPr/>
                <w:p>
                  <w:pPr>
                    <w:pStyle w:val="Compact"/>
                    <w:jc w:val="left"/>
                    <w:jc w:val="center"/>
                  </w:pPr>
                  <w:r>
                    <w:t xml:space="preserve">Z8</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0.09</w:t>
                  </w:r>
                </w:p>
              </w:tc>
              <w:tc>
                <w:tcPr/>
                <w:p>
                  <w:pPr>
                    <w:pStyle w:val="Compact"/>
                    <w:jc w:val="left"/>
                    <w:jc w:val="center"/>
                  </w:pPr>
                  <w:r>
                    <w:t xml:space="preserve">(Salvador et al., 2016)</w:t>
                  </w:r>
                </w:p>
              </w:tc>
            </w:tr>
            <w:tr>
              <w:tc>
                <w:tcPr/>
                <w:p>
                  <w:pPr>
                    <w:pStyle w:val="Compact"/>
                    <w:jc w:val="left"/>
                    <w:jc w:val="center"/>
                  </w:pPr>
                  <w:r>
                    <w:rPr>
                      <w:i/>
                      <w:iCs/>
                    </w:rPr>
                    <w:t xml:space="preserve">Microcystis ichthyoblabe</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1.32</w:t>
                  </w:r>
                </w:p>
              </w:tc>
              <w:tc>
                <w:tcPr/>
                <w:p>
                  <w:pPr>
                    <w:pStyle w:val="Compact"/>
                    <w:jc w:val="left"/>
                    <w:jc w:val="center"/>
                  </w:pPr>
                  <w:r>
                    <w:t xml:space="preserve">(Sabour et al., 2009)</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27.0</w:t>
                  </w:r>
                </w:p>
              </w:tc>
              <w:tc>
                <w:tcPr/>
                <w:p>
                  <w:pPr>
                    <w:pStyle w:val="Compact"/>
                    <w:jc w:val="left"/>
                    <w:jc w:val="center"/>
                  </w:pPr>
                  <w:r>
                    <w:t xml:space="preserve">0.57</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27.0</w:t>
                  </w:r>
                </w:p>
              </w:tc>
              <w:tc>
                <w:tcPr/>
                <w:p>
                  <w:pPr>
                    <w:pStyle w:val="Compact"/>
                    <w:jc w:val="left"/>
                    <w:jc w:val="center"/>
                  </w:pPr>
                  <w:r>
                    <w:t xml:space="preserve">0.64</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27.0</w:t>
                  </w:r>
                </w:p>
              </w:tc>
              <w:tc>
                <w:tcPr/>
                <w:p>
                  <w:pPr>
                    <w:pStyle w:val="Compact"/>
                    <w:jc w:val="left"/>
                    <w:jc w:val="center"/>
                  </w:pPr>
                  <w:r>
                    <w:t xml:space="preserve">0.50</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30.0</w:t>
                  </w:r>
                </w:p>
              </w:tc>
              <w:tc>
                <w:tcPr/>
                <w:p>
                  <w:pPr>
                    <w:pStyle w:val="Compact"/>
                    <w:jc w:val="left"/>
                    <w:jc w:val="center"/>
                  </w:pPr>
                  <w:r>
                    <w:t xml:space="preserve">0.32</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30.0</w:t>
                  </w:r>
                </w:p>
              </w:tc>
              <w:tc>
                <w:tcPr/>
                <w:p>
                  <w:pPr>
                    <w:pStyle w:val="Compact"/>
                    <w:jc w:val="left"/>
                    <w:jc w:val="center"/>
                  </w:pPr>
                  <w:r>
                    <w:t xml:space="preserve">0.37</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30.0</w:t>
                  </w:r>
                </w:p>
              </w:tc>
              <w:tc>
                <w:tcPr/>
                <w:p>
                  <w:pPr>
                    <w:pStyle w:val="Compact"/>
                    <w:jc w:val="left"/>
                    <w:jc w:val="center"/>
                  </w:pPr>
                  <w:r>
                    <w:t xml:space="preserve">0.26</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33.0</w:t>
                  </w:r>
                </w:p>
              </w:tc>
              <w:tc>
                <w:tcPr/>
                <w:p>
                  <w:pPr>
                    <w:pStyle w:val="Compact"/>
                    <w:jc w:val="left"/>
                    <w:jc w:val="center"/>
                  </w:pPr>
                  <w:r>
                    <w:t xml:space="preserve">0.55</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33.0</w:t>
                  </w:r>
                </w:p>
              </w:tc>
              <w:tc>
                <w:tcPr/>
                <w:p>
                  <w:pPr>
                    <w:pStyle w:val="Compact"/>
                    <w:jc w:val="left"/>
                    <w:jc w:val="center"/>
                  </w:pPr>
                  <w:r>
                    <w:t xml:space="preserve">0.38</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33.0</w:t>
                  </w:r>
                </w:p>
              </w:tc>
              <w:tc>
                <w:tcPr/>
                <w:p>
                  <w:pPr>
                    <w:pStyle w:val="Compact"/>
                    <w:jc w:val="left"/>
                    <w:jc w:val="center"/>
                  </w:pPr>
                  <w:r>
                    <w:t xml:space="preserve">0.73</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36.0</w:t>
                  </w:r>
                </w:p>
              </w:tc>
              <w:tc>
                <w:tcPr/>
                <w:p>
                  <w:pPr>
                    <w:pStyle w:val="Compact"/>
                    <w:jc w:val="left"/>
                    <w:jc w:val="center"/>
                  </w:pPr>
                  <w:r>
                    <w:t xml:space="preserve">0.68</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36.0</w:t>
                  </w:r>
                </w:p>
              </w:tc>
              <w:tc>
                <w:tcPr/>
                <w:p>
                  <w:pPr>
                    <w:pStyle w:val="Compact"/>
                    <w:jc w:val="left"/>
                    <w:jc w:val="center"/>
                  </w:pPr>
                  <w:r>
                    <w:t xml:space="preserve">0.65</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36.0</w:t>
                  </w:r>
                </w:p>
              </w:tc>
              <w:tc>
                <w:tcPr/>
                <w:p>
                  <w:pPr>
                    <w:pStyle w:val="Compact"/>
                    <w:jc w:val="left"/>
                    <w:jc w:val="center"/>
                  </w:pPr>
                  <w:r>
                    <w:t xml:space="preserve">0.62</w:t>
                  </w:r>
                </w:p>
              </w:tc>
              <w:tc>
                <w:tcPr/>
                <w:p>
                  <w:pPr>
                    <w:pStyle w:val="Compact"/>
                    <w:jc w:val="left"/>
                    <w:jc w:val="center"/>
                  </w:pPr>
                  <w:r>
                    <w:t xml:space="preserve">(Mowe et al., 2015)</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15.0</w:t>
                  </w:r>
                </w:p>
              </w:tc>
              <w:tc>
                <w:tcPr/>
                <w:p>
                  <w:pPr>
                    <w:pStyle w:val="Compact"/>
                    <w:jc w:val="left"/>
                    <w:jc w:val="center"/>
                  </w:pPr>
                  <w:r>
                    <w:t xml:space="preserve">0.03</w:t>
                  </w:r>
                </w:p>
              </w:tc>
              <w:tc>
                <w:tcPr/>
                <w:p>
                  <w:pPr>
                    <w:pStyle w:val="Compact"/>
                    <w:jc w:val="left"/>
                    <w:jc w:val="center"/>
                  </w:pPr>
                  <w:r>
                    <w:t xml:space="preserve">(Wu et al., 2011)</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(Wu et al., 2011)</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35.0</w:t>
                  </w:r>
                </w:p>
              </w:tc>
              <w:tc>
                <w:tcPr/>
                <w:p>
                  <w:pPr>
                    <w:pStyle w:val="Compact"/>
                    <w:jc w:val="left"/>
                    <w:jc w:val="center"/>
                  </w:pPr>
                  <w:r>
                    <w:t xml:space="preserve">0.26</w:t>
                  </w:r>
                </w:p>
              </w:tc>
              <w:tc>
                <w:tcPr/>
                <w:p>
                  <w:pPr>
                    <w:pStyle w:val="Compact"/>
                    <w:jc w:val="left"/>
                    <w:jc w:val="center"/>
                  </w:pPr>
                  <w:r>
                    <w:t xml:space="preserve">(Wu et al., 2011)</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(Wu et al., 2011)</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(Wu et al., 2011)</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35.0</w:t>
                  </w:r>
                </w:p>
              </w:tc>
              <w:tc>
                <w:tcPr/>
                <w:p>
                  <w:pPr>
                    <w:pStyle w:val="Compact"/>
                    <w:jc w:val="left"/>
                    <w:jc w:val="center"/>
                  </w:pPr>
                  <w:r>
                    <w:t xml:space="preserve">0.27</w:t>
                  </w:r>
                </w:p>
              </w:tc>
              <w:tc>
                <w:tcPr/>
                <w:p>
                  <w:pPr>
                    <w:pStyle w:val="Compact"/>
                    <w:jc w:val="left"/>
                    <w:jc w:val="center"/>
                  </w:pPr>
                  <w:r>
                    <w:t xml:space="preserve">(Wu et al., 2011)</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15.0</w:t>
                  </w:r>
                </w:p>
              </w:tc>
              <w:tc>
                <w:tcPr/>
                <w:p>
                  <w:pPr>
                    <w:pStyle w:val="Compact"/>
                    <w:jc w:val="left"/>
                    <w:jc w:val="center"/>
                  </w:pPr>
                  <w:r>
                    <w:t xml:space="preserve">0.03</w:t>
                  </w:r>
                </w:p>
              </w:tc>
              <w:tc>
                <w:tcPr/>
                <w:p>
                  <w:pPr>
                    <w:pStyle w:val="Compact"/>
                    <w:jc w:val="left"/>
                    <w:jc w:val="center"/>
                  </w:pPr>
                  <w:r>
                    <w:t xml:space="preserve">(Wu et al., 2011)</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(Wu et al., 2011)</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35.0</w:t>
                  </w:r>
                </w:p>
              </w:tc>
              <w:tc>
                <w:tcPr/>
                <w:p>
                  <w:pPr>
                    <w:pStyle w:val="Compact"/>
                    <w:jc w:val="left"/>
                    <w:jc w:val="center"/>
                  </w:pPr>
                  <w:r>
                    <w:t xml:space="preserve">0.26</w:t>
                  </w:r>
                </w:p>
              </w:tc>
              <w:tc>
                <w:tcPr/>
                <w:p>
                  <w:pPr>
                    <w:pStyle w:val="Compact"/>
                    <w:jc w:val="left"/>
                    <w:jc w:val="center"/>
                  </w:pPr>
                  <w:r>
                    <w:t xml:space="preserve">(Wu et al., 2011)</w:t>
                  </w:r>
                </w:p>
              </w:tc>
            </w:tr>
            <w:tr>
              <w:tc>
                <w:tcPr/>
                <w:p>
                  <w:pPr>
                    <w:pStyle w:val="Compact"/>
                    <w:jc w:val="left"/>
                    <w:jc w:val="center"/>
                  </w:pPr>
                  <w:r>
                    <w:rPr>
                      <w:i/>
                      <w:iCs/>
                    </w:rPr>
                    <w:t xml:space="preserve">Microcystis viridis</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0.17</w:t>
                  </w:r>
                </w:p>
              </w:tc>
              <w:tc>
                <w:tcPr/>
                <w:p>
                  <w:pPr>
                    <w:pStyle w:val="Compact"/>
                    <w:jc w:val="left"/>
                    <w:jc w:val="center"/>
                  </w:pPr>
                  <w:r>
                    <w:t xml:space="preserve">(OHKUBO et al., 1991)</w:t>
                  </w:r>
                </w:p>
              </w:tc>
            </w:tr>
            <w:tr>
              <w:tc>
                <w:tcPr/>
                <w:p>
                  <w:pPr>
                    <w:pStyle w:val="Compact"/>
                    <w:jc w:val="left"/>
                    <w:jc w:val="center"/>
                  </w:pPr>
                  <w:r>
                    <w:rPr>
                      <w:i/>
                      <w:iCs/>
                    </w:rPr>
                    <w:t xml:space="preserve">Microcystis viridis</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0.52</w:t>
                  </w:r>
                </w:p>
              </w:tc>
              <w:tc>
                <w:tcPr/>
                <w:p>
                  <w:pPr>
                    <w:pStyle w:val="Compact"/>
                    <w:jc w:val="left"/>
                    <w:jc w:val="center"/>
                  </w:pPr>
                  <w:r>
                    <w:t xml:space="preserve">(OHKUBO et al., 1991)</w:t>
                  </w:r>
                </w:p>
              </w:tc>
            </w:tr>
            <w:tr>
              <w:tc>
                <w:tcPr/>
                <w:p>
                  <w:pPr>
                    <w:pStyle w:val="Compact"/>
                    <w:jc w:val="left"/>
                    <w:jc w:val="center"/>
                  </w:pPr>
                  <w:r>
                    <w:rPr>
                      <w:i/>
                      <w:iCs/>
                    </w:rPr>
                    <w:t xml:space="preserve">Microcystis wesenbergii</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0.22</w:t>
                  </w:r>
                </w:p>
              </w:tc>
              <w:tc>
                <w:tcPr/>
                <w:p>
                  <w:pPr>
                    <w:pStyle w:val="Compact"/>
                    <w:jc w:val="left"/>
                    <w:jc w:val="center"/>
                  </w:pPr>
                  <w:r>
                    <w:t xml:space="preserve">(Imai et al., 2009)</w:t>
                  </w:r>
                </w:p>
              </w:tc>
            </w:tr>
            <w:tr>
              <w:tc>
                <w:tcPr/>
                <w:p>
                  <w:pPr>
                    <w:pStyle w:val="Compact"/>
                    <w:jc w:val="left"/>
                    <w:jc w:val="center"/>
                  </w:pPr>
                  <w:r>
                    <w:rPr>
                      <w:i/>
                      <w:iCs/>
                    </w:rPr>
                    <w:t xml:space="preserve">Microcystis wesenbergii</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1.50</w:t>
                  </w:r>
                </w:p>
              </w:tc>
              <w:tc>
                <w:tcPr/>
                <w:p>
                  <w:pPr>
                    <w:pStyle w:val="Compact"/>
                    <w:jc w:val="left"/>
                    <w:jc w:val="center"/>
                  </w:pPr>
                  <w:r>
                    <w:t xml:space="preserve">(OHKUBO et al., 1991)</w:t>
                  </w:r>
                </w:p>
              </w:tc>
            </w:tr>
            <w:tr>
              <w:tc>
                <w:tcPr/>
                <w:p>
                  <w:pPr>
                    <w:pStyle w:val="Compact"/>
                    <w:jc w:val="left"/>
                    <w:jc w:val="center"/>
                  </w:pPr>
                  <w:r>
                    <w:rPr>
                      <w:i/>
                      <w:iCs/>
                    </w:rPr>
                    <w:t xml:space="preserve">Microcystis</w:t>
                  </w:r>
                  <w:r>
                    <w:t xml:space="preserve"> </w:t>
                  </w:r>
                  <w:r>
                    <w:t xml:space="preserve">sp.</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0.35</w:t>
                  </w:r>
                </w:p>
              </w:tc>
              <w:tc>
                <w:tcPr/>
                <w:p>
                  <w:pPr>
                    <w:pStyle w:val="Compact"/>
                    <w:jc w:val="left"/>
                    <w:jc w:val="center"/>
                  </w:pPr>
                  <w:r>
                    <w:t xml:space="preserve">(Konopka and Brock, 1978)</w:t>
                  </w:r>
                </w:p>
              </w:tc>
            </w:tr>
            <w:tr>
              <w:tc>
                <w:tcPr/>
                <w:p>
                  <w:pPr>
                    <w:pStyle w:val="Compact"/>
                    <w:jc w:val="left"/>
                    <w:jc w:val="center"/>
                  </w:pPr>
                  <w:r>
                    <w:rPr>
                      <w:i/>
                      <w:iCs/>
                    </w:rPr>
                    <w:t xml:space="preserve">Oscillatoria acuminata</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0.24</w:t>
                  </w:r>
                </w:p>
              </w:tc>
              <w:tc>
                <w:tcPr/>
                <w:p>
                  <w:pPr>
                    <w:pStyle w:val="Compact"/>
                    <w:jc w:val="left"/>
                    <w:jc w:val="center"/>
                  </w:pPr>
                  <w:r>
                    <w:t xml:space="preserve">(Tiwari et al., 2001)</w:t>
                  </w:r>
                </w:p>
              </w:tc>
            </w:tr>
            <w:tr>
              <w:tc>
                <w:tcPr/>
                <w:p>
                  <w:pPr>
                    <w:pStyle w:val="Compact"/>
                    <w:jc w:val="left"/>
                    <w:jc w:val="center"/>
                  </w:pPr>
                  <w:r>
                    <w:rPr>
                      <w:i/>
                      <w:iCs/>
                    </w:rPr>
                    <w:t xml:space="preserve">Oscillatoria agardhii</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1.12</w:t>
                  </w:r>
                </w:p>
              </w:tc>
              <w:tc>
                <w:tcPr/>
                <w:p>
                  <w:pPr>
                    <w:pStyle w:val="Compact"/>
                    <w:jc w:val="left"/>
                    <w:jc w:val="center"/>
                  </w:pPr>
                  <w:r>
                    <w:t xml:space="preserve">(Foy et al., 1976)</w:t>
                  </w:r>
                </w:p>
              </w:tc>
            </w:tr>
            <w:tr>
              <w:tc>
                <w:tcPr/>
                <w:p>
                  <w:pPr>
                    <w:pStyle w:val="Compact"/>
                    <w:jc w:val="left"/>
                    <w:jc w:val="center"/>
                  </w:pPr>
                  <w:r>
                    <w:rPr>
                      <w:i/>
                      <w:iCs/>
                    </w:rPr>
                    <w:t xml:space="preserve">Oscillatoria agardhii</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0.23</w:t>
                  </w:r>
                </w:p>
              </w:tc>
              <w:tc>
                <w:tcPr/>
                <w:p>
                  <w:pPr>
                    <w:pStyle w:val="Compact"/>
                    <w:jc w:val="left"/>
                    <w:jc w:val="center"/>
                  </w:pPr>
                  <w:r>
                    <w:t xml:space="preserve">(Sivonen et al., 1990)</w:t>
                  </w:r>
                </w:p>
              </w:tc>
            </w:tr>
            <w:tr>
              <w:tc>
                <w:tcPr/>
                <w:p>
                  <w:pPr>
                    <w:pStyle w:val="Compact"/>
                    <w:jc w:val="left"/>
                    <w:jc w:val="center"/>
                  </w:pPr>
                  <w:r>
                    <w:rPr>
                      <w:i/>
                      <w:iCs/>
                    </w:rPr>
                    <w:t xml:space="preserve">Oscillatoria agardhii</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0.64</w:t>
                  </w:r>
                </w:p>
              </w:tc>
              <w:tc>
                <w:tcPr/>
                <w:p>
                  <w:pPr>
                    <w:pStyle w:val="Compact"/>
                    <w:jc w:val="left"/>
                    <w:jc w:val="center"/>
                  </w:pPr>
                  <w:r>
                    <w:t xml:space="preserve">(TALBOT, 1991)</w:t>
                  </w:r>
                </w:p>
              </w:tc>
            </w:tr>
            <w:tr>
              <w:tc>
                <w:tcPr/>
                <w:p>
                  <w:pPr>
                    <w:pStyle w:val="Compact"/>
                    <w:jc w:val="left"/>
                    <w:jc w:val="center"/>
                  </w:pPr>
                  <w:r>
                    <w:rPr>
                      <w:i/>
                      <w:iCs/>
                    </w:rPr>
                    <w:t xml:space="preserve">Oscillatoria agardhii</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0.09</w:t>
                  </w:r>
                </w:p>
              </w:tc>
              <w:tc>
                <w:tcPr/>
                <w:p>
                  <w:pPr>
                    <w:pStyle w:val="Compact"/>
                    <w:jc w:val="left"/>
                    <w:jc w:val="center"/>
                  </w:pPr>
                  <w:r>
                    <w:t xml:space="preserve">(Tiwari et al., 2001)</w:t>
                  </w:r>
                </w:p>
              </w:tc>
            </w:tr>
            <w:tr>
              <w:tc>
                <w:tcPr/>
                <w:p>
                  <w:pPr>
                    <w:pStyle w:val="Compact"/>
                    <w:jc w:val="left"/>
                    <w:jc w:val="center"/>
                  </w:pPr>
                  <w:r>
                    <w:rPr>
                      <w:i/>
                      <w:iCs/>
                    </w:rPr>
                    <w:t xml:space="preserve">Oscillatoria annae</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(Tiwari et al., 2001)</w:t>
                  </w:r>
                </w:p>
              </w:tc>
            </w:tr>
            <w:tr>
              <w:tc>
                <w:tcPr/>
                <w:p>
                  <w:pPr>
                    <w:pStyle w:val="Compact"/>
                    <w:jc w:val="left"/>
                    <w:jc w:val="center"/>
                  </w:pPr>
                  <w:r>
                    <w:rPr>
                      <w:i/>
                      <w:iCs/>
                    </w:rPr>
                    <w:t xml:space="preserve">Oscillatoria brevis</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(Tiwari et al., 2001)</w:t>
                  </w:r>
                </w:p>
              </w:tc>
            </w:tr>
            <w:tr>
              <w:tc>
                <w:tcPr/>
                <w:p>
                  <w:pPr>
                    <w:pStyle w:val="Compact"/>
                    <w:jc w:val="left"/>
                    <w:jc w:val="center"/>
                  </w:pPr>
                  <w:r>
                    <w:rPr>
                      <w:i/>
                      <w:iCs/>
                    </w:rPr>
                    <w:t xml:space="preserve">Oscillatoria cf. chalybea</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21.5 ~ 28</w:t>
                  </w:r>
                </w:p>
              </w:tc>
              <w:tc>
                <w:tcPr/>
                <w:p>
                  <w:pPr>
                    <w:pStyle w:val="Compact"/>
                    <w:jc w:val="left"/>
                    <w:jc w:val="center"/>
                  </w:pPr>
                  <w:r>
                    <w:t xml:space="preserve">0.31</w:t>
                  </w:r>
                </w:p>
              </w:tc>
              <w:tc>
                <w:tcPr/>
                <w:p>
                  <w:pPr>
                    <w:pStyle w:val="Compact"/>
                    <w:jc w:val="left"/>
                    <w:jc w:val="center"/>
                  </w:pPr>
                  <w:r>
                    <w:t xml:space="preserve">(Van Der Ploeg et al., 1995)</w:t>
                  </w:r>
                </w:p>
              </w:tc>
            </w:tr>
            <w:tr>
              <w:tc>
                <w:tcPr/>
                <w:p>
                  <w:pPr>
                    <w:pStyle w:val="Compact"/>
                    <w:jc w:val="left"/>
                    <w:jc w:val="center"/>
                  </w:pPr>
                  <w:r>
                    <w:rPr>
                      <w:i/>
                      <w:iCs/>
                    </w:rPr>
                    <w:t xml:space="preserve">Oscillatoria cf. chalybea</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19.0</w:t>
                  </w:r>
                </w:p>
              </w:tc>
              <w:tc>
                <w:tcPr/>
                <w:p>
                  <w:pPr>
                    <w:pStyle w:val="Compact"/>
                    <w:jc w:val="left"/>
                    <w:jc w:val="center"/>
                  </w:pPr>
                  <w:r>
                    <w:t xml:space="preserve">0.12</w:t>
                  </w:r>
                </w:p>
              </w:tc>
              <w:tc>
                <w:tcPr/>
                <w:p>
                  <w:pPr>
                    <w:pStyle w:val="Compact"/>
                    <w:jc w:val="left"/>
                    <w:jc w:val="center"/>
                  </w:pPr>
                  <w:r>
                    <w:t xml:space="preserve">(Van Der Ploeg et al., 1995)</w:t>
                  </w:r>
                </w:p>
              </w:tc>
            </w:tr>
            <w:tr>
              <w:tc>
                <w:tcPr/>
                <w:p>
                  <w:pPr>
                    <w:pStyle w:val="Compact"/>
                    <w:jc w:val="left"/>
                    <w:jc w:val="center"/>
                  </w:pPr>
                  <w:r>
                    <w:rPr>
                      <w:i/>
                      <w:iCs/>
                    </w:rPr>
                    <w:t xml:space="preserve">Oscillatoria cf. chalybea</w:t>
                  </w:r>
                </w:p>
              </w:tc>
              <w:tc>
                <w:tcPr/>
                <w:p>
                  <w:pPr>
                    <w:pStyle w:val="Compact"/>
                    <w:jc w:val="left"/>
                    <w:jc w:val="center"/>
                  </w:pPr>
                  <w:r>
                    <w:t xml:space="preserve">BG11</w:t>
                  </w:r>
                </w:p>
              </w:tc>
              <w:tc>
                <w:tcPr/>
                <w:p>
                  <w:pPr>
                    <w:pStyle w:val="Compact"/>
                    <w:jc w:val="left"/>
                    <w:jc w:val="center"/>
                  </w:pPr>
                  <w:r>
                    <w:t xml:space="preserve">80.0</w:t>
                  </w:r>
                </w:p>
              </w:tc>
              <w:tc>
                <w:tcPr/>
                <w:p>
                  <w:pPr>
                    <w:pStyle w:val="Compact"/>
                    <w:jc w:val="left"/>
                    <w:jc w:val="center"/>
                  </w:pPr>
                  <w:r>
                    <w:t xml:space="preserve">28.0</w:t>
                  </w:r>
                </w:p>
              </w:tc>
              <w:tc>
                <w:tcPr/>
                <w:p>
                  <w:pPr>
                    <w:pStyle w:val="Compact"/>
                    <w:jc w:val="left"/>
                    <w:jc w:val="center"/>
                  </w:pPr>
                  <w:r>
                    <w:t xml:space="preserve">0.62</w:t>
                  </w:r>
                </w:p>
              </w:tc>
              <w:tc>
                <w:tcPr/>
                <w:p>
                  <w:pPr>
                    <w:pStyle w:val="Compact"/>
                    <w:jc w:val="left"/>
                    <w:jc w:val="center"/>
                  </w:pPr>
                  <w:r>
                    <w:t xml:space="preserve">(Van Der Ploeg et al., 1995)</w:t>
                  </w:r>
                </w:p>
              </w:tc>
            </w:tr>
            <w:tr>
              <w:tc>
                <w:tcPr/>
                <w:p>
                  <w:pPr>
                    <w:pStyle w:val="Compact"/>
                    <w:jc w:val="left"/>
                    <w:jc w:val="center"/>
                  </w:pPr>
                  <w:r>
                    <w:rPr>
                      <w:i/>
                      <w:iCs/>
                    </w:rPr>
                    <w:t xml:space="preserve">Oscillatoria cf. chalybea</w:t>
                  </w:r>
                </w:p>
              </w:tc>
              <w:tc>
                <w:tcPr/>
                <w:p>
                  <w:pPr>
                    <w:pStyle w:val="Compact"/>
                    <w:jc w:val="left"/>
                    <w:jc w:val="center"/>
                  </w:pPr>
                  <w:r>
                    <w:t xml:space="preserve">BG11</w:t>
                  </w:r>
                </w:p>
              </w:tc>
              <w:tc>
                <w:tcPr/>
                <w:p>
                  <w:pPr>
                    <w:pStyle w:val="Compact"/>
                    <w:jc w:val="left"/>
                    <w:jc w:val="center"/>
                  </w:pPr>
                  <w:r>
                    <w:t xml:space="preserve">73.0</w:t>
                  </w:r>
                </w:p>
              </w:tc>
              <w:tc>
                <w:tcPr/>
                <w:p>
                  <w:pPr>
                    <w:pStyle w:val="Compact"/>
                    <w:jc w:val="left"/>
                    <w:jc w:val="center"/>
                  </w:pPr>
                  <w:r>
                    <w:t xml:space="preserve">28.0</w:t>
                  </w:r>
                </w:p>
              </w:tc>
              <w:tc>
                <w:tcPr/>
                <w:p>
                  <w:pPr>
                    <w:pStyle w:val="Compact"/>
                    <w:jc w:val="left"/>
                    <w:jc w:val="center"/>
                  </w:pPr>
                  <w:r>
                    <w:t xml:space="preserve">0.59</w:t>
                  </w:r>
                </w:p>
              </w:tc>
              <w:tc>
                <w:tcPr/>
                <w:p>
                  <w:pPr>
                    <w:pStyle w:val="Compact"/>
                    <w:jc w:val="left"/>
                    <w:jc w:val="center"/>
                  </w:pPr>
                  <w:r>
                    <w:t xml:space="preserve">(Van Der Ploeg et al., 1995)</w:t>
                  </w:r>
                </w:p>
              </w:tc>
            </w:tr>
            <w:tr>
              <w:tc>
                <w:tcPr/>
                <w:p>
                  <w:pPr>
                    <w:pStyle w:val="Compact"/>
                    <w:jc w:val="left"/>
                    <w:jc w:val="center"/>
                  </w:pPr>
                  <w:r>
                    <w:rPr>
                      <w:i/>
                      <w:iCs/>
                    </w:rPr>
                    <w:t xml:space="preserve">Oscillatoria cf. chalybea</w:t>
                  </w:r>
                </w:p>
              </w:tc>
              <w:tc>
                <w:tcPr/>
                <w:p>
                  <w:pPr>
                    <w:pStyle w:val="Compact"/>
                    <w:jc w:val="left"/>
                    <w:jc w:val="center"/>
                  </w:pPr>
                  <w:r>
                    <w:t xml:space="preserve">BG11</w:t>
                  </w:r>
                </w:p>
              </w:tc>
              <w:tc>
                <w:tcPr/>
                <w:p>
                  <w:pPr>
                    <w:pStyle w:val="Compact"/>
                    <w:jc w:val="left"/>
                    <w:jc w:val="center"/>
                  </w:pPr>
                  <w:r>
                    <w:t xml:space="preserve">65.3</w:t>
                  </w:r>
                </w:p>
              </w:tc>
              <w:tc>
                <w:tcPr/>
                <w:p>
                  <w:pPr>
                    <w:pStyle w:val="Compact"/>
                    <w:jc w:val="left"/>
                    <w:jc w:val="center"/>
                  </w:pPr>
                  <w:r>
                    <w:t xml:space="preserve">28.0</w:t>
                  </w:r>
                </w:p>
              </w:tc>
              <w:tc>
                <w:tcPr/>
                <w:p>
                  <w:pPr>
                    <w:pStyle w:val="Compact"/>
                    <w:jc w:val="left"/>
                    <w:jc w:val="center"/>
                  </w:pPr>
                  <w:r>
                    <w:t xml:space="preserve">0.50</w:t>
                  </w:r>
                </w:p>
              </w:tc>
              <w:tc>
                <w:tcPr/>
                <w:p>
                  <w:pPr>
                    <w:pStyle w:val="Compact"/>
                    <w:jc w:val="left"/>
                    <w:jc w:val="center"/>
                  </w:pPr>
                  <w:r>
                    <w:t xml:space="preserve">(Van Der Ploeg et al., 1995)</w:t>
                  </w:r>
                </w:p>
              </w:tc>
            </w:tr>
            <w:tr>
              <w:tc>
                <w:tcPr/>
                <w:p>
                  <w:pPr>
                    <w:pStyle w:val="Compact"/>
                    <w:jc w:val="left"/>
                    <w:jc w:val="center"/>
                  </w:pPr>
                  <w:r>
                    <w:rPr>
                      <w:i/>
                      <w:iCs/>
                    </w:rPr>
                    <w:t xml:space="preserve">Oscillatoria cf. chalybea</w:t>
                  </w:r>
                </w:p>
              </w:tc>
              <w:tc>
                <w:tcPr/>
                <w:p>
                  <w:pPr>
                    <w:pStyle w:val="Compact"/>
                    <w:jc w:val="left"/>
                    <w:jc w:val="center"/>
                  </w:pPr>
                  <w:r>
                    <w:t xml:space="preserve">BG11</w:t>
                  </w:r>
                </w:p>
              </w:tc>
              <w:tc>
                <w:tcPr/>
                <w:p>
                  <w:pPr>
                    <w:pStyle w:val="Compact"/>
                    <w:jc w:val="left"/>
                    <w:jc w:val="center"/>
                  </w:pPr>
                  <w:r>
                    <w:t xml:space="preserve">40.4</w:t>
                  </w:r>
                </w:p>
              </w:tc>
              <w:tc>
                <w:tcPr/>
                <w:p>
                  <w:pPr>
                    <w:pStyle w:val="Compact"/>
                    <w:jc w:val="left"/>
                    <w:jc w:val="center"/>
                  </w:pPr>
                  <w:r>
                    <w:t xml:space="preserve">28.0</w:t>
                  </w:r>
                </w:p>
              </w:tc>
              <w:tc>
                <w:tcPr/>
                <w:p>
                  <w:pPr>
                    <w:pStyle w:val="Compact"/>
                    <w:jc w:val="left"/>
                    <w:jc w:val="center"/>
                  </w:pPr>
                  <w:r>
                    <w:t xml:space="preserve">0.28</w:t>
                  </w:r>
                </w:p>
              </w:tc>
              <w:tc>
                <w:tcPr/>
                <w:p>
                  <w:pPr>
                    <w:pStyle w:val="Compact"/>
                    <w:jc w:val="left"/>
                    <w:jc w:val="center"/>
                  </w:pPr>
                  <w:r>
                    <w:t xml:space="preserve">(Van Der Ploeg et al., 1995)</w:t>
                  </w:r>
                </w:p>
              </w:tc>
            </w:tr>
            <w:tr>
              <w:tc>
                <w:tcPr/>
                <w:p>
                  <w:pPr>
                    <w:pStyle w:val="Compact"/>
                    <w:jc w:val="left"/>
                    <w:jc w:val="center"/>
                  </w:pPr>
                  <w:r>
                    <w:rPr>
                      <w:i/>
                      <w:iCs/>
                    </w:rPr>
                    <w:t xml:space="preserve">Oscillatoria cf. chalybea</w:t>
                  </w:r>
                </w:p>
              </w:tc>
              <w:tc>
                <w:tcPr/>
                <w:p>
                  <w:pPr>
                    <w:pStyle w:val="Compact"/>
                    <w:jc w:val="left"/>
                    <w:jc w:val="center"/>
                  </w:pPr>
                  <w:r>
                    <w:t xml:space="preserve">BG11</w:t>
                  </w:r>
                </w:p>
              </w:tc>
              <w:tc>
                <w:tcPr/>
                <w:p>
                  <w:pPr>
                    <w:pStyle w:val="Compact"/>
                    <w:jc w:val="left"/>
                    <w:jc w:val="center"/>
                  </w:pPr>
                  <w:r>
                    <w:t xml:space="preserve">31.9</w:t>
                  </w:r>
                </w:p>
              </w:tc>
              <w:tc>
                <w:tcPr/>
                <w:p>
                  <w:pPr>
                    <w:pStyle w:val="Compact"/>
                    <w:jc w:val="left"/>
                    <w:jc w:val="center"/>
                  </w:pPr>
                  <w:r>
                    <w:t xml:space="preserve">28.0</w:t>
                  </w:r>
                </w:p>
              </w:tc>
              <w:tc>
                <w:tcPr/>
                <w:p>
                  <w:pPr>
                    <w:pStyle w:val="Compact"/>
                    <w:jc w:val="left"/>
                    <w:jc w:val="center"/>
                  </w:pPr>
                  <w:r>
                    <w:t xml:space="preserve">0.31</w:t>
                  </w:r>
                </w:p>
              </w:tc>
              <w:tc>
                <w:tcPr/>
                <w:p>
                  <w:pPr>
                    <w:pStyle w:val="Compact"/>
                    <w:jc w:val="left"/>
                    <w:jc w:val="center"/>
                  </w:pPr>
                  <w:r>
                    <w:t xml:space="preserve">(Van Der Ploeg et al., 1995)</w:t>
                  </w:r>
                </w:p>
              </w:tc>
            </w:tr>
            <w:tr>
              <w:tc>
                <w:tcPr/>
                <w:p>
                  <w:pPr>
                    <w:pStyle w:val="Compact"/>
                    <w:jc w:val="left"/>
                    <w:jc w:val="center"/>
                  </w:pPr>
                  <w:r>
                    <w:rPr>
                      <w:i/>
                      <w:iCs/>
                    </w:rPr>
                    <w:t xml:space="preserve">Oscillatoria cf. chalybea</w:t>
                  </w:r>
                </w:p>
              </w:tc>
              <w:tc>
                <w:tcPr/>
                <w:p>
                  <w:pPr>
                    <w:pStyle w:val="Compact"/>
                    <w:jc w:val="left"/>
                    <w:jc w:val="center"/>
                  </w:pPr>
                  <w:r>
                    <w:t xml:space="preserve">BG11</w:t>
                  </w:r>
                </w:p>
              </w:tc>
              <w:tc>
                <w:tcPr/>
                <w:p>
                  <w:pPr>
                    <w:pStyle w:val="Compact"/>
                    <w:jc w:val="left"/>
                    <w:jc w:val="center"/>
                  </w:pPr>
                  <w:r>
                    <w:t xml:space="preserve">30.3</w:t>
                  </w:r>
                </w:p>
              </w:tc>
              <w:tc>
                <w:tcPr/>
                <w:p>
                  <w:pPr>
                    <w:pStyle w:val="Compact"/>
                    <w:jc w:val="left"/>
                    <w:jc w:val="center"/>
                  </w:pPr>
                  <w:r>
                    <w:t xml:space="preserve">28.0</w:t>
                  </w:r>
                </w:p>
              </w:tc>
              <w:tc>
                <w:tcPr/>
                <w:p>
                  <w:pPr>
                    <w:pStyle w:val="Compact"/>
                    <w:jc w:val="left"/>
                    <w:jc w:val="center"/>
                  </w:pPr>
                  <w:r>
                    <w:t xml:space="preserve">0.19</w:t>
                  </w:r>
                </w:p>
              </w:tc>
              <w:tc>
                <w:tcPr/>
                <w:p>
                  <w:pPr>
                    <w:pStyle w:val="Compact"/>
                    <w:jc w:val="left"/>
                    <w:jc w:val="center"/>
                  </w:pPr>
                  <w:r>
                    <w:t xml:space="preserve">(Van Der Ploeg et al., 1995)</w:t>
                  </w:r>
                </w:p>
              </w:tc>
            </w:tr>
            <w:tr>
              <w:tc>
                <w:tcPr/>
                <w:p>
                  <w:pPr>
                    <w:pStyle w:val="Compact"/>
                    <w:jc w:val="left"/>
                    <w:jc w:val="center"/>
                  </w:pPr>
                  <w:r>
                    <w:rPr>
                      <w:i/>
                      <w:iCs/>
                    </w:rPr>
                    <w:t xml:space="preserve">Oscillatoria limosa Agardh ex Gomont</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15.0</w:t>
                  </w:r>
                </w:p>
              </w:tc>
              <w:tc>
                <w:tcPr/>
                <w:p>
                  <w:pPr>
                    <w:pStyle w:val="Compact"/>
                    <w:jc w:val="left"/>
                    <w:jc w:val="center"/>
                  </w:pPr>
                  <w:r>
                    <w:t xml:space="preserve">0.26</w:t>
                  </w:r>
                </w:p>
              </w:tc>
              <w:tc>
                <w:tcPr/>
                <w:p>
                  <w:pPr>
                    <w:pStyle w:val="Compact"/>
                    <w:jc w:val="left"/>
                    <w:jc w:val="center"/>
                  </w:pPr>
                  <w:r>
                    <w:t xml:space="preserve">(Cai et al., 2017)</w:t>
                  </w:r>
                </w:p>
              </w:tc>
            </w:tr>
            <w:tr>
              <w:tc>
                <w:tcPr/>
                <w:p>
                  <w:pPr>
                    <w:pStyle w:val="Compact"/>
                    <w:jc w:val="left"/>
                    <w:jc w:val="center"/>
                  </w:pPr>
                  <w:r>
                    <w:rPr>
                      <w:i/>
                      <w:iCs/>
                    </w:rPr>
                    <w:t xml:space="preserve">Oscillatoria limosa Agardh ex Gomont</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0.28</w:t>
                  </w:r>
                </w:p>
              </w:tc>
              <w:tc>
                <w:tcPr/>
                <w:p>
                  <w:pPr>
                    <w:pStyle w:val="Compact"/>
                    <w:jc w:val="left"/>
                    <w:jc w:val="center"/>
                  </w:pPr>
                  <w:r>
                    <w:t xml:space="preserve">(Cai et al., 2017)</w:t>
                  </w:r>
                </w:p>
              </w:tc>
            </w:tr>
            <w:tr>
              <w:tc>
                <w:tcPr/>
                <w:p>
                  <w:pPr>
                    <w:pStyle w:val="Compact"/>
                    <w:jc w:val="left"/>
                    <w:jc w:val="center"/>
                  </w:pPr>
                  <w:r>
                    <w:rPr>
                      <w:i/>
                      <w:iCs/>
                    </w:rPr>
                    <w:t xml:space="preserve">Oscillatoria limosa Agardh ex Gomont</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35.0</w:t>
                  </w:r>
                </w:p>
              </w:tc>
              <w:tc>
                <w:tcPr/>
                <w:p>
                  <w:pPr>
                    <w:pStyle w:val="Compact"/>
                    <w:jc w:val="left"/>
                    <w:jc w:val="center"/>
                  </w:pPr>
                  <w:r>
                    <w:t xml:space="preserve">0.12</w:t>
                  </w:r>
                </w:p>
              </w:tc>
              <w:tc>
                <w:tcPr/>
                <w:p>
                  <w:pPr>
                    <w:pStyle w:val="Compact"/>
                    <w:jc w:val="left"/>
                    <w:jc w:val="center"/>
                  </w:pPr>
                  <w:r>
                    <w:t xml:space="preserve">(Cai et al., 2017)</w:t>
                  </w:r>
                </w:p>
              </w:tc>
            </w:tr>
            <w:tr>
              <w:tc>
                <w:tcPr/>
                <w:p>
                  <w:pPr>
                    <w:pStyle w:val="Compact"/>
                    <w:jc w:val="left"/>
                    <w:jc w:val="center"/>
                  </w:pPr>
                  <w:r>
                    <w:rPr>
                      <w:i/>
                      <w:iCs/>
                    </w:rPr>
                    <w:t xml:space="preserve">Oscillatoria limosa Agardh ex Gomont</w:t>
                  </w:r>
                </w:p>
              </w:tc>
              <w:tc>
                <w:tcPr/>
                <w:p>
                  <w:pPr>
                    <w:pStyle w:val="Compact"/>
                    <w:jc w:val="left"/>
                    <w:jc w:val="center"/>
                  </w:pPr>
                  <w:r>
                    <w:t xml:space="preserve">CT</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0.32</w:t>
                  </w:r>
                </w:p>
              </w:tc>
              <w:tc>
                <w:tcPr/>
                <w:p>
                  <w:pPr>
                    <w:pStyle w:val="Compact"/>
                    <w:jc w:val="left"/>
                    <w:jc w:val="center"/>
                  </w:pPr>
                  <w:r>
                    <w:t xml:space="preserve">(Cai et al., 2017)</w:t>
                  </w:r>
                </w:p>
              </w:tc>
            </w:tr>
            <w:tr>
              <w:tc>
                <w:tcPr/>
                <w:p>
                  <w:pPr>
                    <w:pStyle w:val="Compact"/>
                    <w:jc w:val="left"/>
                    <w:jc w:val="center"/>
                  </w:pPr>
                  <w:r>
                    <w:rPr>
                      <w:i/>
                      <w:iCs/>
                    </w:rPr>
                    <w:t xml:space="preserve">Oscillatoria limosa Agardh ex Gomont</w:t>
                  </w:r>
                </w:p>
              </w:tc>
              <w:tc>
                <w:tcPr/>
                <w:p>
                  <w:pPr>
                    <w:pStyle w:val="Compact"/>
                    <w:jc w:val="left"/>
                    <w:jc w:val="center"/>
                  </w:pPr>
                  <w:r>
                    <w:t xml:space="preserve">CT</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0.26</w:t>
                  </w:r>
                </w:p>
              </w:tc>
              <w:tc>
                <w:tcPr/>
                <w:p>
                  <w:pPr>
                    <w:pStyle w:val="Compact"/>
                    <w:jc w:val="left"/>
                    <w:jc w:val="center"/>
                  </w:pPr>
                  <w:r>
                    <w:t xml:space="preserve">(Cai et al., 2017)</w:t>
                  </w:r>
                </w:p>
              </w:tc>
            </w:tr>
            <w:tr>
              <w:tc>
                <w:tcPr/>
                <w:p>
                  <w:pPr>
                    <w:pStyle w:val="Compact"/>
                    <w:jc w:val="left"/>
                    <w:jc w:val="center"/>
                  </w:pPr>
                  <w:r>
                    <w:rPr>
                      <w:i/>
                      <w:iCs/>
                    </w:rPr>
                    <w:t xml:space="preserve">Oscillatoria limosa</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(Tiwari et al., 2001)</w:t>
                  </w:r>
                </w:p>
              </w:tc>
            </w:tr>
            <w:tr>
              <w:tc>
                <w:tcPr/>
                <w:p>
                  <w:pPr>
                    <w:pStyle w:val="Compact"/>
                    <w:jc w:val="left"/>
                    <w:jc w:val="center"/>
                  </w:pPr>
                  <w:r>
                    <w:rPr>
                      <w:i/>
                      <w:iCs/>
                    </w:rPr>
                    <w:t xml:space="preserve">Oscillatoria mougeotii</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0.56</w:t>
                  </w:r>
                </w:p>
              </w:tc>
              <w:tc>
                <w:tcPr/>
                <w:p>
                  <w:pPr>
                    <w:pStyle w:val="Compact"/>
                    <w:jc w:val="left"/>
                    <w:jc w:val="center"/>
                  </w:pPr>
                  <w:r>
                    <w:t xml:space="preserve">(Chu et al., 2007)</w:t>
                  </w:r>
                </w:p>
              </w:tc>
            </w:tr>
            <w:tr>
              <w:tc>
                <w:tcPr/>
                <w:p>
                  <w:pPr>
                    <w:pStyle w:val="Compact"/>
                    <w:jc w:val="left"/>
                    <w:jc w:val="center"/>
                  </w:pPr>
                  <w:r>
                    <w:rPr>
                      <w:i/>
                      <w:iCs/>
                    </w:rPr>
                    <w:t xml:space="preserve">Oscillatoria priestleyi O-salt</w:t>
                  </w:r>
                </w:p>
              </w:tc>
              <w:tc>
                <w:tcPr/>
                <w:p>
                  <w:pPr>
                    <w:pStyle w:val="Compact"/>
                    <w:jc w:val="left"/>
                    <w:jc w:val="center"/>
                  </w:pPr>
                  <w:r>
                    <w:t xml:space="preserve">BG20</w:t>
                  </w:r>
                </w:p>
              </w:tc>
              <w:tc>
                <w:tcPr/>
                <w:p>
                  <w:pPr>
                    <w:pStyle w:val="Compact"/>
                    <w:jc w:val="left"/>
                    <w:jc w:val="center"/>
                  </w:pPr>
                  <w:r>
                    <w:t xml:space="preserve">225.0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(Tang et al., 1997)</w:t>
                  </w:r>
                </w:p>
              </w:tc>
            </w:tr>
            <w:tr>
              <w:tc>
                <w:tcPr/>
                <w:p>
                  <w:pPr>
                    <w:pStyle w:val="Compact"/>
                    <w:jc w:val="left"/>
                    <w:jc w:val="center"/>
                  </w:pPr>
                  <w:r>
                    <w:rPr>
                      <w:i/>
                      <w:iCs/>
                    </w:rPr>
                    <w:t xml:space="preserve">Oscillatoria proteus</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0.07</w:t>
                  </w:r>
                </w:p>
              </w:tc>
              <w:tc>
                <w:tcPr/>
                <w:p>
                  <w:pPr>
                    <w:pStyle w:val="Compact"/>
                    <w:jc w:val="left"/>
                    <w:jc w:val="center"/>
                  </w:pPr>
                  <w:r>
                    <w:t xml:space="preserve">(Tiwari et al., 2001)</w:t>
                  </w:r>
                </w:p>
              </w:tc>
            </w:tr>
            <w:tr>
              <w:tc>
                <w:tcPr/>
                <w:p>
                  <w:pPr>
                    <w:pStyle w:val="Compact"/>
                    <w:jc w:val="left"/>
                    <w:jc w:val="center"/>
                  </w:pPr>
                  <w:r>
                    <w:rPr>
                      <w:i/>
                      <w:iCs/>
                    </w:rPr>
                    <w:t xml:space="preserve">Oscillatoria redekei</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1.32</w:t>
                  </w:r>
                </w:p>
              </w:tc>
              <w:tc>
                <w:tcPr/>
                <w:p>
                  <w:pPr>
                    <w:pStyle w:val="Compact"/>
                    <w:jc w:val="left"/>
                    <w:jc w:val="center"/>
                  </w:pPr>
                  <w:r>
                    <w:t xml:space="preserve">(Foy et al., 1976)</w:t>
                  </w:r>
                </w:p>
              </w:tc>
            </w:tr>
            <w:tr>
              <w:tc>
                <w:tcPr/>
                <w:p>
                  <w:pPr>
                    <w:pStyle w:val="Compact"/>
                    <w:jc w:val="left"/>
                    <w:jc w:val="center"/>
                  </w:pPr>
                  <w:r>
                    <w:rPr>
                      <w:i/>
                      <w:iCs/>
                    </w:rPr>
                    <w:t xml:space="preserve">Oscillatoria sancta</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0.08</w:t>
                  </w:r>
                </w:p>
              </w:tc>
              <w:tc>
                <w:tcPr/>
                <w:p>
                  <w:pPr>
                    <w:pStyle w:val="Compact"/>
                    <w:jc w:val="left"/>
                    <w:jc w:val="center"/>
                  </w:pPr>
                  <w:r>
                    <w:t xml:space="preserve">(Tiwari et al., 2001)</w:t>
                  </w:r>
                </w:p>
              </w:tc>
            </w:tr>
            <w:tr>
              <w:tc>
                <w:tcPr/>
                <w:p>
                  <w:pPr>
                    <w:pStyle w:val="Compact"/>
                    <w:jc w:val="left"/>
                    <w:jc w:val="center"/>
                  </w:pPr>
                  <w:r>
                    <w:rPr>
                      <w:i/>
                      <w:iCs/>
                    </w:rPr>
                    <w:t xml:space="preserve">Oscillatoria simplicissima</w:t>
                  </w:r>
                </w:p>
              </w:tc>
              <w:tc>
                <w:tcPr/>
                <w:p>
                  <w:pPr>
                    <w:pStyle w:val="Compact"/>
                  </w:pPr>
                </w:p>
              </w:tc>
              <w:tc>
                <w:tcPr/>
                <w:p>
                  <w:pPr>
                    <w:pStyle w:val="Compact"/>
                  </w:pP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(Venter et al., 2003)</w:t>
                  </w:r>
                </w:p>
              </w:tc>
            </w:tr>
            <w:tr>
              <w:tc>
                <w:tcPr/>
                <w:p>
                  <w:pPr>
                    <w:pStyle w:val="Compact"/>
                    <w:jc w:val="left"/>
                    <w:jc w:val="center"/>
                  </w:pPr>
                  <w:r>
                    <w:rPr>
                      <w:i/>
                      <w:iCs/>
                    </w:rPr>
                    <w:t xml:space="preserve">Oscillatoria simplicissima</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0.10</w:t>
                  </w:r>
                </w:p>
              </w:tc>
              <w:tc>
                <w:tcPr/>
                <w:p>
                  <w:pPr>
                    <w:pStyle w:val="Compact"/>
                    <w:jc w:val="left"/>
                    <w:jc w:val="center"/>
                  </w:pPr>
                  <w:r>
                    <w:t xml:space="preserve">(Tiwari et al., 2001)</w:t>
                  </w:r>
                </w:p>
              </w:tc>
            </w:tr>
            <w:tr>
              <w:tc>
                <w:tcPr/>
                <w:p>
                  <w:pPr>
                    <w:pStyle w:val="Compact"/>
                    <w:jc w:val="left"/>
                    <w:jc w:val="center"/>
                  </w:pPr>
                  <w:r>
                    <w:rPr>
                      <w:i/>
                      <w:iCs/>
                    </w:rPr>
                    <w:t xml:space="preserve">Oscillatoria sp. E17</w:t>
                  </w:r>
                </w:p>
              </w:tc>
              <w:tc>
                <w:tcPr/>
                <w:p>
                  <w:pPr>
                    <w:pStyle w:val="Compact"/>
                    <w:jc w:val="left"/>
                    <w:jc w:val="center"/>
                  </w:pPr>
                  <w:r>
                    <w:t xml:space="preserve">BG18</w:t>
                  </w:r>
                </w:p>
              </w:tc>
              <w:tc>
                <w:tcPr/>
                <w:p>
                  <w:pPr>
                    <w:pStyle w:val="Compact"/>
                    <w:jc w:val="left"/>
                    <w:jc w:val="center"/>
                  </w:pPr>
                  <w:r>
                    <w:t xml:space="preserve">225.0</w:t>
                  </w:r>
                </w:p>
              </w:tc>
              <w:tc>
                <w:tcPr/>
                <w:p>
                  <w:pPr>
                    <w:pStyle w:val="Compact"/>
                    <w:jc w:val="left"/>
                    <w:jc w:val="center"/>
                  </w:pPr>
                  <w:r>
                    <w:t xml:space="preserve">18.3</w:t>
                  </w:r>
                </w:p>
              </w:tc>
              <w:tc>
                <w:tcPr/>
                <w:p>
                  <w:pPr>
                    <w:pStyle w:val="Compact"/>
                    <w:jc w:val="left"/>
                    <w:jc w:val="center"/>
                  </w:pPr>
                  <w:r>
                    <w:t xml:space="preserve">0.23</w:t>
                  </w:r>
                </w:p>
              </w:tc>
              <w:tc>
                <w:tcPr/>
                <w:p>
                  <w:pPr>
                    <w:pStyle w:val="Compact"/>
                    <w:jc w:val="left"/>
                    <w:jc w:val="center"/>
                  </w:pPr>
                  <w:r>
                    <w:t xml:space="preserve">(Tang et al., 1997)</w:t>
                  </w:r>
                </w:p>
              </w:tc>
            </w:tr>
            <w:tr>
              <w:tc>
                <w:tcPr/>
                <w:p>
                  <w:pPr>
                    <w:pStyle w:val="Compact"/>
                    <w:jc w:val="left"/>
                    <w:jc w:val="center"/>
                  </w:pPr>
                  <w:r>
                    <w:rPr>
                      <w:i/>
                      <w:iCs/>
                    </w:rPr>
                    <w:t xml:space="preserve">Oscillatoria sp. O-201</w:t>
                  </w:r>
                </w:p>
              </w:tc>
              <w:tc>
                <w:tcPr/>
                <w:p>
                  <w:pPr>
                    <w:pStyle w:val="Compact"/>
                    <w:jc w:val="left"/>
                    <w:jc w:val="center"/>
                  </w:pPr>
                  <w:r>
                    <w:t xml:space="preserve">BG32</w:t>
                  </w:r>
                </w:p>
              </w:tc>
              <w:tc>
                <w:tcPr/>
                <w:p>
                  <w:pPr>
                    <w:pStyle w:val="Compact"/>
                    <w:jc w:val="left"/>
                    <w:jc w:val="center"/>
                  </w:pPr>
                  <w:r>
                    <w:t xml:space="preserve">225.0</w:t>
                  </w:r>
                </w:p>
              </w:tc>
              <w:tc>
                <w:tcPr/>
                <w:p>
                  <w:pPr>
                    <w:pStyle w:val="Compact"/>
                    <w:jc w:val="left"/>
                    <w:jc w:val="center"/>
                  </w:pPr>
                  <w:r>
                    <w:t xml:space="preserve">15.0</w:t>
                  </w:r>
                </w:p>
              </w:tc>
              <w:tc>
                <w:tcPr/>
                <w:p>
                  <w:pPr>
                    <w:pStyle w:val="Compact"/>
                    <w:jc w:val="left"/>
                    <w:jc w:val="center"/>
                  </w:pPr>
                  <w:r>
                    <w:t xml:space="preserve">0.19</w:t>
                  </w:r>
                </w:p>
              </w:tc>
              <w:tc>
                <w:tcPr/>
                <w:p>
                  <w:pPr>
                    <w:pStyle w:val="Compact"/>
                    <w:jc w:val="left"/>
                    <w:jc w:val="center"/>
                  </w:pPr>
                  <w:r>
                    <w:t xml:space="preserve">(Tang et al., 1997)</w:t>
                  </w:r>
                </w:p>
              </w:tc>
            </w:tr>
            <w:tr>
              <w:tc>
                <w:tcPr/>
                <w:p>
                  <w:pPr>
                    <w:pStyle w:val="Compact"/>
                    <w:jc w:val="left"/>
                    <w:jc w:val="center"/>
                  </w:pPr>
                  <w:r>
                    <w:rPr>
                      <w:i/>
                      <w:iCs/>
                    </w:rPr>
                    <w:t xml:space="preserve">Oscillatoria vizagapatensis</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0.06</w:t>
                  </w:r>
                </w:p>
              </w:tc>
              <w:tc>
                <w:tcPr/>
                <w:p>
                  <w:pPr>
                    <w:pStyle w:val="Compact"/>
                    <w:jc w:val="left"/>
                    <w:jc w:val="center"/>
                  </w:pPr>
                  <w:r>
                    <w:t xml:space="preserve">(Tiwari et al., 2001)</w:t>
                  </w:r>
                </w:p>
              </w:tc>
            </w:tr>
            <w:tr>
              <w:tc>
                <w:tcPr/>
                <w:p>
                  <w:pPr>
                    <w:pStyle w:val="Compact"/>
                    <w:jc w:val="left"/>
                    <w:jc w:val="center"/>
                  </w:pPr>
                  <w:r>
                    <w:rPr>
                      <w:i/>
                      <w:iCs/>
                    </w:rPr>
                    <w:t xml:space="preserve">Oscillatoria</w:t>
                  </w:r>
                  <w:r>
                    <w:t xml:space="preserve"> </w:t>
                  </w:r>
                  <w:r>
                    <w:t xml:space="preserve">sp.</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1.11</w:t>
                  </w:r>
                </w:p>
              </w:tc>
              <w:tc>
                <w:tcPr/>
                <w:p>
                  <w:pPr>
                    <w:pStyle w:val="Compact"/>
                    <w:jc w:val="left"/>
                    <w:jc w:val="center"/>
                  </w:pPr>
                  <w:r>
                    <w:t xml:space="preserve">(Coles and Jones, 2000)</w:t>
                  </w:r>
                </w:p>
              </w:tc>
            </w:tr>
            <w:tr>
              <w:tc>
                <w:tcPr/>
                <w:p>
                  <w:pPr>
                    <w:pStyle w:val="Compact"/>
                    <w:jc w:val="left"/>
                    <w:jc w:val="center"/>
                  </w:pPr>
                  <w:r>
                    <w:rPr>
                      <w:i/>
                      <w:iCs/>
                    </w:rPr>
                    <w:t xml:space="preserve">Oscillatoria</w:t>
                  </w:r>
                  <w:r>
                    <w:t xml:space="preserve"> </w:t>
                  </w:r>
                  <w:r>
                    <w:t xml:space="preserve">sp.</w:t>
                  </w:r>
                </w:p>
              </w:tc>
              <w:tc>
                <w:tcPr/>
                <w:p>
                  <w:pPr>
                    <w:pStyle w:val="Compact"/>
                  </w:pPr>
                </w:p>
              </w:tc>
              <w:tc>
                <w:tcPr/>
                <w:p>
                  <w:pPr>
                    <w:pStyle w:val="Compact"/>
                  </w:pPr>
                </w:p>
              </w:tc>
              <w:tc>
                <w:tcPr/>
                <w:p>
                  <w:pPr>
                    <w:pStyle w:val="Compact"/>
                    <w:jc w:val="left"/>
                    <w:jc w:val="center"/>
                  </w:pPr>
                  <w:r>
                    <w:t xml:space="preserve">27.0</w:t>
                  </w:r>
                </w:p>
              </w:tc>
              <w:tc>
                <w:tcPr/>
                <w:p>
                  <w:pPr>
                    <w:pStyle w:val="Compact"/>
                    <w:jc w:val="left"/>
                    <w:jc w:val="center"/>
                  </w:pPr>
                  <w:r>
                    <w:t xml:space="preserve">0.36</w:t>
                  </w:r>
                </w:p>
              </w:tc>
              <w:tc>
                <w:tcPr/>
                <w:p>
                  <w:pPr>
                    <w:pStyle w:val="Compact"/>
                    <w:jc w:val="left"/>
                    <w:jc w:val="center"/>
                  </w:pPr>
                  <w:r>
                    <w:t xml:space="preserve">(Novak and Brune, 1985)</w:t>
                  </w:r>
                </w:p>
              </w:tc>
            </w:tr>
            <w:tr>
              <w:tc>
                <w:tcPr/>
                <w:p>
                  <w:pPr>
                    <w:pStyle w:val="Compact"/>
                    <w:jc w:val="left"/>
                    <w:jc w:val="center"/>
                  </w:pPr>
                  <w:r>
                    <w:rPr>
                      <w:i/>
                      <w:iCs/>
                    </w:rPr>
                    <w:t xml:space="preserve">Phormidium amoenum Pho012</w:t>
                  </w:r>
                </w:p>
              </w:tc>
              <w:tc>
                <w:tcPr/>
                <w:p>
                  <w:pPr>
                    <w:pStyle w:val="Compact"/>
                    <w:jc w:val="left"/>
                    <w:jc w:val="center"/>
                  </w:pPr>
                  <w:r>
                    <w:t xml:space="preserve">ASM</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0.15</w:t>
                  </w:r>
                </w:p>
              </w:tc>
              <w:tc>
                <w:tcPr/>
                <w:p>
                  <w:pPr>
                    <w:pStyle w:val="Compact"/>
                    <w:jc w:val="left"/>
                    <w:jc w:val="center"/>
                  </w:pPr>
                  <w:r>
                    <w:t xml:space="preserve">(Li et al., 2012)</w:t>
                  </w:r>
                </w:p>
              </w:tc>
            </w:tr>
            <w:tr>
              <w:tc>
                <w:tcPr/>
                <w:p>
                  <w:pPr>
                    <w:pStyle w:val="Compact"/>
                    <w:jc w:val="left"/>
                    <w:jc w:val="center"/>
                  </w:pPr>
                  <w:r>
                    <w:rPr>
                      <w:i/>
                      <w:iCs/>
                    </w:rPr>
                    <w:t xml:space="preserve">Phormidium amoenum Pho012</w:t>
                  </w:r>
                </w:p>
              </w:tc>
              <w:tc>
                <w:tcPr/>
                <w:p>
                  <w:pPr>
                    <w:pStyle w:val="Compact"/>
                    <w:jc w:val="left"/>
                    <w:jc w:val="center"/>
                  </w:pPr>
                  <w:r>
                    <w:t xml:space="preserve">ASM</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0.07</w:t>
                  </w:r>
                </w:p>
              </w:tc>
              <w:tc>
                <w:tcPr/>
                <w:p>
                  <w:pPr>
                    <w:pStyle w:val="Compact"/>
                    <w:jc w:val="left"/>
                    <w:jc w:val="center"/>
                  </w:pPr>
                  <w:r>
                    <w:t xml:space="preserve">(Li et al., 2012)</w:t>
                  </w:r>
                </w:p>
              </w:tc>
            </w:tr>
            <w:tr>
              <w:tc>
                <w:tcPr/>
                <w:p>
                  <w:pPr>
                    <w:pStyle w:val="Compact"/>
                    <w:jc w:val="left"/>
                    <w:jc w:val="center"/>
                  </w:pPr>
                  <w:r>
                    <w:rPr>
                      <w:i/>
                      <w:iCs/>
                    </w:rPr>
                    <w:t xml:space="preserve">Phormidium amoenum Pho012</w:t>
                  </w:r>
                </w:p>
              </w:tc>
              <w:tc>
                <w:tcPr/>
                <w:p>
                  <w:pPr>
                    <w:pStyle w:val="Compact"/>
                    <w:jc w:val="left"/>
                    <w:jc w:val="center"/>
                  </w:pPr>
                  <w:r>
                    <w:t xml:space="preserve">ASM</w:t>
                  </w:r>
                </w:p>
              </w:tc>
              <w:tc>
                <w:tcPr/>
                <w:p>
                  <w:pPr>
                    <w:pStyle w:val="Compact"/>
                    <w:jc w:val="left"/>
                    <w:jc w:val="center"/>
                  </w:pPr>
                  <w:r>
                    <w:t xml:space="preserve">100.0</w:t>
                  </w:r>
                </w:p>
              </w:tc>
              <w:tc>
                <w:tcPr/>
                <w:p>
                  <w:pPr>
                    <w:pStyle w:val="Compact"/>
                    <w:jc w:val="left"/>
                    <w:jc w:val="center"/>
                  </w:pPr>
                  <w:r>
                    <w:t xml:space="preserve">18.0</w:t>
                  </w:r>
                </w:p>
              </w:tc>
              <w:tc>
                <w:tcPr/>
                <w:p>
                  <w:pPr>
                    <w:pStyle w:val="Compact"/>
                    <w:jc w:val="left"/>
                    <w:jc w:val="center"/>
                  </w:pPr>
                  <w:r>
                    <w:t xml:space="preserve">0.08</w:t>
                  </w:r>
                </w:p>
              </w:tc>
              <w:tc>
                <w:tcPr/>
                <w:p>
                  <w:pPr>
                    <w:pStyle w:val="Compact"/>
                    <w:jc w:val="left"/>
                    <w:jc w:val="center"/>
                  </w:pPr>
                  <w:r>
                    <w:t xml:space="preserve">(Li et al., 2012)</w:t>
                  </w:r>
                </w:p>
              </w:tc>
            </w:tr>
            <w:tr>
              <w:tc>
                <w:tcPr/>
                <w:p>
                  <w:pPr>
                    <w:pStyle w:val="Compact"/>
                    <w:jc w:val="left"/>
                    <w:jc w:val="center"/>
                  </w:pPr>
                  <w:r>
                    <w:rPr>
                      <w:i/>
                      <w:iCs/>
                    </w:rPr>
                    <w:t xml:space="preserve">Phormidium amoenum Pho012</w:t>
                  </w:r>
                </w:p>
              </w:tc>
              <w:tc>
                <w:tcPr/>
                <w:p>
                  <w:pPr>
                    <w:pStyle w:val="Compact"/>
                    <w:jc w:val="left"/>
                    <w:jc w:val="center"/>
                  </w:pPr>
                  <w:r>
                    <w:t xml:space="preserve">ASM</w:t>
                  </w:r>
                </w:p>
              </w:tc>
              <w:tc>
                <w:tcPr/>
                <w:p>
                  <w:pPr>
                    <w:pStyle w:val="Compact"/>
                    <w:jc w:val="left"/>
                    <w:jc w:val="center"/>
                  </w:pPr>
                  <w:r>
                    <w:t xml:space="preserve">10.0</w:t>
                  </w:r>
                </w:p>
              </w:tc>
              <w:tc>
                <w:tcPr/>
                <w:p>
                  <w:pPr>
                    <w:pStyle w:val="Compact"/>
                    <w:jc w:val="left"/>
                    <w:jc w:val="center"/>
                  </w:pPr>
                  <w:r>
                    <w:t xml:space="preserve">18.0</w:t>
                  </w:r>
                </w:p>
              </w:tc>
              <w:tc>
                <w:tcPr/>
                <w:p>
                  <w:pPr>
                    <w:pStyle w:val="Compact"/>
                    <w:jc w:val="left"/>
                    <w:jc w:val="center"/>
                  </w:pPr>
                  <w:r>
                    <w:t xml:space="preserve">0.10</w:t>
                  </w:r>
                </w:p>
              </w:tc>
              <w:tc>
                <w:tcPr/>
                <w:p>
                  <w:pPr>
                    <w:pStyle w:val="Compact"/>
                    <w:jc w:val="left"/>
                    <w:jc w:val="center"/>
                  </w:pPr>
                  <w:r>
                    <w:t xml:space="preserve">(Li et al., 2012)</w:t>
                  </w:r>
                </w:p>
              </w:tc>
            </w:tr>
            <w:tr>
              <w:tc>
                <w:tcPr/>
                <w:p>
                  <w:pPr>
                    <w:pStyle w:val="Compact"/>
                    <w:jc w:val="left"/>
                    <w:jc w:val="center"/>
                  </w:pPr>
                  <w:r>
                    <w:rPr>
                      <w:i/>
                      <w:iCs/>
                    </w:rPr>
                    <w:t xml:space="preserve">Phormidium angustissimum</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0.10</w:t>
                  </w:r>
                </w:p>
              </w:tc>
              <w:tc>
                <w:tcPr/>
                <w:p>
                  <w:pPr>
                    <w:pStyle w:val="Compact"/>
                    <w:jc w:val="left"/>
                    <w:jc w:val="center"/>
                  </w:pPr>
                  <w:r>
                    <w:t xml:space="preserve">(Tiwari et al., 2001)</w:t>
                  </w:r>
                </w:p>
              </w:tc>
            </w:tr>
            <w:tr>
              <w:tc>
                <w:tcPr/>
                <w:p>
                  <w:pPr>
                    <w:pStyle w:val="Compact"/>
                    <w:jc w:val="left"/>
                    <w:jc w:val="center"/>
                  </w:pPr>
                  <w:r>
                    <w:rPr>
                      <w:i/>
                      <w:iCs/>
                    </w:rPr>
                    <w:t xml:space="preserve">Phormidium autumnale O-152</w:t>
                  </w:r>
                </w:p>
              </w:tc>
              <w:tc>
                <w:tcPr/>
                <w:p>
                  <w:pPr>
                    <w:pStyle w:val="Compact"/>
                    <w:jc w:val="left"/>
                    <w:jc w:val="center"/>
                  </w:pPr>
                  <w:r>
                    <w:t xml:space="preserve">BG28</w:t>
                  </w:r>
                </w:p>
              </w:tc>
              <w:tc>
                <w:tcPr/>
                <w:p>
                  <w:pPr>
                    <w:pStyle w:val="Compact"/>
                    <w:jc w:val="left"/>
                    <w:jc w:val="center"/>
                  </w:pPr>
                  <w:r>
                    <w:t xml:space="preserve">225.0</w:t>
                  </w:r>
                </w:p>
              </w:tc>
              <w:tc>
                <w:tcPr/>
                <w:p>
                  <w:pPr>
                    <w:pStyle w:val="Compact"/>
                    <w:jc w:val="left"/>
                    <w:jc w:val="center"/>
                  </w:pPr>
                  <w:r>
                    <w:t xml:space="preserve">24.9</w:t>
                  </w:r>
                </w:p>
              </w:tc>
              <w:tc>
                <w:tcPr/>
                <w:p>
                  <w:pPr>
                    <w:pStyle w:val="Compact"/>
                    <w:jc w:val="left"/>
                    <w:jc w:val="center"/>
                  </w:pPr>
                  <w:r>
                    <w:t xml:space="preserve">0.15</w:t>
                  </w:r>
                </w:p>
              </w:tc>
              <w:tc>
                <w:tcPr/>
                <w:p>
                  <w:pPr>
                    <w:pStyle w:val="Compact"/>
                    <w:jc w:val="left"/>
                    <w:jc w:val="center"/>
                  </w:pPr>
                  <w:r>
                    <w:t xml:space="preserve">(Tang et al., 1997)</w:t>
                  </w:r>
                </w:p>
              </w:tc>
            </w:tr>
            <w:tr>
              <w:tc>
                <w:tcPr/>
                <w:p>
                  <w:pPr>
                    <w:pStyle w:val="Compact"/>
                    <w:jc w:val="left"/>
                    <w:jc w:val="center"/>
                  </w:pPr>
                  <w:r>
                    <w:rPr>
                      <w:i/>
                      <w:iCs/>
                    </w:rPr>
                    <w:t xml:space="preserve">Phormidium autumnale O-154</w:t>
                  </w:r>
                </w:p>
              </w:tc>
              <w:tc>
                <w:tcPr/>
                <w:p>
                  <w:pPr>
                    <w:pStyle w:val="Compact"/>
                    <w:jc w:val="left"/>
                    <w:jc w:val="center"/>
                  </w:pPr>
                  <w:r>
                    <w:t xml:space="preserve">BG29</w:t>
                  </w:r>
                </w:p>
              </w:tc>
              <w:tc>
                <w:tcPr/>
                <w:p>
                  <w:pPr>
                    <w:pStyle w:val="Compact"/>
                    <w:jc w:val="left"/>
                    <w:jc w:val="center"/>
                  </w:pPr>
                  <w:r>
                    <w:t xml:space="preserve">225.0</w:t>
                  </w:r>
                </w:p>
              </w:tc>
              <w:tc>
                <w:tcPr/>
                <w:p>
                  <w:pPr>
                    <w:pStyle w:val="Compact"/>
                    <w:jc w:val="left"/>
                    <w:jc w:val="center"/>
                  </w:pPr>
                  <w:r>
                    <w:t xml:space="preserve">25.0</w:t>
                  </w:r>
                </w:p>
              </w:tc>
              <w:tc>
                <w:tcPr/>
                <w:p>
                  <w:pPr>
                    <w:pStyle w:val="Compact"/>
                    <w:jc w:val="left"/>
                    <w:jc w:val="center"/>
                  </w:pPr>
                  <w:r>
                    <w:t xml:space="preserve">0.12</w:t>
                  </w:r>
                </w:p>
              </w:tc>
              <w:tc>
                <w:tcPr/>
                <w:p>
                  <w:pPr>
                    <w:pStyle w:val="Compact"/>
                    <w:jc w:val="left"/>
                    <w:jc w:val="center"/>
                  </w:pPr>
                  <w:r>
                    <w:t xml:space="preserve">(Tang et al., 1997)</w:t>
                  </w:r>
                </w:p>
              </w:tc>
            </w:tr>
            <w:tr>
              <w:tc>
                <w:tcPr/>
                <w:p>
                  <w:pPr>
                    <w:pStyle w:val="Compact"/>
                    <w:jc w:val="left"/>
                    <w:jc w:val="center"/>
                  </w:pPr>
                  <w:r>
                    <w:rPr>
                      <w:i/>
                      <w:iCs/>
                    </w:rPr>
                    <w:t xml:space="preserve">Phormidium bohneri</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1.59</w:t>
                  </w:r>
                </w:p>
              </w:tc>
              <w:tc>
                <w:tcPr/>
                <w:p>
                  <w:pPr>
                    <w:pStyle w:val="Compact"/>
                    <w:jc w:val="left"/>
                    <w:jc w:val="center"/>
                  </w:pPr>
                  <w:r>
                    <w:t xml:space="preserve">(TALBOT, 1991)</w:t>
                  </w:r>
                </w:p>
              </w:tc>
            </w:tr>
            <w:tr>
              <w:tc>
                <w:tcPr/>
                <w:p>
                  <w:pPr>
                    <w:pStyle w:val="Compact"/>
                    <w:jc w:val="left"/>
                    <w:jc w:val="center"/>
                  </w:pPr>
                  <w:r>
                    <w:rPr>
                      <w:i/>
                      <w:iCs/>
                    </w:rPr>
                    <w:t xml:space="preserve">Phormidium bohneri</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(Tiwari et al., 2001)</w:t>
                  </w:r>
                </w:p>
              </w:tc>
            </w:tr>
            <w:tr>
              <w:tc>
                <w:tcPr/>
                <w:p>
                  <w:pPr>
                    <w:pStyle w:val="Compact"/>
                    <w:jc w:val="left"/>
                    <w:jc w:val="center"/>
                  </w:pPr>
                  <w:r>
                    <w:rPr>
                      <w:i/>
                      <w:iCs/>
                    </w:rPr>
                    <w:t xml:space="preserve">Phormidium foveolarum</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(Tiwari et al., 2001)</w:t>
                  </w:r>
                </w:p>
              </w:tc>
            </w:tr>
            <w:tr>
              <w:tc>
                <w:tcPr/>
                <w:p>
                  <w:pPr>
                    <w:pStyle w:val="Compact"/>
                    <w:jc w:val="left"/>
                    <w:jc w:val="center"/>
                  </w:pPr>
                  <w:r>
                    <w:rPr>
                      <w:i/>
                      <w:iCs/>
                    </w:rPr>
                    <w:t xml:space="preserve">Phormidium fragile</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(Tiwari et al., 2001)</w:t>
                  </w:r>
                </w:p>
              </w:tc>
            </w:tr>
            <w:tr>
              <w:tc>
                <w:tcPr/>
                <w:p>
                  <w:pPr>
                    <w:pStyle w:val="Compact"/>
                    <w:jc w:val="left"/>
                    <w:jc w:val="center"/>
                  </w:pPr>
                  <w:r>
                    <w:rPr>
                      <w:i/>
                      <w:iCs/>
                    </w:rPr>
                    <w:t xml:space="preserve">Phormidium murrayi O-099</w:t>
                  </w:r>
                </w:p>
              </w:tc>
              <w:tc>
                <w:tcPr/>
                <w:p>
                  <w:pPr>
                    <w:pStyle w:val="Compact"/>
                    <w:jc w:val="left"/>
                    <w:jc w:val="center"/>
                  </w:pPr>
                  <w:r>
                    <w:t xml:space="preserve">BG24</w:t>
                  </w:r>
                </w:p>
              </w:tc>
              <w:tc>
                <w:tcPr/>
                <w:p>
                  <w:pPr>
                    <w:pStyle w:val="Compact"/>
                    <w:jc w:val="left"/>
                    <w:jc w:val="center"/>
                  </w:pPr>
                  <w:r>
                    <w:t xml:space="preserve">225.0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(Tang et al., 1997)</w:t>
                  </w:r>
                </w:p>
              </w:tc>
            </w:tr>
            <w:tr>
              <w:tc>
                <w:tcPr/>
                <w:p>
                  <w:pPr>
                    <w:pStyle w:val="Compact"/>
                    <w:jc w:val="left"/>
                    <w:jc w:val="center"/>
                  </w:pPr>
                  <w:r>
                    <w:rPr>
                      <w:i/>
                      <w:iCs/>
                    </w:rPr>
                    <w:t xml:space="preserve">Phormidium rubroterricola</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(Tiwari et al., 2001)</w:t>
                  </w:r>
                </w:p>
              </w:tc>
            </w:tr>
            <w:tr>
              <w:tc>
                <w:tcPr/>
                <w:p>
                  <w:pPr>
                    <w:pStyle w:val="Compact"/>
                    <w:jc w:val="left"/>
                    <w:jc w:val="center"/>
                  </w:pPr>
                  <w:r>
                    <w:rPr>
                      <w:i/>
                      <w:iCs/>
                    </w:rPr>
                    <w:t xml:space="preserve">Phormidium sp. E12</w:t>
                  </w:r>
                </w:p>
              </w:tc>
              <w:tc>
                <w:tcPr/>
                <w:p>
                  <w:pPr>
                    <w:pStyle w:val="Compact"/>
                    <w:jc w:val="left"/>
                    <w:jc w:val="center"/>
                  </w:pPr>
                  <w:r>
                    <w:t xml:space="preserve">BG17</w:t>
                  </w:r>
                </w:p>
              </w:tc>
              <w:tc>
                <w:tcPr/>
                <w:p>
                  <w:pPr>
                    <w:pStyle w:val="Compact"/>
                    <w:jc w:val="left"/>
                    <w:jc w:val="center"/>
                  </w:pPr>
                  <w:r>
                    <w:t xml:space="preserve">225.0</w:t>
                  </w:r>
                </w:p>
              </w:tc>
              <w:tc>
                <w:tcPr/>
                <w:p>
                  <w:pPr>
                    <w:pStyle w:val="Compact"/>
                    <w:jc w:val="left"/>
                    <w:jc w:val="center"/>
                  </w:pPr>
                  <w:r>
                    <w:t xml:space="preserve">24.9</w:t>
                  </w:r>
                </w:p>
              </w:tc>
              <w:tc>
                <w:tcPr/>
                <w:p>
                  <w:pPr>
                    <w:pStyle w:val="Compact"/>
                    <w:jc w:val="left"/>
                    <w:jc w:val="center"/>
                  </w:pPr>
                  <w:r>
                    <w:t xml:space="preserve">0.24</w:t>
                  </w:r>
                </w:p>
              </w:tc>
              <w:tc>
                <w:tcPr/>
                <w:p>
                  <w:pPr>
                    <w:pStyle w:val="Compact"/>
                    <w:jc w:val="left"/>
                    <w:jc w:val="center"/>
                  </w:pPr>
                  <w:r>
                    <w:t xml:space="preserve">(Tang et al., 1997)</w:t>
                  </w:r>
                </w:p>
              </w:tc>
            </w:tr>
            <w:tr>
              <w:tc>
                <w:tcPr/>
                <w:p>
                  <w:pPr>
                    <w:pStyle w:val="Compact"/>
                    <w:jc w:val="left"/>
                    <w:jc w:val="center"/>
                  </w:pPr>
                  <w:r>
                    <w:rPr>
                      <w:i/>
                      <w:iCs/>
                    </w:rPr>
                    <w:t xml:space="preserve">Phormidium sp. E18</w:t>
                  </w:r>
                </w:p>
              </w:tc>
              <w:tc>
                <w:tcPr/>
                <w:p>
                  <w:pPr>
                    <w:pStyle w:val="Compact"/>
                    <w:jc w:val="left"/>
                    <w:jc w:val="center"/>
                  </w:pPr>
                  <w:r>
                    <w:t xml:space="preserve">BG19</w:t>
                  </w:r>
                </w:p>
              </w:tc>
              <w:tc>
                <w:tcPr/>
                <w:p>
                  <w:pPr>
                    <w:pStyle w:val="Compact"/>
                    <w:jc w:val="left"/>
                    <w:jc w:val="center"/>
                  </w:pPr>
                  <w:r>
                    <w:t xml:space="preserve">225.0</w:t>
                  </w:r>
                </w:p>
              </w:tc>
              <w:tc>
                <w:tcPr/>
                <w:p>
                  <w:pPr>
                    <w:pStyle w:val="Compact"/>
                    <w:jc w:val="left"/>
                    <w:jc w:val="center"/>
                  </w:pPr>
                  <w:r>
                    <w:t xml:space="preserve">20.2</w:t>
                  </w:r>
                </w:p>
              </w:tc>
              <w:tc>
                <w:tcPr/>
                <w:p>
                  <w:pPr>
                    <w:pStyle w:val="Compact"/>
                    <w:jc w:val="left"/>
                    <w:jc w:val="center"/>
                  </w:pPr>
                  <w:r>
                    <w:t xml:space="preserve">0.29</w:t>
                  </w:r>
                </w:p>
              </w:tc>
              <w:tc>
                <w:tcPr/>
                <w:p>
                  <w:pPr>
                    <w:pStyle w:val="Compact"/>
                    <w:jc w:val="left"/>
                    <w:jc w:val="center"/>
                  </w:pPr>
                  <w:r>
                    <w:t xml:space="preserve">(Tang et al., 1997)</w:t>
                  </w:r>
                </w:p>
              </w:tc>
            </w:tr>
            <w:tr>
              <w:tc>
                <w:tcPr/>
                <w:p>
                  <w:pPr>
                    <w:pStyle w:val="Compact"/>
                    <w:jc w:val="left"/>
                    <w:jc w:val="center"/>
                  </w:pPr>
                  <w:r>
                    <w:rPr>
                      <w:i/>
                      <w:iCs/>
                    </w:rPr>
                    <w:t xml:space="preserve">Phormidium sp. E6a</w:t>
                  </w:r>
                </w:p>
              </w:tc>
              <w:tc>
                <w:tcPr/>
                <w:p>
                  <w:pPr>
                    <w:pStyle w:val="Compact"/>
                    <w:jc w:val="left"/>
                    <w:jc w:val="center"/>
                  </w:pPr>
                  <w:r>
                    <w:t xml:space="preserve">BG13</w:t>
                  </w:r>
                </w:p>
              </w:tc>
              <w:tc>
                <w:tcPr/>
                <w:p>
                  <w:pPr>
                    <w:pStyle w:val="Compact"/>
                    <w:jc w:val="left"/>
                    <w:jc w:val="center"/>
                  </w:pPr>
                  <w:r>
                    <w:t xml:space="preserve">225.0</w:t>
                  </w:r>
                </w:p>
              </w:tc>
              <w:tc>
                <w:tcPr/>
                <w:p>
                  <w:pPr>
                    <w:pStyle w:val="Compact"/>
                    <w:jc w:val="left"/>
                    <w:jc w:val="center"/>
                  </w:pPr>
                  <w:r>
                    <w:t xml:space="preserve">17.7</w:t>
                  </w:r>
                </w:p>
              </w:tc>
              <w:tc>
                <w:tcPr/>
                <w:p>
                  <w:pPr>
                    <w:pStyle w:val="Compact"/>
                    <w:jc w:val="left"/>
                    <w:jc w:val="center"/>
                  </w:pPr>
                  <w:r>
                    <w:t xml:space="preserve">0.17</w:t>
                  </w:r>
                </w:p>
              </w:tc>
              <w:tc>
                <w:tcPr/>
                <w:p>
                  <w:pPr>
                    <w:pStyle w:val="Compact"/>
                    <w:jc w:val="left"/>
                    <w:jc w:val="center"/>
                  </w:pPr>
                  <w:r>
                    <w:t xml:space="preserve">(Tang et al., 1997)</w:t>
                  </w:r>
                </w:p>
              </w:tc>
            </w:tr>
            <w:tr>
              <w:tc>
                <w:tcPr/>
                <w:p>
                  <w:pPr>
                    <w:pStyle w:val="Compact"/>
                    <w:jc w:val="left"/>
                    <w:jc w:val="center"/>
                  </w:pPr>
                  <w:r>
                    <w:rPr>
                      <w:i/>
                      <w:iCs/>
                    </w:rPr>
                    <w:t xml:space="preserve">Phormidium sp. E7</w:t>
                  </w:r>
                </w:p>
              </w:tc>
              <w:tc>
                <w:tcPr/>
                <w:p>
                  <w:pPr>
                    <w:pStyle w:val="Compact"/>
                    <w:jc w:val="left"/>
                    <w:jc w:val="center"/>
                  </w:pPr>
                  <w:r>
                    <w:t xml:space="preserve">BG14</w:t>
                  </w:r>
                </w:p>
              </w:tc>
              <w:tc>
                <w:tcPr/>
                <w:p>
                  <w:pPr>
                    <w:pStyle w:val="Compact"/>
                    <w:jc w:val="left"/>
                    <w:jc w:val="center"/>
                  </w:pPr>
                  <w:r>
                    <w:t xml:space="preserve">225.0</w:t>
                  </w:r>
                </w:p>
              </w:tc>
              <w:tc>
                <w:tcPr/>
                <w:p>
                  <w:pPr>
                    <w:pStyle w:val="Compact"/>
                    <w:jc w:val="left"/>
                    <w:jc w:val="center"/>
                  </w:pPr>
                  <w:r>
                    <w:t xml:space="preserve">20.8</w:t>
                  </w:r>
                </w:p>
              </w:tc>
              <w:tc>
                <w:tcPr/>
                <w:p>
                  <w:pPr>
                    <w:pStyle w:val="Compact"/>
                    <w:jc w:val="left"/>
                    <w:jc w:val="center"/>
                  </w:pPr>
                  <w:r>
                    <w:t xml:space="preserve">0.16</w:t>
                  </w:r>
                </w:p>
              </w:tc>
              <w:tc>
                <w:tcPr/>
                <w:p>
                  <w:pPr>
                    <w:pStyle w:val="Compact"/>
                    <w:jc w:val="left"/>
                    <w:jc w:val="center"/>
                  </w:pPr>
                  <w:r>
                    <w:t xml:space="preserve">(Tang et al., 1997)</w:t>
                  </w:r>
                </w:p>
              </w:tc>
            </w:tr>
            <w:tr>
              <w:tc>
                <w:tcPr/>
                <w:p>
                  <w:pPr>
                    <w:pStyle w:val="Compact"/>
                    <w:jc w:val="left"/>
                    <w:jc w:val="center"/>
                  </w:pPr>
                  <w:r>
                    <w:rPr>
                      <w:i/>
                      <w:iCs/>
                    </w:rPr>
                    <w:t xml:space="preserve">Phormidium sp. ElIb</w:t>
                  </w:r>
                </w:p>
              </w:tc>
              <w:tc>
                <w:tcPr/>
                <w:p>
                  <w:pPr>
                    <w:pStyle w:val="Compact"/>
                    <w:jc w:val="left"/>
                    <w:jc w:val="center"/>
                  </w:pPr>
                  <w:r>
                    <w:t xml:space="preserve">BG16</w:t>
                  </w:r>
                </w:p>
              </w:tc>
              <w:tc>
                <w:tcPr/>
                <w:p>
                  <w:pPr>
                    <w:pStyle w:val="Compact"/>
                    <w:jc w:val="left"/>
                    <w:jc w:val="center"/>
                  </w:pPr>
                  <w:r>
                    <w:t xml:space="preserve">225.0</w:t>
                  </w:r>
                </w:p>
              </w:tc>
              <w:tc>
                <w:tcPr/>
                <w:p>
                  <w:pPr>
                    <w:pStyle w:val="Compact"/>
                    <w:jc w:val="left"/>
                    <w:jc w:val="center"/>
                  </w:pPr>
                  <w:r>
                    <w:t xml:space="preserve">18.6</w:t>
                  </w:r>
                </w:p>
              </w:tc>
              <w:tc>
                <w:tcPr/>
                <w:p>
                  <w:pPr>
                    <w:pStyle w:val="Compact"/>
                    <w:jc w:val="left"/>
                    <w:jc w:val="center"/>
                  </w:pPr>
                  <w:r>
                    <w:t xml:space="preserve">0.28</w:t>
                  </w:r>
                </w:p>
              </w:tc>
              <w:tc>
                <w:tcPr/>
                <w:p>
                  <w:pPr>
                    <w:pStyle w:val="Compact"/>
                    <w:jc w:val="left"/>
                    <w:jc w:val="center"/>
                  </w:pPr>
                  <w:r>
                    <w:t xml:space="preserve">(Tang et al., 1997)</w:t>
                  </w:r>
                </w:p>
              </w:tc>
            </w:tr>
            <w:tr>
              <w:tc>
                <w:tcPr/>
                <w:p>
                  <w:pPr>
                    <w:pStyle w:val="Compact"/>
                    <w:jc w:val="left"/>
                    <w:jc w:val="center"/>
                  </w:pPr>
                  <w:r>
                    <w:rPr>
                      <w:i/>
                      <w:iCs/>
                    </w:rPr>
                    <w:t xml:space="preserve">Phormidium sp. Ella</w:t>
                  </w:r>
                </w:p>
              </w:tc>
              <w:tc>
                <w:tcPr/>
                <w:p>
                  <w:pPr>
                    <w:pStyle w:val="Compact"/>
                    <w:jc w:val="left"/>
                    <w:jc w:val="center"/>
                  </w:pPr>
                  <w:r>
                    <w:t xml:space="preserve">BG15</w:t>
                  </w:r>
                </w:p>
              </w:tc>
              <w:tc>
                <w:tcPr/>
                <w:p>
                  <w:pPr>
                    <w:pStyle w:val="Compact"/>
                    <w:jc w:val="left"/>
                    <w:jc w:val="center"/>
                  </w:pPr>
                  <w:r>
                    <w:t xml:space="preserve">225.0</w:t>
                  </w:r>
                </w:p>
              </w:tc>
              <w:tc>
                <w:tcPr/>
                <w:p>
                  <w:pPr>
                    <w:pStyle w:val="Compact"/>
                    <w:jc w:val="left"/>
                    <w:jc w:val="center"/>
                  </w:pPr>
                  <w:r>
                    <w:t xml:space="preserve">25.5</w:t>
                  </w:r>
                </w:p>
              </w:tc>
              <w:tc>
                <w:tcPr/>
                <w:p>
                  <w:pPr>
                    <w:pStyle w:val="Compact"/>
                    <w:jc w:val="left"/>
                    <w:jc w:val="center"/>
                  </w:pPr>
                  <w:r>
                    <w:t xml:space="preserve">0.17</w:t>
                  </w:r>
                </w:p>
              </w:tc>
              <w:tc>
                <w:tcPr/>
                <w:p>
                  <w:pPr>
                    <w:pStyle w:val="Compact"/>
                    <w:jc w:val="left"/>
                    <w:jc w:val="center"/>
                  </w:pPr>
                  <w:r>
                    <w:t xml:space="preserve">(Tang et al., 1997)</w:t>
                  </w:r>
                </w:p>
              </w:tc>
            </w:tr>
            <w:tr>
              <w:tc>
                <w:tcPr/>
                <w:p>
                  <w:pPr>
                    <w:pStyle w:val="Compact"/>
                    <w:jc w:val="left"/>
                    <w:jc w:val="center"/>
                  </w:pPr>
                  <w:r>
                    <w:rPr>
                      <w:i/>
                      <w:iCs/>
                    </w:rPr>
                    <w:t xml:space="preserve">Phormidium sp. F5</w:t>
                  </w:r>
                </w:p>
              </w:tc>
              <w:tc>
                <w:tcPr/>
                <w:p>
                  <w:pPr>
                    <w:pStyle w:val="Compact"/>
                    <w:jc w:val="left"/>
                    <w:jc w:val="center"/>
                  </w:pPr>
                  <w:r>
                    <w:t xml:space="preserve">BG12</w:t>
                  </w:r>
                </w:p>
              </w:tc>
              <w:tc>
                <w:tcPr/>
                <w:p>
                  <w:pPr>
                    <w:pStyle w:val="Compact"/>
                    <w:jc w:val="left"/>
                    <w:jc w:val="center"/>
                  </w:pPr>
                  <w:r>
                    <w:t xml:space="preserve">225.0</w:t>
                  </w:r>
                </w:p>
              </w:tc>
              <w:tc>
                <w:tcPr/>
                <w:p>
                  <w:pPr>
                    <w:pStyle w:val="Compact"/>
                    <w:jc w:val="left"/>
                    <w:jc w:val="center"/>
                  </w:pPr>
                  <w:r>
                    <w:t xml:space="preserve">20.1</w:t>
                  </w:r>
                </w:p>
              </w:tc>
              <w:tc>
                <w:tcPr/>
                <w:p>
                  <w:pPr>
                    <w:pStyle w:val="Compact"/>
                    <w:jc w:val="left"/>
                    <w:jc w:val="center"/>
                  </w:pPr>
                  <w:r>
                    <w:t xml:space="preserve">0.19</w:t>
                  </w:r>
                </w:p>
              </w:tc>
              <w:tc>
                <w:tcPr/>
                <w:p>
                  <w:pPr>
                    <w:pStyle w:val="Compact"/>
                    <w:jc w:val="left"/>
                    <w:jc w:val="center"/>
                  </w:pPr>
                  <w:r>
                    <w:t xml:space="preserve">(Tang et al., 1997)</w:t>
                  </w:r>
                </w:p>
              </w:tc>
            </w:tr>
            <w:tr>
              <w:tc>
                <w:tcPr/>
                <w:p>
                  <w:pPr>
                    <w:pStyle w:val="Compact"/>
                    <w:jc w:val="left"/>
                    <w:jc w:val="center"/>
                  </w:pPr>
                  <w:r>
                    <w:rPr>
                      <w:i/>
                      <w:iCs/>
                    </w:rPr>
                    <w:t xml:space="preserve">Phormidium sp. F9</w:t>
                  </w:r>
                </w:p>
              </w:tc>
              <w:tc>
                <w:tcPr/>
                <w:p>
                  <w:pPr>
                    <w:pStyle w:val="Compact"/>
                    <w:jc w:val="left"/>
                    <w:jc w:val="center"/>
                  </w:pPr>
                  <w:r>
                    <w:t xml:space="preserve">BG11</w:t>
                  </w:r>
                </w:p>
              </w:tc>
              <w:tc>
                <w:tcPr/>
                <w:p>
                  <w:pPr>
                    <w:pStyle w:val="Compact"/>
                    <w:jc w:val="left"/>
                    <w:jc w:val="center"/>
                  </w:pPr>
                  <w:r>
                    <w:t xml:space="preserve">225.0</w:t>
                  </w:r>
                </w:p>
              </w:tc>
              <w:tc>
                <w:tcPr/>
                <w:p>
                  <w:pPr>
                    <w:pStyle w:val="Compact"/>
                    <w:jc w:val="left"/>
                    <w:jc w:val="center"/>
                  </w:pPr>
                  <w:r>
                    <w:t xml:space="preserve">17.9</w:t>
                  </w:r>
                </w:p>
              </w:tc>
              <w:tc>
                <w:tcPr/>
                <w:p>
                  <w:pPr>
                    <w:pStyle w:val="Compact"/>
                    <w:jc w:val="left"/>
                    <w:jc w:val="center"/>
                  </w:pPr>
                  <w:r>
                    <w:t xml:space="preserve">0.20</w:t>
                  </w:r>
                </w:p>
              </w:tc>
              <w:tc>
                <w:tcPr/>
                <w:p>
                  <w:pPr>
                    <w:pStyle w:val="Compact"/>
                    <w:jc w:val="left"/>
                    <w:jc w:val="center"/>
                  </w:pPr>
                  <w:r>
                    <w:t xml:space="preserve">(Tang et al., 1997)</w:t>
                  </w:r>
                </w:p>
              </w:tc>
            </w:tr>
            <w:tr>
              <w:tc>
                <w:tcPr/>
                <w:p>
                  <w:pPr>
                    <w:pStyle w:val="Compact"/>
                    <w:jc w:val="left"/>
                    <w:jc w:val="center"/>
                  </w:pPr>
                  <w:r>
                    <w:rPr>
                      <w:i/>
                      <w:iCs/>
                    </w:rPr>
                    <w:t xml:space="preserve">Phormidium sp. O-025</w:t>
                  </w:r>
                </w:p>
              </w:tc>
              <w:tc>
                <w:tcPr/>
                <w:p>
                  <w:pPr>
                    <w:pStyle w:val="Compact"/>
                    <w:jc w:val="left"/>
                    <w:jc w:val="center"/>
                  </w:pPr>
                  <w:r>
                    <w:t xml:space="preserve">BG21</w:t>
                  </w:r>
                </w:p>
              </w:tc>
              <w:tc>
                <w:tcPr/>
                <w:p>
                  <w:pPr>
                    <w:pStyle w:val="Compact"/>
                    <w:jc w:val="left"/>
                    <w:jc w:val="center"/>
                  </w:pPr>
                  <w:r>
                    <w:t xml:space="preserve">225.0</w:t>
                  </w:r>
                </w:p>
              </w:tc>
              <w:tc>
                <w:tcPr/>
                <w:p>
                  <w:pPr>
                    <w:pStyle w:val="Compact"/>
                    <w:jc w:val="left"/>
                    <w:jc w:val="center"/>
                  </w:pPr>
                  <w:r>
                    <w:t xml:space="preserve">16.1</w:t>
                  </w:r>
                </w:p>
              </w:tc>
              <w:tc>
                <w:tcPr/>
                <w:p>
                  <w:pPr>
                    <w:pStyle w:val="Compact"/>
                    <w:jc w:val="left"/>
                    <w:jc w:val="center"/>
                  </w:pPr>
                  <w:r>
                    <w:t xml:space="preserve">0.20</w:t>
                  </w:r>
                </w:p>
              </w:tc>
              <w:tc>
                <w:tcPr/>
                <w:p>
                  <w:pPr>
                    <w:pStyle w:val="Compact"/>
                    <w:jc w:val="left"/>
                    <w:jc w:val="center"/>
                  </w:pPr>
                  <w:r>
                    <w:t xml:space="preserve">(Tang et al., 1997)</w:t>
                  </w:r>
                </w:p>
              </w:tc>
            </w:tr>
            <w:tr>
              <w:tc>
                <w:tcPr/>
                <w:p>
                  <w:pPr>
                    <w:pStyle w:val="Compact"/>
                    <w:jc w:val="left"/>
                    <w:jc w:val="center"/>
                  </w:pPr>
                  <w:r>
                    <w:rPr>
                      <w:i/>
                      <w:iCs/>
                    </w:rPr>
                    <w:t xml:space="preserve">Phormidium sp. O-042</w:t>
                  </w:r>
                </w:p>
              </w:tc>
              <w:tc>
                <w:tcPr/>
                <w:p>
                  <w:pPr>
                    <w:pStyle w:val="Compact"/>
                    <w:jc w:val="left"/>
                    <w:jc w:val="center"/>
                  </w:pPr>
                  <w:r>
                    <w:t xml:space="preserve">BG22</w:t>
                  </w:r>
                </w:p>
              </w:tc>
              <w:tc>
                <w:tcPr/>
                <w:p>
                  <w:pPr>
                    <w:pStyle w:val="Compact"/>
                    <w:jc w:val="left"/>
                    <w:jc w:val="center"/>
                  </w:pPr>
                  <w:r>
                    <w:t xml:space="preserve">225.0</w:t>
                  </w:r>
                </w:p>
              </w:tc>
              <w:tc>
                <w:tcPr/>
                <w:p>
                  <w:pPr>
                    <w:pStyle w:val="Compact"/>
                    <w:jc w:val="left"/>
                    <w:jc w:val="center"/>
                  </w:pPr>
                  <w:r>
                    <w:t xml:space="preserve">15.0</w:t>
                  </w:r>
                </w:p>
              </w:tc>
              <w:tc>
                <w:tcPr/>
                <w:p>
                  <w:pPr>
                    <w:pStyle w:val="Compact"/>
                    <w:jc w:val="left"/>
                    <w:jc w:val="center"/>
                  </w:pPr>
                  <w:r>
                    <w:t xml:space="preserve">0.31</w:t>
                  </w:r>
                </w:p>
              </w:tc>
              <w:tc>
                <w:tcPr/>
                <w:p>
                  <w:pPr>
                    <w:pStyle w:val="Compact"/>
                    <w:jc w:val="left"/>
                    <w:jc w:val="center"/>
                  </w:pPr>
                  <w:r>
                    <w:t xml:space="preserve">(Tang et al., 1997)</w:t>
                  </w:r>
                </w:p>
              </w:tc>
            </w:tr>
            <w:tr>
              <w:tc>
                <w:tcPr/>
                <w:p>
                  <w:pPr>
                    <w:pStyle w:val="Compact"/>
                    <w:jc w:val="left"/>
                    <w:jc w:val="center"/>
                  </w:pPr>
                  <w:r>
                    <w:rPr>
                      <w:i/>
                      <w:iCs/>
                    </w:rPr>
                    <w:t xml:space="preserve">Phormidium sp. O-043</w:t>
                  </w:r>
                </w:p>
              </w:tc>
              <w:tc>
                <w:tcPr/>
                <w:p>
                  <w:pPr>
                    <w:pStyle w:val="Compact"/>
                    <w:jc w:val="left"/>
                    <w:jc w:val="center"/>
                  </w:pPr>
                  <w:r>
                    <w:t xml:space="preserve">BG23</w:t>
                  </w:r>
                </w:p>
              </w:tc>
              <w:tc>
                <w:tcPr/>
                <w:p>
                  <w:pPr>
                    <w:pStyle w:val="Compact"/>
                    <w:jc w:val="left"/>
                    <w:jc w:val="center"/>
                  </w:pPr>
                  <w:r>
                    <w:t xml:space="preserve">225.0</w:t>
                  </w:r>
                </w:p>
              </w:tc>
              <w:tc>
                <w:tcPr/>
                <w:p>
                  <w:pPr>
                    <w:pStyle w:val="Compact"/>
                    <w:jc w:val="left"/>
                    <w:jc w:val="center"/>
                  </w:pPr>
                  <w:r>
                    <w:t xml:space="preserve">18.9</w:t>
                  </w:r>
                </w:p>
              </w:tc>
              <w:tc>
                <w:tcPr/>
                <w:p>
                  <w:pPr>
                    <w:pStyle w:val="Compact"/>
                    <w:jc w:val="left"/>
                    <w:jc w:val="center"/>
                  </w:pPr>
                  <w:r>
                    <w:t xml:space="preserve">0.21</w:t>
                  </w:r>
                </w:p>
              </w:tc>
              <w:tc>
                <w:tcPr/>
                <w:p>
                  <w:pPr>
                    <w:pStyle w:val="Compact"/>
                    <w:jc w:val="left"/>
                    <w:jc w:val="center"/>
                  </w:pPr>
                  <w:r>
                    <w:t xml:space="preserve">(Tang et al., 1997)</w:t>
                  </w:r>
                </w:p>
              </w:tc>
            </w:tr>
            <w:tr>
              <w:tc>
                <w:tcPr/>
                <w:p>
                  <w:pPr>
                    <w:pStyle w:val="Compact"/>
                    <w:jc w:val="left"/>
                    <w:jc w:val="center"/>
                  </w:pPr>
                  <w:r>
                    <w:rPr>
                      <w:i/>
                      <w:iCs/>
                    </w:rPr>
                    <w:t xml:space="preserve">Phormidium sp. O-104</w:t>
                  </w:r>
                </w:p>
              </w:tc>
              <w:tc>
                <w:tcPr/>
                <w:p>
                  <w:pPr>
                    <w:pStyle w:val="Compact"/>
                    <w:jc w:val="left"/>
                    <w:jc w:val="center"/>
                  </w:pPr>
                  <w:r>
                    <w:t xml:space="preserve">BG26</w:t>
                  </w:r>
                </w:p>
              </w:tc>
              <w:tc>
                <w:tcPr/>
                <w:p>
                  <w:pPr>
                    <w:pStyle w:val="Compact"/>
                    <w:jc w:val="left"/>
                    <w:jc w:val="center"/>
                  </w:pPr>
                  <w:r>
                    <w:t xml:space="preserve">225.0</w:t>
                  </w:r>
                </w:p>
              </w:tc>
              <w:tc>
                <w:tcPr/>
                <w:p>
                  <w:pPr>
                    <w:pStyle w:val="Compact"/>
                    <w:jc w:val="left"/>
                    <w:jc w:val="center"/>
                  </w:pPr>
                  <w:r>
                    <w:t xml:space="preserve">20.7</w:t>
                  </w:r>
                </w:p>
              </w:tc>
              <w:tc>
                <w:tcPr/>
                <w:p>
                  <w:pPr>
                    <w:pStyle w:val="Compact"/>
                    <w:jc w:val="left"/>
                    <w:jc w:val="center"/>
                  </w:pPr>
                  <w:r>
                    <w:t xml:space="preserve">0.25</w:t>
                  </w:r>
                </w:p>
              </w:tc>
              <w:tc>
                <w:tcPr/>
                <w:p>
                  <w:pPr>
                    <w:pStyle w:val="Compact"/>
                    <w:jc w:val="left"/>
                    <w:jc w:val="center"/>
                  </w:pPr>
                  <w:r>
                    <w:t xml:space="preserve">(Tang et al., 1997)</w:t>
                  </w:r>
                </w:p>
              </w:tc>
            </w:tr>
            <w:tr>
              <w:tc>
                <w:tcPr/>
                <w:p>
                  <w:pPr>
                    <w:pStyle w:val="Compact"/>
                    <w:jc w:val="left"/>
                    <w:jc w:val="center"/>
                  </w:pPr>
                  <w:r>
                    <w:rPr>
                      <w:i/>
                      <w:iCs/>
                    </w:rPr>
                    <w:t xml:space="preserve">Phormidium sp. O-109</w:t>
                  </w:r>
                </w:p>
              </w:tc>
              <w:tc>
                <w:tcPr/>
                <w:p>
                  <w:pPr>
                    <w:pStyle w:val="Compact"/>
                    <w:jc w:val="left"/>
                    <w:jc w:val="center"/>
                  </w:pPr>
                  <w:r>
                    <w:t xml:space="preserve">BG25</w:t>
                  </w:r>
                </w:p>
              </w:tc>
              <w:tc>
                <w:tcPr/>
                <w:p>
                  <w:pPr>
                    <w:pStyle w:val="Compact"/>
                    <w:jc w:val="left"/>
                    <w:jc w:val="center"/>
                  </w:pPr>
                  <w:r>
                    <w:t xml:space="preserve">225.0</w:t>
                  </w:r>
                </w:p>
              </w:tc>
              <w:tc>
                <w:tcPr/>
                <w:p>
                  <w:pPr>
                    <w:pStyle w:val="Compact"/>
                    <w:jc w:val="left"/>
                    <w:jc w:val="center"/>
                  </w:pPr>
                  <w:r>
                    <w:t xml:space="preserve">19.3</w:t>
                  </w:r>
                </w:p>
              </w:tc>
              <w:tc>
                <w:tcPr/>
                <w:p>
                  <w:pPr>
                    <w:pStyle w:val="Compact"/>
                    <w:jc w:val="left"/>
                    <w:jc w:val="center"/>
                  </w:pPr>
                  <w:r>
                    <w:t xml:space="preserve">0.20</w:t>
                  </w:r>
                </w:p>
              </w:tc>
              <w:tc>
                <w:tcPr/>
                <w:p>
                  <w:pPr>
                    <w:pStyle w:val="Compact"/>
                    <w:jc w:val="left"/>
                    <w:jc w:val="center"/>
                  </w:pPr>
                  <w:r>
                    <w:t xml:space="preserve">(Tang et al., 1997)</w:t>
                  </w:r>
                </w:p>
              </w:tc>
            </w:tr>
            <w:tr>
              <w:tc>
                <w:tcPr/>
                <w:p>
                  <w:pPr>
                    <w:pStyle w:val="Compact"/>
                    <w:jc w:val="left"/>
                    <w:jc w:val="center"/>
                  </w:pPr>
                  <w:r>
                    <w:rPr>
                      <w:i/>
                      <w:iCs/>
                    </w:rPr>
                    <w:t xml:space="preserve">Phormidium sp. O-120</w:t>
                  </w:r>
                </w:p>
              </w:tc>
              <w:tc>
                <w:tcPr/>
                <w:p>
                  <w:pPr>
                    <w:pStyle w:val="Compact"/>
                    <w:jc w:val="left"/>
                    <w:jc w:val="center"/>
                  </w:pPr>
                  <w:r>
                    <w:t xml:space="preserve">BG27</w:t>
                  </w:r>
                </w:p>
              </w:tc>
              <w:tc>
                <w:tcPr/>
                <w:p>
                  <w:pPr>
                    <w:pStyle w:val="Compact"/>
                    <w:jc w:val="left"/>
                    <w:jc w:val="center"/>
                  </w:pPr>
                  <w:r>
                    <w:t xml:space="preserve">225.0</w:t>
                  </w:r>
                </w:p>
              </w:tc>
              <w:tc>
                <w:tcPr/>
                <w:p>
                  <w:pPr>
                    <w:pStyle w:val="Compact"/>
                    <w:jc w:val="left"/>
                    <w:jc w:val="center"/>
                  </w:pPr>
                  <w:r>
                    <w:t xml:space="preserve">35.0</w:t>
                  </w:r>
                </w:p>
              </w:tc>
              <w:tc>
                <w:tcPr/>
                <w:p>
                  <w:pPr>
                    <w:pStyle w:val="Compact"/>
                    <w:jc w:val="left"/>
                    <w:jc w:val="center"/>
                  </w:pPr>
                  <w:r>
                    <w:t xml:space="preserve">0.41</w:t>
                  </w:r>
                </w:p>
              </w:tc>
              <w:tc>
                <w:tcPr/>
                <w:p>
                  <w:pPr>
                    <w:pStyle w:val="Compact"/>
                    <w:jc w:val="left"/>
                    <w:jc w:val="center"/>
                  </w:pPr>
                  <w:r>
                    <w:t xml:space="preserve">(Tang et al., 1997)</w:t>
                  </w:r>
                </w:p>
              </w:tc>
            </w:tr>
            <w:tr>
              <w:tc>
                <w:tcPr/>
                <w:p>
                  <w:pPr>
                    <w:pStyle w:val="Compact"/>
                    <w:jc w:val="left"/>
                    <w:jc w:val="center"/>
                  </w:pPr>
                  <w:r>
                    <w:rPr>
                      <w:i/>
                      <w:iCs/>
                    </w:rPr>
                    <w:t xml:space="preserve">Phormidium sp. O-157</w:t>
                  </w:r>
                </w:p>
              </w:tc>
              <w:tc>
                <w:tcPr/>
                <w:p>
                  <w:pPr>
                    <w:pStyle w:val="Compact"/>
                    <w:jc w:val="left"/>
                    <w:jc w:val="center"/>
                  </w:pPr>
                  <w:r>
                    <w:t xml:space="preserve">BG30</w:t>
                  </w:r>
                </w:p>
              </w:tc>
              <w:tc>
                <w:tcPr/>
                <w:p>
                  <w:pPr>
                    <w:pStyle w:val="Compact"/>
                    <w:jc w:val="left"/>
                    <w:jc w:val="center"/>
                  </w:pPr>
                  <w:r>
                    <w:t xml:space="preserve">225.0</w:t>
                  </w:r>
                </w:p>
              </w:tc>
              <w:tc>
                <w:tcPr/>
                <w:p>
                  <w:pPr>
                    <w:pStyle w:val="Compact"/>
                    <w:jc w:val="left"/>
                    <w:jc w:val="center"/>
                  </w:pPr>
                  <w:r>
                    <w:t xml:space="preserve">16.1</w:t>
                  </w:r>
                </w:p>
              </w:tc>
              <w:tc>
                <w:tcPr/>
                <w:p>
                  <w:pPr>
                    <w:pStyle w:val="Compact"/>
                    <w:jc w:val="left"/>
                    <w:jc w:val="center"/>
                  </w:pPr>
                  <w:r>
                    <w:t xml:space="preserve">0.16</w:t>
                  </w:r>
                </w:p>
              </w:tc>
              <w:tc>
                <w:tcPr/>
                <w:p>
                  <w:pPr>
                    <w:pStyle w:val="Compact"/>
                    <w:jc w:val="left"/>
                    <w:jc w:val="center"/>
                  </w:pPr>
                  <w:r>
                    <w:t xml:space="preserve">(Tang et al., 1997)</w:t>
                  </w:r>
                </w:p>
              </w:tc>
            </w:tr>
            <w:tr>
              <w:tc>
                <w:tcPr/>
                <w:p>
                  <w:pPr>
                    <w:pStyle w:val="Compact"/>
                    <w:jc w:val="left"/>
                    <w:jc w:val="center"/>
                  </w:pPr>
                  <w:r>
                    <w:rPr>
                      <w:i/>
                      <w:iCs/>
                    </w:rPr>
                    <w:t xml:space="preserve">Phormidium sp. O-160</w:t>
                  </w:r>
                </w:p>
              </w:tc>
              <w:tc>
                <w:tcPr/>
                <w:p>
                  <w:pPr>
                    <w:pStyle w:val="Compact"/>
                    <w:jc w:val="left"/>
                    <w:jc w:val="center"/>
                  </w:pPr>
                  <w:r>
                    <w:t xml:space="preserve">BG31</w:t>
                  </w:r>
                </w:p>
              </w:tc>
              <w:tc>
                <w:tcPr/>
                <w:p>
                  <w:pPr>
                    <w:pStyle w:val="Compact"/>
                    <w:jc w:val="left"/>
                    <w:jc w:val="center"/>
                  </w:pPr>
                  <w:r>
                    <w:t xml:space="preserve">225.0</w:t>
                  </w:r>
                </w:p>
              </w:tc>
              <w:tc>
                <w:tcPr/>
                <w:p>
                  <w:pPr>
                    <w:pStyle w:val="Compact"/>
                    <w:jc w:val="left"/>
                    <w:jc w:val="center"/>
                  </w:pPr>
                  <w:r>
                    <w:t xml:space="preserve">20.1</w:t>
                  </w:r>
                </w:p>
              </w:tc>
              <w:tc>
                <w:tcPr/>
                <w:p>
                  <w:pPr>
                    <w:pStyle w:val="Compact"/>
                    <w:jc w:val="left"/>
                    <w:jc w:val="center"/>
                  </w:pPr>
                  <w:r>
                    <w:t xml:space="preserve">0.13</w:t>
                  </w:r>
                </w:p>
              </w:tc>
              <w:tc>
                <w:tcPr/>
                <w:p>
                  <w:pPr>
                    <w:pStyle w:val="Compact"/>
                    <w:jc w:val="left"/>
                    <w:jc w:val="center"/>
                  </w:pPr>
                  <w:r>
                    <w:t xml:space="preserve">(Tang et al., 1997)</w:t>
                  </w:r>
                </w:p>
              </w:tc>
            </w:tr>
            <w:tr>
              <w:tc>
                <w:tcPr/>
                <w:p>
                  <w:pPr>
                    <w:pStyle w:val="Compact"/>
                    <w:jc w:val="left"/>
                    <w:jc w:val="center"/>
                  </w:pPr>
                  <w:r>
                    <w:rPr>
                      <w:i/>
                      <w:iCs/>
                    </w:rPr>
                    <w:t xml:space="preserve">Phormidium sp. O-202</w:t>
                  </w:r>
                </w:p>
              </w:tc>
              <w:tc>
                <w:tcPr/>
                <w:p>
                  <w:pPr>
                    <w:pStyle w:val="Compact"/>
                    <w:jc w:val="left"/>
                    <w:jc w:val="center"/>
                  </w:pPr>
                  <w:r>
                    <w:t xml:space="preserve">BG33</w:t>
                  </w:r>
                </w:p>
              </w:tc>
              <w:tc>
                <w:tcPr/>
                <w:p>
                  <w:pPr>
                    <w:pStyle w:val="Compact"/>
                    <w:jc w:val="left"/>
                    <w:jc w:val="center"/>
                  </w:pPr>
                  <w:r>
                    <w:t xml:space="preserve">225.0</w:t>
                  </w:r>
                </w:p>
              </w:tc>
              <w:tc>
                <w:tcPr/>
                <w:p>
                  <w:pPr>
                    <w:pStyle w:val="Compact"/>
                    <w:jc w:val="left"/>
                    <w:jc w:val="center"/>
                  </w:pPr>
                  <w:r>
                    <w:t xml:space="preserve">25.0</w:t>
                  </w:r>
                </w:p>
              </w:tc>
              <w:tc>
                <w:tcPr/>
                <w:p>
                  <w:pPr>
                    <w:pStyle w:val="Compact"/>
                    <w:jc w:val="left"/>
                    <w:jc w:val="center"/>
                  </w:pPr>
                  <w:r>
                    <w:t xml:space="preserve">0.31</w:t>
                  </w:r>
                </w:p>
              </w:tc>
              <w:tc>
                <w:tcPr/>
                <w:p>
                  <w:pPr>
                    <w:pStyle w:val="Compact"/>
                    <w:jc w:val="left"/>
                    <w:jc w:val="center"/>
                  </w:pPr>
                  <w:r>
                    <w:t xml:space="preserve">(Tang et al., 1997)</w:t>
                  </w:r>
                </w:p>
              </w:tc>
            </w:tr>
            <w:tr>
              <w:tc>
                <w:tcPr/>
                <w:p>
                  <w:pPr>
                    <w:pStyle w:val="Compact"/>
                    <w:jc w:val="left"/>
                    <w:jc w:val="center"/>
                  </w:pPr>
                  <w:r>
                    <w:rPr>
                      <w:i/>
                      <w:iCs/>
                    </w:rPr>
                    <w:t xml:space="preserve">Phormidium sp. O-203</w:t>
                  </w:r>
                </w:p>
              </w:tc>
              <w:tc>
                <w:tcPr/>
                <w:p>
                  <w:pPr>
                    <w:pStyle w:val="Compact"/>
                    <w:jc w:val="left"/>
                    <w:jc w:val="center"/>
                  </w:pPr>
                  <w:r>
                    <w:t xml:space="preserve">BG34</w:t>
                  </w:r>
                </w:p>
              </w:tc>
              <w:tc>
                <w:tcPr/>
                <w:p>
                  <w:pPr>
                    <w:pStyle w:val="Compact"/>
                    <w:jc w:val="left"/>
                    <w:jc w:val="center"/>
                  </w:pPr>
                  <w:r>
                    <w:t xml:space="preserve">225.0</w:t>
                  </w:r>
                </w:p>
              </w:tc>
              <w:tc>
                <w:tcPr/>
                <w:p>
                  <w:pPr>
                    <w:pStyle w:val="Compact"/>
                    <w:jc w:val="left"/>
                    <w:jc w:val="center"/>
                  </w:pPr>
                  <w:r>
                    <w:t xml:space="preserve">20.6</w:t>
                  </w:r>
                </w:p>
              </w:tc>
              <w:tc>
                <w:tcPr/>
                <w:p>
                  <w:pPr>
                    <w:pStyle w:val="Compact"/>
                    <w:jc w:val="left"/>
                    <w:jc w:val="center"/>
                  </w:pPr>
                  <w:r>
                    <w:t xml:space="preserve">0.24</w:t>
                  </w:r>
                </w:p>
              </w:tc>
              <w:tc>
                <w:tcPr/>
                <w:p>
                  <w:pPr>
                    <w:pStyle w:val="Compact"/>
                    <w:jc w:val="left"/>
                    <w:jc w:val="center"/>
                  </w:pPr>
                  <w:r>
                    <w:t xml:space="preserve">(Tang et al., 1997)</w:t>
                  </w:r>
                </w:p>
              </w:tc>
            </w:tr>
            <w:tr>
              <w:tc>
                <w:tcPr/>
                <w:p>
                  <w:pPr>
                    <w:pStyle w:val="Compact"/>
                    <w:jc w:val="left"/>
                    <w:jc w:val="center"/>
                  </w:pPr>
                  <w:r>
                    <w:rPr>
                      <w:i/>
                      <w:iCs/>
                    </w:rPr>
                    <w:t xml:space="preserve">Phormidium sp. O-204</w:t>
                  </w:r>
                </w:p>
              </w:tc>
              <w:tc>
                <w:tcPr/>
                <w:p>
                  <w:pPr>
                    <w:pStyle w:val="Compact"/>
                    <w:jc w:val="left"/>
                    <w:jc w:val="center"/>
                  </w:pPr>
                  <w:r>
                    <w:t xml:space="preserve">BG35</w:t>
                  </w:r>
                </w:p>
              </w:tc>
              <w:tc>
                <w:tcPr/>
                <w:p>
                  <w:pPr>
                    <w:pStyle w:val="Compact"/>
                    <w:jc w:val="left"/>
                    <w:jc w:val="center"/>
                  </w:pPr>
                  <w:r>
                    <w:t xml:space="preserve">225.0</w:t>
                  </w:r>
                </w:p>
              </w:tc>
              <w:tc>
                <w:tcPr/>
                <w:p>
                  <w:pPr>
                    <w:pStyle w:val="Compact"/>
                    <w:jc w:val="left"/>
                    <w:jc w:val="center"/>
                  </w:pPr>
                  <w:r>
                    <w:t xml:space="preserve">19.6</w:t>
                  </w:r>
                </w:p>
              </w:tc>
              <w:tc>
                <w:tcPr/>
                <w:p>
                  <w:pPr>
                    <w:pStyle w:val="Compact"/>
                    <w:jc w:val="left"/>
                    <w:jc w:val="center"/>
                  </w:pPr>
                  <w:r>
                    <w:t xml:space="preserve">0.26</w:t>
                  </w:r>
                </w:p>
              </w:tc>
              <w:tc>
                <w:tcPr/>
                <w:p>
                  <w:pPr>
                    <w:pStyle w:val="Compact"/>
                    <w:jc w:val="left"/>
                    <w:jc w:val="center"/>
                  </w:pPr>
                  <w:r>
                    <w:t xml:space="preserve">(Tang et al., 1997)</w:t>
                  </w:r>
                </w:p>
              </w:tc>
            </w:tr>
            <w:tr>
              <w:tc>
                <w:tcPr/>
                <w:p>
                  <w:pPr>
                    <w:pStyle w:val="Compact"/>
                    <w:jc w:val="left"/>
                    <w:jc w:val="center"/>
                  </w:pPr>
                  <w:r>
                    <w:rPr>
                      <w:i/>
                      <w:iCs/>
                    </w:rPr>
                    <w:t xml:space="preserve">Phormidium sp. O-210</w:t>
                  </w:r>
                </w:p>
              </w:tc>
              <w:tc>
                <w:tcPr/>
                <w:p>
                  <w:pPr>
                    <w:pStyle w:val="Compact"/>
                    <w:jc w:val="left"/>
                    <w:jc w:val="center"/>
                  </w:pPr>
                  <w:r>
                    <w:t xml:space="preserve">BG36</w:t>
                  </w:r>
                </w:p>
              </w:tc>
              <w:tc>
                <w:tcPr/>
                <w:p>
                  <w:pPr>
                    <w:pStyle w:val="Compact"/>
                    <w:jc w:val="left"/>
                    <w:jc w:val="center"/>
                  </w:pPr>
                  <w:r>
                    <w:t xml:space="preserve">225.0</w:t>
                  </w:r>
                </w:p>
              </w:tc>
              <w:tc>
                <w:tcPr/>
                <w:p>
                  <w:pPr>
                    <w:pStyle w:val="Compact"/>
                    <w:jc w:val="left"/>
                    <w:jc w:val="center"/>
                  </w:pPr>
                  <w:r>
                    <w:t xml:space="preserve">17.0</w:t>
                  </w:r>
                </w:p>
              </w:tc>
              <w:tc>
                <w:tcPr/>
                <w:p>
                  <w:pPr>
                    <w:pStyle w:val="Compact"/>
                    <w:jc w:val="left"/>
                    <w:jc w:val="center"/>
                  </w:pPr>
                  <w:r>
                    <w:t xml:space="preserve">0.21</w:t>
                  </w:r>
                </w:p>
              </w:tc>
              <w:tc>
                <w:tcPr/>
                <w:p>
                  <w:pPr>
                    <w:pStyle w:val="Compact"/>
                    <w:jc w:val="left"/>
                    <w:jc w:val="center"/>
                  </w:pPr>
                  <w:r>
                    <w:t xml:space="preserve">(Tang et al., 1997)</w:t>
                  </w:r>
                </w:p>
              </w:tc>
            </w:tr>
            <w:tr>
              <w:tc>
                <w:tcPr/>
                <w:p>
                  <w:pPr>
                    <w:pStyle w:val="Compact"/>
                    <w:jc w:val="left"/>
                    <w:jc w:val="center"/>
                  </w:pPr>
                  <w:r>
                    <w:rPr>
                      <w:i/>
                      <w:iCs/>
                    </w:rPr>
                    <w:t xml:space="preserve">Phormidium sp. O-211</w:t>
                  </w:r>
                </w:p>
              </w:tc>
              <w:tc>
                <w:tcPr/>
                <w:p>
                  <w:pPr>
                    <w:pStyle w:val="Compact"/>
                    <w:jc w:val="left"/>
                    <w:jc w:val="center"/>
                  </w:pPr>
                  <w:r>
                    <w:t xml:space="preserve">BG37</w:t>
                  </w:r>
                </w:p>
              </w:tc>
              <w:tc>
                <w:tcPr/>
                <w:p>
                  <w:pPr>
                    <w:pStyle w:val="Compact"/>
                    <w:jc w:val="left"/>
                    <w:jc w:val="center"/>
                  </w:pPr>
                  <w:r>
                    <w:t xml:space="preserve">225.0</w:t>
                  </w:r>
                </w:p>
              </w:tc>
              <w:tc>
                <w:tcPr/>
                <w:p>
                  <w:pPr>
                    <w:pStyle w:val="Compact"/>
                    <w:jc w:val="left"/>
                    <w:jc w:val="center"/>
                  </w:pPr>
                  <w:r>
                    <w:t xml:space="preserve">15.9</w:t>
                  </w:r>
                </w:p>
              </w:tc>
              <w:tc>
                <w:tcPr/>
                <w:p>
                  <w:pPr>
                    <w:pStyle w:val="Compact"/>
                    <w:jc w:val="left"/>
                    <w:jc w:val="center"/>
                  </w:pPr>
                  <w:r>
                    <w:t xml:space="preserve">0.30</w:t>
                  </w:r>
                </w:p>
              </w:tc>
              <w:tc>
                <w:tcPr/>
                <w:p>
                  <w:pPr>
                    <w:pStyle w:val="Compact"/>
                    <w:jc w:val="left"/>
                    <w:jc w:val="center"/>
                  </w:pPr>
                  <w:r>
                    <w:t xml:space="preserve">(Tang et al., 1997)</w:t>
                  </w:r>
                </w:p>
              </w:tc>
            </w:tr>
            <w:tr>
              <w:tc>
                <w:tcPr/>
                <w:p>
                  <w:pPr>
                    <w:pStyle w:val="Compact"/>
                    <w:jc w:val="left"/>
                    <w:jc w:val="center"/>
                  </w:pPr>
                  <w:r>
                    <w:rPr>
                      <w:i/>
                      <w:iCs/>
                    </w:rPr>
                    <w:t xml:space="preserve">Phormidium sp. Pho689</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0.09</w:t>
                  </w:r>
                </w:p>
              </w:tc>
              <w:tc>
                <w:tcPr/>
                <w:p>
                  <w:pPr>
                    <w:pStyle w:val="Compact"/>
                    <w:jc w:val="left"/>
                    <w:jc w:val="center"/>
                  </w:pPr>
                  <w:r>
                    <w:t xml:space="preserve">(Li et al., 2012)</w:t>
                  </w:r>
                </w:p>
              </w:tc>
            </w:tr>
            <w:tr>
              <w:tc>
                <w:tcPr/>
                <w:p>
                  <w:pPr>
                    <w:pStyle w:val="Compact"/>
                    <w:jc w:val="left"/>
                    <w:jc w:val="center"/>
                  </w:pPr>
                  <w:r>
                    <w:rPr>
                      <w:i/>
                      <w:iCs/>
                    </w:rPr>
                    <w:t xml:space="preserve">Phormidium sp. Pho689</w:t>
                  </w:r>
                </w:p>
              </w:tc>
              <w:tc>
                <w:tcPr/>
                <w:p>
                  <w:pPr>
                    <w:pStyle w:val="Compact"/>
                    <w:jc w:val="left"/>
                    <w:jc w:val="center"/>
                  </w:pPr>
                  <w:r>
                    <w:t xml:space="preserve">WC</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0.14</w:t>
                  </w:r>
                </w:p>
              </w:tc>
              <w:tc>
                <w:tcPr/>
                <w:p>
                  <w:pPr>
                    <w:pStyle w:val="Compact"/>
                    <w:jc w:val="left"/>
                    <w:jc w:val="center"/>
                  </w:pPr>
                  <w:r>
                    <w:t xml:space="preserve">(Li et al., 2012)</w:t>
                  </w:r>
                </w:p>
              </w:tc>
            </w:tr>
            <w:tr>
              <w:tc>
                <w:tcPr/>
                <w:p>
                  <w:pPr>
                    <w:pStyle w:val="Compact"/>
                    <w:jc w:val="left"/>
                    <w:jc w:val="center"/>
                  </w:pPr>
                  <w:r>
                    <w:rPr>
                      <w:i/>
                      <w:iCs/>
                    </w:rPr>
                    <w:t xml:space="preserve">Phormidium sp. Pho689</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18.0</w:t>
                  </w:r>
                </w:p>
              </w:tc>
              <w:tc>
                <w:tcPr/>
                <w:p>
                  <w:pPr>
                    <w:pStyle w:val="Compact"/>
                    <w:jc w:val="left"/>
                    <w:jc w:val="center"/>
                  </w:pPr>
                  <w:r>
                    <w:t xml:space="preserve">0.08</w:t>
                  </w:r>
                </w:p>
              </w:tc>
              <w:tc>
                <w:tcPr/>
                <w:p>
                  <w:pPr>
                    <w:pStyle w:val="Compact"/>
                    <w:jc w:val="left"/>
                    <w:jc w:val="center"/>
                  </w:pPr>
                  <w:r>
                    <w:t xml:space="preserve">(Li et al., 2012)</w:t>
                  </w:r>
                </w:p>
              </w:tc>
            </w:tr>
            <w:tr>
              <w:tc>
                <w:tcPr/>
                <w:p>
                  <w:pPr>
                    <w:pStyle w:val="Compact"/>
                    <w:jc w:val="left"/>
                    <w:jc w:val="center"/>
                  </w:pPr>
                  <w:r>
                    <w:rPr>
                      <w:i/>
                      <w:iCs/>
                    </w:rPr>
                    <w:t xml:space="preserve">Phormidium sp. Pho689</w:t>
                  </w:r>
                </w:p>
              </w:tc>
              <w:tc>
                <w:tcPr/>
                <w:p>
                  <w:pPr>
                    <w:pStyle w:val="Compact"/>
                    <w:jc w:val="left"/>
                    <w:jc w:val="center"/>
                  </w:pPr>
                  <w:r>
                    <w:t xml:space="preserve">WC</w:t>
                  </w:r>
                </w:p>
              </w:tc>
              <w:tc>
                <w:tcPr/>
                <w:p>
                  <w:pPr>
                    <w:pStyle w:val="Compact"/>
                    <w:jc w:val="left"/>
                    <w:jc w:val="center"/>
                  </w:pPr>
                  <w:r>
                    <w:t xml:space="preserve">10.0</w:t>
                  </w:r>
                </w:p>
              </w:tc>
              <w:tc>
                <w:tcPr/>
                <w:p>
                  <w:pPr>
                    <w:pStyle w:val="Compact"/>
                    <w:jc w:val="left"/>
                    <w:jc w:val="center"/>
                  </w:pPr>
                  <w:r>
                    <w:t xml:space="preserve">18.0</w:t>
                  </w:r>
                </w:p>
              </w:tc>
              <w:tc>
                <w:tcPr/>
                <w:p>
                  <w:pPr>
                    <w:pStyle w:val="Compact"/>
                    <w:jc w:val="left"/>
                    <w:jc w:val="center"/>
                  </w:pPr>
                  <w:r>
                    <w:t xml:space="preserve">0.07</w:t>
                  </w:r>
                </w:p>
              </w:tc>
              <w:tc>
                <w:tcPr/>
                <w:p>
                  <w:pPr>
                    <w:pStyle w:val="Compact"/>
                    <w:jc w:val="left"/>
                    <w:jc w:val="center"/>
                  </w:pPr>
                  <w:r>
                    <w:t xml:space="preserve">(Li et al., 2012)</w:t>
                  </w:r>
                </w:p>
              </w:tc>
            </w:tr>
            <w:tr>
              <w:tc>
                <w:tcPr/>
                <w:p>
                  <w:pPr>
                    <w:pStyle w:val="Compact"/>
                    <w:jc w:val="left"/>
                    <w:jc w:val="center"/>
                  </w:pPr>
                  <w:r>
                    <w:rPr>
                      <w:i/>
                      <w:iCs/>
                    </w:rPr>
                    <w:t xml:space="preserve">Planktothricoides raciborskii</w:t>
                  </w:r>
                </w:p>
              </w:tc>
              <w:tc>
                <w:tcPr/>
                <w:p>
                  <w:pPr>
                    <w:pStyle w:val="Compact"/>
                    <w:jc w:val="left"/>
                    <w:jc w:val="center"/>
                  </w:pPr>
                  <w:r>
                    <w:t xml:space="preserve">BG11</w:t>
                  </w:r>
                </w:p>
              </w:tc>
              <w:tc>
                <w:tcPr/>
                <w:p>
                  <w:pPr>
                    <w:pStyle w:val="Compact"/>
                  </w:pPr>
                </w:p>
              </w:tc>
              <w:tc>
                <w:tcPr/>
                <w:p>
                  <w:pPr>
                    <w:pStyle w:val="Compact"/>
                  </w:pPr>
                </w:p>
              </w:tc>
              <w:tc>
                <w:tcPr/>
                <w:p>
                  <w:pPr>
                    <w:pStyle w:val="Compact"/>
                    <w:jc w:val="left"/>
                    <w:jc w:val="center"/>
                  </w:pPr>
                  <w:r>
                    <w:t xml:space="preserve">0.39</w:t>
                  </w:r>
                </w:p>
              </w:tc>
              <w:tc>
                <w:tcPr/>
                <w:p>
                  <w:pPr>
                    <w:pStyle w:val="Compact"/>
                    <w:jc w:val="left"/>
                    <w:jc w:val="center"/>
                  </w:pPr>
                  <w:r>
                    <w:t xml:space="preserve">This study</w:t>
                  </w:r>
                </w:p>
              </w:tc>
            </w:tr>
            <w:tr>
              <w:tc>
                <w:tcPr/>
                <w:p>
                  <w:pPr>
                    <w:pStyle w:val="Compact"/>
                    <w:jc w:val="left"/>
                    <w:jc w:val="center"/>
                  </w:pPr>
                  <w:r>
                    <w:rPr>
                      <w:i/>
                      <w:iCs/>
                    </w:rPr>
                    <w:t xml:space="preserve">Planktothricoides raciborskii</w:t>
                  </w:r>
                </w:p>
              </w:tc>
              <w:tc>
                <w:tcPr/>
                <w:p>
                  <w:pPr>
                    <w:pStyle w:val="Compact"/>
                    <w:jc w:val="left"/>
                    <w:jc w:val="center"/>
                  </w:pPr>
                  <w:r>
                    <w:t xml:space="preserve">BG11</w:t>
                  </w:r>
                </w:p>
              </w:tc>
              <w:tc>
                <w:tcPr/>
                <w:p>
                  <w:pPr>
                    <w:pStyle w:val="Compact"/>
                  </w:pPr>
                </w:p>
              </w:tc>
              <w:tc>
                <w:tcPr/>
                <w:p>
                  <w:pPr>
                    <w:pStyle w:val="Compact"/>
                  </w:pPr>
                </w:p>
              </w:tc>
              <w:tc>
                <w:tcPr/>
                <w:p>
                  <w:pPr>
                    <w:pStyle w:val="Compact"/>
                    <w:jc w:val="left"/>
                    <w:jc w:val="center"/>
                  </w:pPr>
                  <w:r>
                    <w:t xml:space="preserve">1.96</w:t>
                  </w:r>
                </w:p>
              </w:tc>
              <w:tc>
                <w:tcPr/>
                <w:p>
                  <w:pPr>
                    <w:pStyle w:val="Compact"/>
                    <w:jc w:val="left"/>
                    <w:jc w:val="center"/>
                  </w:pPr>
                  <w:r>
                    <w:t xml:space="preserve">This study</w:t>
                  </w:r>
                </w:p>
              </w:tc>
            </w:tr>
            <w:tr>
              <w:tc>
                <w:tcPr/>
                <w:p>
                  <w:pPr>
                    <w:pStyle w:val="Compact"/>
                    <w:jc w:val="left"/>
                    <w:jc w:val="center"/>
                  </w:pPr>
                  <w:r>
                    <w:rPr>
                      <w:i/>
                      <w:iCs/>
                    </w:rPr>
                    <w:t xml:space="preserve">Planktothricoides raciborskii</w:t>
                  </w:r>
                </w:p>
              </w:tc>
              <w:tc>
                <w:tcPr/>
                <w:p>
                  <w:pPr>
                    <w:pStyle w:val="Compact"/>
                    <w:jc w:val="left"/>
                    <w:jc w:val="center"/>
                  </w:pPr>
                  <w:r>
                    <w:t xml:space="preserve">BG11</w:t>
                  </w:r>
                </w:p>
              </w:tc>
              <w:tc>
                <w:tcPr/>
                <w:p>
                  <w:pPr>
                    <w:pStyle w:val="Compact"/>
                  </w:pPr>
                </w:p>
              </w:tc>
              <w:tc>
                <w:tcPr/>
                <w:p>
                  <w:pPr>
                    <w:pStyle w:val="Compact"/>
                  </w:pPr>
                </w:p>
              </w:tc>
              <w:tc>
                <w:tcPr/>
                <w:p>
                  <w:pPr>
                    <w:pStyle w:val="Compact"/>
                    <w:jc w:val="left"/>
                    <w:jc w:val="center"/>
                  </w:pPr>
                  <w:r>
                    <w:t xml:space="preserve">0.39</w:t>
                  </w:r>
                </w:p>
              </w:tc>
              <w:tc>
                <w:tcPr/>
                <w:p>
                  <w:pPr>
                    <w:pStyle w:val="Compact"/>
                    <w:jc w:val="left"/>
                    <w:jc w:val="center"/>
                  </w:pPr>
                  <w:r>
                    <w:t xml:space="preserve">This study</w:t>
                  </w:r>
                </w:p>
              </w:tc>
            </w:tr>
            <w:tr>
              <w:tc>
                <w:tcPr/>
                <w:p>
                  <w:pPr>
                    <w:pStyle w:val="Compact"/>
                    <w:jc w:val="left"/>
                    <w:jc w:val="center"/>
                  </w:pPr>
                  <w:r>
                    <w:rPr>
                      <w:i/>
                      <w:iCs/>
                    </w:rPr>
                    <w:t xml:space="preserve">Planktothricoides raciborskii</w:t>
                  </w:r>
                </w:p>
              </w:tc>
              <w:tc>
                <w:tcPr/>
                <w:p>
                  <w:pPr>
                    <w:pStyle w:val="Compact"/>
                    <w:jc w:val="left"/>
                    <w:jc w:val="center"/>
                  </w:pPr>
                  <w:r>
                    <w:t xml:space="preserve">BG11</w:t>
                  </w:r>
                </w:p>
              </w:tc>
              <w:tc>
                <w:tcPr/>
                <w:p>
                  <w:pPr>
                    <w:pStyle w:val="Compact"/>
                  </w:pPr>
                </w:p>
              </w:tc>
              <w:tc>
                <w:tcPr/>
                <w:p>
                  <w:pPr>
                    <w:pStyle w:val="Compact"/>
                  </w:pPr>
                </w:p>
              </w:tc>
              <w:tc>
                <w:tcPr/>
                <w:p>
                  <w:pPr>
                    <w:pStyle w:val="Compact"/>
                    <w:jc w:val="left"/>
                    <w:jc w:val="center"/>
                  </w:pPr>
                  <w:r>
                    <w:t xml:space="preserve">0.08</w:t>
                  </w:r>
                </w:p>
              </w:tc>
              <w:tc>
                <w:tcPr/>
                <w:p>
                  <w:pPr>
                    <w:pStyle w:val="Compact"/>
                    <w:jc w:val="left"/>
                    <w:jc w:val="center"/>
                  </w:pPr>
                  <w:r>
                    <w:t xml:space="preserve">This study</w:t>
                  </w:r>
                </w:p>
              </w:tc>
            </w:tr>
            <w:tr>
              <w:tc>
                <w:tcPr/>
                <w:p>
                  <w:pPr>
                    <w:pStyle w:val="Compact"/>
                    <w:jc w:val="left"/>
                    <w:jc w:val="center"/>
                  </w:pPr>
                  <w:r>
                    <w:rPr>
                      <w:i/>
                      <w:iCs/>
                    </w:rPr>
                    <w:t xml:space="preserve">Planktothricoides raciborskii</w:t>
                  </w:r>
                </w:p>
              </w:tc>
              <w:tc>
                <w:tcPr/>
                <w:p>
                  <w:pPr>
                    <w:pStyle w:val="Compact"/>
                    <w:jc w:val="left"/>
                    <w:jc w:val="center"/>
                  </w:pPr>
                  <w:r>
                    <w:t xml:space="preserve">BG11</w:t>
                  </w:r>
                </w:p>
              </w:tc>
              <w:tc>
                <w:tcPr/>
                <w:p>
                  <w:pPr>
                    <w:pStyle w:val="Compact"/>
                  </w:pPr>
                </w:p>
              </w:tc>
              <w:tc>
                <w:tcPr/>
                <w:p>
                  <w:pPr>
                    <w:pStyle w:val="Compact"/>
                  </w:pPr>
                </w:p>
              </w:tc>
              <w:tc>
                <w:tcPr/>
                <w:p>
                  <w:pPr>
                    <w:pStyle w:val="Compact"/>
                    <w:jc w:val="left"/>
                    <w:jc w:val="center"/>
                  </w:pPr>
                  <w:r>
                    <w:t xml:space="preserve">0.27</w:t>
                  </w:r>
                </w:p>
              </w:tc>
              <w:tc>
                <w:tcPr/>
                <w:p>
                  <w:pPr>
                    <w:pStyle w:val="Compact"/>
                    <w:jc w:val="left"/>
                    <w:jc w:val="center"/>
                  </w:pPr>
                  <w:r>
                    <w:t xml:space="preserve">This study</w:t>
                  </w:r>
                </w:p>
              </w:tc>
            </w:tr>
            <w:tr>
              <w:tc>
                <w:tcPr/>
                <w:p>
                  <w:pPr>
                    <w:pStyle w:val="Compact"/>
                    <w:jc w:val="left"/>
                    <w:jc w:val="center"/>
                  </w:pPr>
                  <w:r>
                    <w:rPr>
                      <w:i/>
                      <w:iCs/>
                    </w:rPr>
                    <w:t xml:space="preserve">Planktothricoides raciborskii</w:t>
                  </w:r>
                </w:p>
              </w:tc>
              <w:tc>
                <w:tcPr/>
                <w:p>
                  <w:pPr>
                    <w:pStyle w:val="Compact"/>
                    <w:jc w:val="left"/>
                    <w:jc w:val="center"/>
                  </w:pPr>
                  <w:r>
                    <w:t xml:space="preserve">BG11</w:t>
                  </w:r>
                </w:p>
              </w:tc>
              <w:tc>
                <w:tcPr/>
                <w:p>
                  <w:pPr>
                    <w:pStyle w:val="Compact"/>
                  </w:pPr>
                </w:p>
              </w:tc>
              <w:tc>
                <w:tcPr/>
                <w:p>
                  <w:pPr>
                    <w:pStyle w:val="Compact"/>
                  </w:pPr>
                </w:p>
              </w:tc>
              <w:tc>
                <w:tcPr/>
                <w:p>
                  <w:pPr>
                    <w:pStyle w:val="Compact"/>
                    <w:jc w:val="left"/>
                    <w:jc w:val="center"/>
                  </w:pPr>
                  <w:r>
                    <w:t xml:space="preserve">0.27</w:t>
                  </w:r>
                </w:p>
              </w:tc>
              <w:tc>
                <w:tcPr/>
                <w:p>
                  <w:pPr>
                    <w:pStyle w:val="Compact"/>
                    <w:jc w:val="left"/>
                    <w:jc w:val="center"/>
                  </w:pPr>
                  <w:r>
                    <w:t xml:space="preserve">This study</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145.0</w:t>
                  </w:r>
                </w:p>
              </w:tc>
              <w:tc>
                <w:tcPr/>
                <w:p>
                  <w:pPr>
                    <w:pStyle w:val="Compact"/>
                    <w:jc w:val="left"/>
                    <w:jc w:val="center"/>
                  </w:pPr>
                  <w:r>
                    <w:t xml:space="preserve">20.0</w:t>
                  </w:r>
                </w:p>
              </w:tc>
              <w:tc>
                <w:tcPr/>
                <w:p>
                  <w:pPr>
                    <w:pStyle w:val="Compact"/>
                    <w:jc w:val="left"/>
                    <w:jc w:val="center"/>
                  </w:pPr>
                  <w:r>
                    <w:t xml:space="preserve">0.38</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92.0</w:t>
                  </w:r>
                </w:p>
              </w:tc>
              <w:tc>
                <w:tcPr/>
                <w:p>
                  <w:pPr>
                    <w:pStyle w:val="Compact"/>
                    <w:jc w:val="left"/>
                    <w:jc w:val="center"/>
                  </w:pPr>
                  <w:r>
                    <w:t xml:space="preserve">20.0</w:t>
                  </w:r>
                </w:p>
              </w:tc>
              <w:tc>
                <w:tcPr/>
                <w:p>
                  <w:pPr>
                    <w:pStyle w:val="Compact"/>
                    <w:jc w:val="left"/>
                    <w:jc w:val="center"/>
                  </w:pPr>
                  <w:r>
                    <w:t xml:space="preserve">0.34</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145.0</w:t>
                  </w:r>
                </w:p>
              </w:tc>
              <w:tc>
                <w:tcPr/>
                <w:p>
                  <w:pPr>
                    <w:pStyle w:val="Compact"/>
                    <w:jc w:val="left"/>
                    <w:jc w:val="center"/>
                  </w:pPr>
                  <w:r>
                    <w:t xml:space="preserve">20.0</w:t>
                  </w:r>
                </w:p>
              </w:tc>
              <w:tc>
                <w:tcPr/>
                <w:p>
                  <w:pPr>
                    <w:pStyle w:val="Compact"/>
                    <w:jc w:val="left"/>
                    <w:jc w:val="center"/>
                  </w:pPr>
                  <w:r>
                    <w:t xml:space="preserve">0.42</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160.0</w:t>
                  </w:r>
                </w:p>
              </w:tc>
              <w:tc>
                <w:tcPr/>
                <w:p>
                  <w:pPr>
                    <w:pStyle w:val="Compact"/>
                    <w:jc w:val="left"/>
                    <w:jc w:val="center"/>
                  </w:pPr>
                  <w:r>
                    <w:t xml:space="preserve">20.0</w:t>
                  </w:r>
                </w:p>
              </w:tc>
              <w:tc>
                <w:tcPr/>
                <w:p>
                  <w:pPr>
                    <w:pStyle w:val="Compact"/>
                    <w:jc w:val="left"/>
                    <w:jc w:val="center"/>
                  </w:pPr>
                  <w:r>
                    <w:t xml:space="preserve">0.62</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61.0</w:t>
                  </w:r>
                </w:p>
              </w:tc>
              <w:tc>
                <w:tcPr/>
                <w:p>
                  <w:pPr>
                    <w:pStyle w:val="Compact"/>
                    <w:jc w:val="left"/>
                    <w:jc w:val="center"/>
                  </w:pPr>
                  <w:r>
                    <w:t xml:space="preserve">20.0</w:t>
                  </w:r>
                </w:p>
              </w:tc>
              <w:tc>
                <w:tcPr/>
                <w:p>
                  <w:pPr>
                    <w:pStyle w:val="Compact"/>
                    <w:jc w:val="left"/>
                    <w:jc w:val="center"/>
                  </w:pPr>
                  <w:r>
                    <w:t xml:space="preserve">0.51</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308.0</w:t>
                  </w:r>
                </w:p>
              </w:tc>
              <w:tc>
                <w:tcPr/>
                <w:p>
                  <w:pPr>
                    <w:pStyle w:val="Compact"/>
                    <w:jc w:val="left"/>
                    <w:jc w:val="center"/>
                  </w:pPr>
                  <w:r>
                    <w:t xml:space="preserve">20.0</w:t>
                  </w:r>
                </w:p>
              </w:tc>
              <w:tc>
                <w:tcPr/>
                <w:p>
                  <w:pPr>
                    <w:pStyle w:val="Compact"/>
                    <w:jc w:val="left"/>
                    <w:jc w:val="center"/>
                  </w:pPr>
                  <w:r>
                    <w:t xml:space="preserve">0.42</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64.0</w:t>
                  </w:r>
                </w:p>
              </w:tc>
              <w:tc>
                <w:tcPr/>
                <w:p>
                  <w:pPr>
                    <w:pStyle w:val="Compact"/>
                    <w:jc w:val="left"/>
                    <w:jc w:val="center"/>
                  </w:pPr>
                  <w:r>
                    <w:t xml:space="preserve">20.0</w:t>
                  </w:r>
                </w:p>
              </w:tc>
              <w:tc>
                <w:tcPr/>
                <w:p>
                  <w:pPr>
                    <w:pStyle w:val="Compact"/>
                    <w:jc w:val="left"/>
                    <w:jc w:val="center"/>
                  </w:pPr>
                  <w:r>
                    <w:t xml:space="preserve">0.66</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237.0</w:t>
                  </w:r>
                </w:p>
              </w:tc>
              <w:tc>
                <w:tcPr/>
                <w:p>
                  <w:pPr>
                    <w:pStyle w:val="Compact"/>
                    <w:jc w:val="left"/>
                    <w:jc w:val="center"/>
                  </w:pPr>
                  <w:r>
                    <w:t xml:space="preserve">20.0</w:t>
                  </w:r>
                </w:p>
              </w:tc>
              <w:tc>
                <w:tcPr/>
                <w:p>
                  <w:pPr>
                    <w:pStyle w:val="Compact"/>
                    <w:jc w:val="left"/>
                    <w:jc w:val="center"/>
                  </w:pPr>
                  <w:r>
                    <w:t xml:space="preserve">0.56</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309.0</w:t>
                  </w:r>
                </w:p>
              </w:tc>
              <w:tc>
                <w:tcPr/>
                <w:p>
                  <w:pPr>
                    <w:pStyle w:val="Compact"/>
                    <w:jc w:val="left"/>
                    <w:jc w:val="center"/>
                  </w:pPr>
                  <w:r>
                    <w:t xml:space="preserve">20.0</w:t>
                  </w:r>
                </w:p>
              </w:tc>
              <w:tc>
                <w:tcPr/>
                <w:p>
                  <w:pPr>
                    <w:pStyle w:val="Compact"/>
                    <w:jc w:val="left"/>
                    <w:jc w:val="center"/>
                  </w:pPr>
                  <w:r>
                    <w:t xml:space="preserve">0.58</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467.0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28.0</w:t>
                  </w:r>
                </w:p>
              </w:tc>
              <w:tc>
                <w:tcPr/>
                <w:p>
                  <w:pPr>
                    <w:pStyle w:val="Compact"/>
                    <w:jc w:val="left"/>
                    <w:jc w:val="center"/>
                  </w:pPr>
                  <w:r>
                    <w:t xml:space="preserve">0.74</w:t>
                  </w:r>
                </w:p>
              </w:tc>
              <w:tc>
                <w:tcPr/>
                <w:p>
                  <w:pPr>
                    <w:pStyle w:val="Compact"/>
                    <w:jc w:val="left"/>
                    <w:jc w:val="center"/>
                  </w:pPr>
                  <w:r>
                    <w:t xml:space="preserve">(Nicklisch et al., 2007)</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24.0</w:t>
                  </w:r>
                </w:p>
              </w:tc>
              <w:tc>
                <w:tcPr/>
                <w:p>
                  <w:pPr>
                    <w:pStyle w:val="Compact"/>
                    <w:jc w:val="left"/>
                    <w:jc w:val="center"/>
                  </w:pPr>
                  <w:r>
                    <w:t xml:space="preserve">0.72</w:t>
                  </w:r>
                </w:p>
              </w:tc>
              <w:tc>
                <w:tcPr/>
                <w:p>
                  <w:pPr>
                    <w:pStyle w:val="Compact"/>
                    <w:jc w:val="left"/>
                    <w:jc w:val="center"/>
                  </w:pPr>
                  <w:r>
                    <w:t xml:space="preserve">(Nicklisch et al., 2007)</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20.0</w:t>
                  </w:r>
                </w:p>
              </w:tc>
              <w:tc>
                <w:tcPr/>
                <w:p>
                  <w:pPr>
                    <w:pStyle w:val="Compact"/>
                    <w:jc w:val="left"/>
                    <w:jc w:val="center"/>
                  </w:pPr>
                  <w:r>
                    <w:t xml:space="preserve">0.58</w:t>
                  </w:r>
                </w:p>
              </w:tc>
              <w:tc>
                <w:tcPr/>
                <w:p>
                  <w:pPr>
                    <w:pStyle w:val="Compact"/>
                    <w:jc w:val="left"/>
                    <w:jc w:val="center"/>
                  </w:pPr>
                  <w:r>
                    <w:t xml:space="preserve">(Nicklisch et al., 2007)</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16.0</w:t>
                  </w:r>
                </w:p>
              </w:tc>
              <w:tc>
                <w:tcPr/>
                <w:p>
                  <w:pPr>
                    <w:pStyle w:val="Compact"/>
                    <w:jc w:val="left"/>
                    <w:jc w:val="center"/>
                  </w:pPr>
                  <w:r>
                    <w:t xml:space="preserve">0.43</w:t>
                  </w:r>
                </w:p>
              </w:tc>
              <w:tc>
                <w:tcPr/>
                <w:p>
                  <w:pPr>
                    <w:pStyle w:val="Compact"/>
                    <w:jc w:val="left"/>
                    <w:jc w:val="center"/>
                  </w:pPr>
                  <w:r>
                    <w:t xml:space="preserve">(Nicklisch et al., 2007)</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12.0</w:t>
                  </w:r>
                </w:p>
              </w:tc>
              <w:tc>
                <w:tcPr/>
                <w:p>
                  <w:pPr>
                    <w:pStyle w:val="Compact"/>
                    <w:jc w:val="left"/>
                    <w:jc w:val="center"/>
                  </w:pPr>
                  <w:r>
                    <w:t xml:space="preserve">0.23</w:t>
                  </w:r>
                </w:p>
              </w:tc>
              <w:tc>
                <w:tcPr/>
                <w:p>
                  <w:pPr>
                    <w:pStyle w:val="Compact"/>
                    <w:jc w:val="left"/>
                    <w:jc w:val="center"/>
                  </w:pPr>
                  <w:r>
                    <w:t xml:space="preserve">(Nicklisch et al., 2007)</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8.0</w:t>
                  </w:r>
                </w:p>
              </w:tc>
              <w:tc>
                <w:tcPr/>
                <w:p>
                  <w:pPr>
                    <w:pStyle w:val="Compact"/>
                    <w:jc w:val="left"/>
                    <w:jc w:val="center"/>
                  </w:pPr>
                  <w:r>
                    <w:t xml:space="preserve">0.13</w:t>
                  </w:r>
                </w:p>
              </w:tc>
              <w:tc>
                <w:tcPr/>
                <w:p>
                  <w:pPr>
                    <w:pStyle w:val="Compact"/>
                    <w:jc w:val="left"/>
                    <w:jc w:val="center"/>
                  </w:pPr>
                  <w:r>
                    <w:t xml:space="preserve">(Nicklisch et al., 2007)</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20.0</w:t>
                  </w:r>
                </w:p>
              </w:tc>
              <w:tc>
                <w:tcPr/>
                <w:p>
                  <w:pPr>
                    <w:pStyle w:val="Compact"/>
                    <w:jc w:val="left"/>
                    <w:jc w:val="center"/>
                  </w:pPr>
                  <w:r>
                    <w:t xml:space="preserve">0.56</w:t>
                  </w:r>
                </w:p>
              </w:tc>
              <w:tc>
                <w:tcPr/>
                <w:p>
                  <w:pPr>
                    <w:pStyle w:val="Compact"/>
                    <w:jc w:val="left"/>
                    <w:jc w:val="center"/>
                  </w:pPr>
                  <w:r>
                    <w:t xml:space="preserve">(Nicklisch et al., 2007)</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20.0</w:t>
                  </w:r>
                </w:p>
              </w:tc>
              <w:tc>
                <w:tcPr/>
                <w:p>
                  <w:pPr>
                    <w:pStyle w:val="Compact"/>
                    <w:jc w:val="left"/>
                    <w:jc w:val="center"/>
                  </w:pPr>
                  <w:r>
                    <w:t xml:space="preserve">0.57</w:t>
                  </w:r>
                </w:p>
              </w:tc>
              <w:tc>
                <w:tcPr/>
                <w:p>
                  <w:pPr>
                    <w:pStyle w:val="Compact"/>
                    <w:jc w:val="left"/>
                    <w:jc w:val="center"/>
                  </w:pPr>
                  <w:r>
                    <w:t xml:space="preserve">(Nicklisch et al., 2007)</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20.0</w:t>
                  </w:r>
                </w:p>
              </w:tc>
              <w:tc>
                <w:tcPr/>
                <w:p>
                  <w:pPr>
                    <w:pStyle w:val="Compact"/>
                    <w:jc w:val="left"/>
                    <w:jc w:val="center"/>
                  </w:pPr>
                  <w:r>
                    <w:t xml:space="preserve">0.44</w:t>
                  </w:r>
                </w:p>
              </w:tc>
              <w:tc>
                <w:tcPr/>
                <w:p>
                  <w:pPr>
                    <w:pStyle w:val="Compact"/>
                    <w:jc w:val="left"/>
                    <w:jc w:val="center"/>
                  </w:pPr>
                  <w:r>
                    <w:t xml:space="preserve">(Nicklisch et al., 2007)</w:t>
                  </w:r>
                </w:p>
              </w:tc>
            </w:tr>
            <w:tr>
              <w:tc>
                <w:tcPr/>
                <w:p>
                  <w:pPr>
                    <w:pStyle w:val="Compact"/>
                    <w:jc w:val="left"/>
                    <w:jc w:val="center"/>
                  </w:pPr>
                  <w:r>
                    <w:rPr>
                      <w:i/>
                      <w:iCs/>
                    </w:rPr>
                    <w:t xml:space="preserve">Planktothrix agardhii CYA116</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0.50</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CYA116</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0.71</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CYA116</w:t>
                  </w:r>
                </w:p>
              </w:tc>
              <w:tc>
                <w:tcPr/>
                <w:p>
                  <w:pPr>
                    <w:pStyle w:val="Compact"/>
                  </w:pPr>
                </w:p>
              </w:tc>
              <w:tc>
                <w:tcPr/>
                <w:p>
                  <w:pPr>
                    <w:pStyle w:val="Compact"/>
                  </w:pPr>
                </w:p>
              </w:tc>
              <w:tc>
                <w:tcPr/>
                <w:p>
                  <w:pPr>
                    <w:pStyle w:val="Compact"/>
                    <w:jc w:val="left"/>
                    <w:jc w:val="center"/>
                  </w:pPr>
                  <w:r>
                    <w:t xml:space="preserve">22.5</w:t>
                  </w:r>
                </w:p>
              </w:tc>
              <w:tc>
                <w:tcPr/>
                <w:p>
                  <w:pPr>
                    <w:pStyle w:val="Compact"/>
                    <w:jc w:val="left"/>
                    <w:jc w:val="center"/>
                  </w:pPr>
                  <w:r>
                    <w:t xml:space="preserve">0.82</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CYA116</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NA</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CYA116</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CYA116</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0.40</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CYA126</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0.43</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CYA126</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0.60</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CYA126</w:t>
                  </w:r>
                </w:p>
              </w:tc>
              <w:tc>
                <w:tcPr/>
                <w:p>
                  <w:pPr>
                    <w:pStyle w:val="Compact"/>
                  </w:pPr>
                </w:p>
              </w:tc>
              <w:tc>
                <w:tcPr/>
                <w:p>
                  <w:pPr>
                    <w:pStyle w:val="Compact"/>
                  </w:pPr>
                </w:p>
              </w:tc>
              <w:tc>
                <w:tcPr/>
                <w:p>
                  <w:pPr>
                    <w:pStyle w:val="Compact"/>
                    <w:jc w:val="left"/>
                    <w:jc w:val="center"/>
                  </w:pPr>
                  <w:r>
                    <w:t xml:space="preserve">22.5</w:t>
                  </w:r>
                </w:p>
              </w:tc>
              <w:tc>
                <w:tcPr/>
                <w:p>
                  <w:pPr>
                    <w:pStyle w:val="Compact"/>
                    <w:jc w:val="left"/>
                    <w:jc w:val="center"/>
                  </w:pPr>
                  <w:r>
                    <w:t xml:space="preserve">NA</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CYA126</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0.58</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CYA126</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NA</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CYA126</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NA</w:t>
                  </w:r>
                </w:p>
              </w:tc>
              <w:tc>
                <w:tcPr/>
                <w:p>
                  <w:pPr>
                    <w:pStyle w:val="Compact"/>
                    <w:jc w:val="left"/>
                    <w:jc w:val="center"/>
                  </w:pPr>
                  <w:r>
                    <w:t xml:space="preserve">(Lürling et al., 2013)</w:t>
                  </w:r>
                </w:p>
              </w:tc>
            </w:tr>
            <w:tr>
              <w:tc>
                <w:tcPr/>
                <w:p>
                  <w:pPr>
                    <w:pStyle w:val="Compact"/>
                    <w:jc w:val="left"/>
                    <w:jc w:val="center"/>
                  </w:pPr>
                  <w:r>
                    <w:rPr>
                      <w:i/>
                      <w:iCs/>
                    </w:rPr>
                    <w:t xml:space="preserve">Planktothrix</w:t>
                  </w:r>
                  <w:r>
                    <w:t xml:space="preserve"> </w:t>
                  </w:r>
                  <w:r>
                    <w:t xml:space="preserve">sp.</w:t>
                  </w:r>
                </w:p>
              </w:tc>
              <w:tc>
                <w:tcPr/>
                <w:p>
                  <w:pPr>
                    <w:pStyle w:val="Compact"/>
                    <w:jc w:val="left"/>
                    <w:jc w:val="center"/>
                  </w:pPr>
                  <w:r>
                    <w:t xml:space="preserve">BG11</w:t>
                  </w:r>
                </w:p>
              </w:tc>
              <w:tc>
                <w:tcPr/>
                <w:p>
                  <w:pPr>
                    <w:pStyle w:val="Compact"/>
                    <w:jc w:val="left"/>
                    <w:jc w:val="center"/>
                  </w:pPr>
                  <w:r>
                    <w:t xml:space="preserve">5.0</w:t>
                  </w:r>
                </w:p>
              </w:tc>
              <w:tc>
                <w:tcPr/>
                <w:p>
                  <w:pPr>
                    <w:pStyle w:val="Compact"/>
                    <w:jc w:val="left"/>
                    <w:jc w:val="center"/>
                  </w:pPr>
                  <w:r>
                    <w:t xml:space="preserve">25.0</w:t>
                  </w:r>
                </w:p>
              </w:tc>
              <w:tc>
                <w:tcPr/>
                <w:p>
                  <w:pPr>
                    <w:pStyle w:val="Compact"/>
                    <w:jc w:val="left"/>
                    <w:jc w:val="center"/>
                  </w:pPr>
                  <w:r>
                    <w:t xml:space="preserve">0.02</w:t>
                  </w:r>
                </w:p>
              </w:tc>
              <w:tc>
                <w:tcPr/>
                <w:p>
                  <w:pPr>
                    <w:pStyle w:val="Compact"/>
                    <w:jc w:val="left"/>
                    <w:jc w:val="center"/>
                  </w:pPr>
                  <w:r>
                    <w:t xml:space="preserve">(Jia et al., 2019)</w:t>
                  </w:r>
                </w:p>
              </w:tc>
            </w:tr>
            <w:tr>
              <w:tc>
                <w:tcPr/>
                <w:p>
                  <w:pPr>
                    <w:pStyle w:val="Compact"/>
                    <w:jc w:val="left"/>
                    <w:jc w:val="center"/>
                  </w:pPr>
                  <w:r>
                    <w:rPr>
                      <w:i/>
                      <w:iCs/>
                    </w:rPr>
                    <w:t xml:space="preserve">Planktothrix</w:t>
                  </w:r>
                  <w:r>
                    <w:t xml:space="preserve"> </w:t>
                  </w:r>
                  <w:r>
                    <w:t xml:space="preserve">sp.</w:t>
                  </w:r>
                </w:p>
              </w:tc>
              <w:tc>
                <w:tcPr/>
                <w:p>
                  <w:pPr>
                    <w:pStyle w:val="Compact"/>
                    <w:jc w:val="left"/>
                    <w:jc w:val="center"/>
                  </w:pPr>
                  <w:r>
                    <w:t xml:space="preserve">BG11</w:t>
                  </w:r>
                </w:p>
              </w:tc>
              <w:tc>
                <w:tcPr/>
                <w:p>
                  <w:pPr>
                    <w:pStyle w:val="Compact"/>
                    <w:jc w:val="left"/>
                    <w:jc w:val="center"/>
                  </w:pPr>
                  <w:r>
                    <w:t xml:space="preserve">17.0</w:t>
                  </w:r>
                </w:p>
              </w:tc>
              <w:tc>
                <w:tcPr/>
                <w:p>
                  <w:pPr>
                    <w:pStyle w:val="Compact"/>
                    <w:jc w:val="left"/>
                    <w:jc w:val="center"/>
                  </w:pPr>
                  <w:r>
                    <w:t xml:space="preserve">25.0</w:t>
                  </w:r>
                </w:p>
              </w:tc>
              <w:tc>
                <w:tcPr/>
                <w:p>
                  <w:pPr>
                    <w:pStyle w:val="Compact"/>
                    <w:jc w:val="left"/>
                    <w:jc w:val="center"/>
                  </w:pPr>
                  <w:r>
                    <w:t xml:space="preserve">0.16</w:t>
                  </w:r>
                </w:p>
              </w:tc>
              <w:tc>
                <w:tcPr/>
                <w:p>
                  <w:pPr>
                    <w:pStyle w:val="Compact"/>
                    <w:jc w:val="left"/>
                    <w:jc w:val="center"/>
                  </w:pPr>
                  <w:r>
                    <w:t xml:space="preserve">(Jia et al., 2019)</w:t>
                  </w:r>
                </w:p>
              </w:tc>
            </w:tr>
            <w:tr>
              <w:tc>
                <w:tcPr/>
                <w:p>
                  <w:pPr>
                    <w:pStyle w:val="Compact"/>
                    <w:jc w:val="left"/>
                    <w:jc w:val="center"/>
                  </w:pPr>
                  <w:r>
                    <w:rPr>
                      <w:i/>
                      <w:iCs/>
                    </w:rPr>
                    <w:t xml:space="preserve">Planktothrix</w:t>
                  </w:r>
                  <w:r>
                    <w:t xml:space="preserve"> </w:t>
                  </w:r>
                  <w:r>
                    <w:t xml:space="preserve">sp.</w:t>
                  </w:r>
                </w:p>
              </w:tc>
              <w:tc>
                <w:tcPr/>
                <w:p>
                  <w:pPr>
                    <w:pStyle w:val="Compact"/>
                    <w:jc w:val="left"/>
                    <w:jc w:val="center"/>
                  </w:pPr>
                  <w:r>
                    <w:t xml:space="preserve">BG11</w:t>
                  </w:r>
                </w:p>
              </w:tc>
              <w:tc>
                <w:tcPr/>
                <w:p>
                  <w:pPr>
                    <w:pStyle w:val="Compact"/>
                    <w:jc w:val="left"/>
                    <w:jc w:val="center"/>
                  </w:pPr>
                  <w:r>
                    <w:t xml:space="preserve">36.0</w:t>
                  </w:r>
                </w:p>
              </w:tc>
              <w:tc>
                <w:tcPr/>
                <w:p>
                  <w:pPr>
                    <w:pStyle w:val="Compact"/>
                    <w:jc w:val="left"/>
                    <w:jc w:val="center"/>
                  </w:pPr>
                  <w:r>
                    <w:t xml:space="preserve">25.0</w:t>
                  </w:r>
                </w:p>
              </w:tc>
              <w:tc>
                <w:tcPr/>
                <w:p>
                  <w:pPr>
                    <w:pStyle w:val="Compact"/>
                    <w:jc w:val="left"/>
                    <w:jc w:val="center"/>
                  </w:pPr>
                  <w:r>
                    <w:t xml:space="preserve">0.20</w:t>
                  </w:r>
                </w:p>
              </w:tc>
              <w:tc>
                <w:tcPr/>
                <w:p>
                  <w:pPr>
                    <w:pStyle w:val="Compact"/>
                    <w:jc w:val="left"/>
                    <w:jc w:val="center"/>
                  </w:pPr>
                  <w:r>
                    <w:t xml:space="preserve">(Jia et al., 2019)</w:t>
                  </w:r>
                </w:p>
              </w:tc>
            </w:tr>
            <w:tr>
              <w:tc>
                <w:tcPr/>
                <w:p>
                  <w:pPr>
                    <w:pStyle w:val="Compact"/>
                    <w:jc w:val="left"/>
                    <w:jc w:val="center"/>
                  </w:pPr>
                  <w:r>
                    <w:rPr>
                      <w:i/>
                      <w:iCs/>
                    </w:rPr>
                    <w:t xml:space="preserve">Planktothrix</w:t>
                  </w:r>
                  <w:r>
                    <w:t xml:space="preserve"> </w:t>
                  </w:r>
                  <w:r>
                    <w:t xml:space="preserve">sp.</w:t>
                  </w:r>
                </w:p>
              </w:tc>
              <w:tc>
                <w:tcPr/>
                <w:p>
                  <w:pPr>
                    <w:pStyle w:val="Compact"/>
                    <w:jc w:val="left"/>
                    <w:jc w:val="center"/>
                  </w:pPr>
                  <w:r>
                    <w:t xml:space="preserve">BG11</w:t>
                  </w:r>
                </w:p>
              </w:tc>
              <w:tc>
                <w:tcPr/>
                <w:p>
                  <w:pPr>
                    <w:pStyle w:val="Compact"/>
                    <w:jc w:val="left"/>
                    <w:jc w:val="center"/>
                  </w:pPr>
                  <w:r>
                    <w:t xml:space="preserve">85.0</w:t>
                  </w:r>
                </w:p>
              </w:tc>
              <w:tc>
                <w:tcPr/>
                <w:p>
                  <w:pPr>
                    <w:pStyle w:val="Compact"/>
                    <w:jc w:val="left"/>
                    <w:jc w:val="center"/>
                  </w:pPr>
                  <w:r>
                    <w:t xml:space="preserve">25.0</w:t>
                  </w:r>
                </w:p>
              </w:tc>
              <w:tc>
                <w:tcPr/>
                <w:p>
                  <w:pPr>
                    <w:pStyle w:val="Compact"/>
                    <w:jc w:val="left"/>
                    <w:jc w:val="center"/>
                  </w:pPr>
                  <w:r>
                    <w:t xml:space="preserve">0.16</w:t>
                  </w:r>
                </w:p>
              </w:tc>
              <w:tc>
                <w:tcPr/>
                <w:p>
                  <w:pPr>
                    <w:pStyle w:val="Compact"/>
                    <w:jc w:val="left"/>
                    <w:jc w:val="center"/>
                  </w:pPr>
                  <w:r>
                    <w:t xml:space="preserve">(Jia et al., 2019)</w:t>
                  </w:r>
                </w:p>
              </w:tc>
            </w:tr>
            <w:tr>
              <w:tc>
                <w:tcPr/>
                <w:p>
                  <w:pPr>
                    <w:pStyle w:val="Compact"/>
                    <w:jc w:val="left"/>
                    <w:jc w:val="center"/>
                  </w:pPr>
                  <w:r>
                    <w:rPr>
                      <w:i/>
                      <w:iCs/>
                    </w:rPr>
                    <w:t xml:space="preserve">Planktothrix</w:t>
                  </w:r>
                  <w:r>
                    <w:t xml:space="preserve"> </w:t>
                  </w:r>
                  <w:r>
                    <w:t xml:space="preserve">sp.</w:t>
                  </w:r>
                </w:p>
              </w:tc>
              <w:tc>
                <w:tcPr/>
                <w:p>
                  <w:pPr>
                    <w:pStyle w:val="Compact"/>
                    <w:jc w:val="left"/>
                    <w:jc w:val="center"/>
                  </w:pPr>
                  <w:r>
                    <w:t xml:space="preserve">BG11</w:t>
                  </w:r>
                </w:p>
              </w:tc>
              <w:tc>
                <w:tcPr/>
                <w:p>
                  <w:pPr>
                    <w:pStyle w:val="Compact"/>
                    <w:jc w:val="left"/>
                    <w:jc w:val="center"/>
                  </w:pPr>
                  <w:r>
                    <w:t xml:space="preserve">250.0</w:t>
                  </w:r>
                </w:p>
              </w:tc>
              <w:tc>
                <w:tcPr/>
                <w:p>
                  <w:pPr>
                    <w:pStyle w:val="Compact"/>
                    <w:jc w:val="left"/>
                    <w:jc w:val="center"/>
                  </w:pPr>
                  <w:r>
                    <w:t xml:space="preserve">25.0</w:t>
                  </w:r>
                </w:p>
              </w:tc>
              <w:tc>
                <w:tcPr/>
                <w:p>
                  <w:pPr>
                    <w:pStyle w:val="Compact"/>
                    <w:jc w:val="left"/>
                    <w:jc w:val="center"/>
                  </w:pPr>
                  <w:r>
                    <w:t xml:space="preserve">0.18</w:t>
                  </w:r>
                </w:p>
              </w:tc>
              <w:tc>
                <w:tcPr/>
                <w:p>
                  <w:pPr>
                    <w:pStyle w:val="Compact"/>
                    <w:jc w:val="left"/>
                    <w:jc w:val="center"/>
                  </w:pPr>
                  <w:r>
                    <w:t xml:space="preserve">(Jia et al., 2019)</w:t>
                  </w:r>
                </w:p>
              </w:tc>
            </w:tr>
            <w:tr>
              <w:tc>
                <w:tcPr/>
                <w:p>
                  <w:pPr>
                    <w:pStyle w:val="Compact"/>
                    <w:jc w:val="left"/>
                    <w:jc w:val="center"/>
                  </w:pPr>
                  <w:r>
                    <w:rPr>
                      <w:i/>
                      <w:iCs/>
                    </w:rPr>
                    <w:t xml:space="preserve">Planktothrix</w:t>
                  </w:r>
                  <w:r>
                    <w:t xml:space="preserve"> </w:t>
                  </w:r>
                  <w:r>
                    <w:t xml:space="preserve">sp.</w:t>
                  </w:r>
                </w:p>
              </w:tc>
              <w:tc>
                <w:tcPr/>
                <w:p>
                  <w:pPr>
                    <w:pStyle w:val="Compact"/>
                    <w:jc w:val="left"/>
                    <w:jc w:val="center"/>
                  </w:pPr>
                  <w:r>
                    <w:t xml:space="preserve">BG11</w:t>
                  </w:r>
                </w:p>
              </w:tc>
              <w:tc>
                <w:tcPr/>
                <w:p>
                  <w:pPr>
                    <w:pStyle w:val="Compact"/>
                    <w:jc w:val="left"/>
                    <w:jc w:val="center"/>
                  </w:pPr>
                  <w:r>
                    <w:t xml:space="preserve">4.4</w:t>
                  </w:r>
                </w:p>
              </w:tc>
              <w:tc>
                <w:tcPr/>
                <w:p>
                  <w:pPr>
                    <w:pStyle w:val="Compact"/>
                    <w:jc w:val="left"/>
                    <w:jc w:val="center"/>
                  </w:pPr>
                  <w:r>
                    <w:t xml:space="preserve">25.0</w:t>
                  </w:r>
                </w:p>
              </w:tc>
              <w:tc>
                <w:tcPr/>
                <w:p>
                  <w:pPr>
                    <w:pStyle w:val="Compact"/>
                    <w:jc w:val="left"/>
                    <w:jc w:val="center"/>
                  </w:pPr>
                  <w:r>
                    <w:t xml:space="preserve">0.00</w:t>
                  </w:r>
                </w:p>
              </w:tc>
              <w:tc>
                <w:tcPr/>
                <w:p>
                  <w:pPr>
                    <w:pStyle w:val="Compact"/>
                    <w:jc w:val="left"/>
                    <w:jc w:val="center"/>
                  </w:pPr>
                  <w:r>
                    <w:t xml:space="preserve">(Jia et al., 2019)</w:t>
                  </w:r>
                </w:p>
              </w:tc>
            </w:tr>
            <w:tr>
              <w:tc>
                <w:tcPr/>
                <w:p>
                  <w:pPr>
                    <w:pStyle w:val="Compact"/>
                    <w:jc w:val="left"/>
                    <w:jc w:val="center"/>
                  </w:pPr>
                  <w:r>
                    <w:rPr>
                      <w:i/>
                      <w:iCs/>
                    </w:rPr>
                    <w:t xml:space="preserve">Plectonema battersii</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(Tiwari et al., 2001)</w:t>
                  </w:r>
                </w:p>
              </w:tc>
            </w:tr>
            <w:tr>
              <w:tc>
                <w:tcPr/>
                <w:p>
                  <w:pPr>
                    <w:pStyle w:val="Compact"/>
                    <w:jc w:val="left"/>
                    <w:jc w:val="center"/>
                  </w:pPr>
                  <w:r>
                    <w:rPr>
                      <w:i/>
                      <w:iCs/>
                    </w:rPr>
                    <w:t xml:space="preserve">Plectonema boryanurn UTEX-482</w:t>
                  </w:r>
                </w:p>
              </w:tc>
              <w:tc>
                <w:tcPr/>
                <w:p>
                  <w:pPr>
                    <w:pStyle w:val="Compact"/>
                  </w:pPr>
                </w:p>
              </w:tc>
              <w:tc>
                <w:tcPr/>
                <w:p>
                  <w:pPr>
                    <w:pStyle w:val="Compact"/>
                  </w:pPr>
                </w:p>
              </w:tc>
              <w:tc>
                <w:tcPr/>
                <w:p>
                  <w:pPr>
                    <w:pStyle w:val="Compact"/>
                  </w:pPr>
                </w:p>
              </w:tc>
              <w:tc>
                <w:tcPr/>
                <w:p>
                  <w:pPr>
                    <w:pStyle w:val="Compact"/>
                    <w:jc w:val="left"/>
                    <w:jc w:val="center"/>
                  </w:pPr>
                  <w:r>
                    <w:t xml:space="preserve">1.44</w:t>
                  </w:r>
                </w:p>
              </w:tc>
              <w:tc>
                <w:tcPr/>
                <w:p>
                  <w:pPr>
                    <w:pStyle w:val="Compact"/>
                    <w:jc w:val="left"/>
                    <w:jc w:val="center"/>
                  </w:pPr>
                  <w:r>
                    <w:t xml:space="preserve">(Prakash et al., 1999)</w:t>
                  </w:r>
                </w:p>
              </w:tc>
            </w:tr>
            <w:tr>
              <w:tc>
                <w:tcPr/>
                <w:p>
                  <w:pPr>
                    <w:pStyle w:val="Compact"/>
                    <w:jc w:val="left"/>
                    <w:jc w:val="center"/>
                  </w:pPr>
                  <w:r>
                    <w:rPr>
                      <w:i/>
                      <w:iCs/>
                    </w:rPr>
                    <w:t xml:space="preserve">Plectonema boryanurn UTEX-482</w:t>
                  </w:r>
                </w:p>
              </w:tc>
              <w:tc>
                <w:tcPr/>
                <w:p>
                  <w:pPr>
                    <w:pStyle w:val="Compact"/>
                  </w:pPr>
                </w:p>
              </w:tc>
              <w:tc>
                <w:tcPr/>
                <w:p>
                  <w:pPr>
                    <w:pStyle w:val="Compact"/>
                  </w:pPr>
                </w:p>
              </w:tc>
              <w:tc>
                <w:tcPr/>
                <w:p>
                  <w:pPr>
                    <w:pStyle w:val="Compact"/>
                  </w:pPr>
                </w:p>
              </w:tc>
              <w:tc>
                <w:tcPr/>
                <w:p>
                  <w:pPr>
                    <w:pStyle w:val="Compact"/>
                    <w:jc w:val="left"/>
                    <w:jc w:val="center"/>
                  </w:pPr>
                  <w:r>
                    <w:t xml:space="preserve">1.40</w:t>
                  </w:r>
                </w:p>
              </w:tc>
              <w:tc>
                <w:tcPr/>
                <w:p>
                  <w:pPr>
                    <w:pStyle w:val="Compact"/>
                    <w:jc w:val="left"/>
                    <w:jc w:val="center"/>
                  </w:pPr>
                  <w:r>
                    <w:t xml:space="preserve">(Prakash et al., 1999)</w:t>
                  </w:r>
                </w:p>
              </w:tc>
            </w:tr>
            <w:tr>
              <w:tc>
                <w:tcPr/>
                <w:p>
                  <w:pPr>
                    <w:pStyle w:val="Compact"/>
                    <w:jc w:val="left"/>
                    <w:jc w:val="center"/>
                  </w:pPr>
                  <w:r>
                    <w:rPr>
                      <w:i/>
                      <w:iCs/>
                    </w:rPr>
                    <w:t xml:space="preserve">Plectonema boryanurn UTEX-485</w:t>
                  </w:r>
                </w:p>
              </w:tc>
              <w:tc>
                <w:tcPr/>
                <w:p>
                  <w:pPr>
                    <w:pStyle w:val="Compact"/>
                  </w:pPr>
                </w:p>
              </w:tc>
              <w:tc>
                <w:tcPr/>
                <w:p>
                  <w:pPr>
                    <w:pStyle w:val="Compact"/>
                  </w:pPr>
                </w:p>
              </w:tc>
              <w:tc>
                <w:tcPr/>
                <w:p>
                  <w:pPr>
                    <w:pStyle w:val="Compact"/>
                  </w:pPr>
                </w:p>
              </w:tc>
              <w:tc>
                <w:tcPr/>
                <w:p>
                  <w:pPr>
                    <w:pStyle w:val="Compact"/>
                    <w:jc w:val="left"/>
                    <w:jc w:val="center"/>
                  </w:pPr>
                  <w:r>
                    <w:t xml:space="preserve">0.29</w:t>
                  </w:r>
                </w:p>
              </w:tc>
              <w:tc>
                <w:tcPr/>
                <w:p>
                  <w:pPr>
                    <w:pStyle w:val="Compact"/>
                    <w:jc w:val="left"/>
                    <w:jc w:val="center"/>
                  </w:pPr>
                  <w:r>
                    <w:t xml:space="preserve">(Miskiewicz et al., 2000)</w:t>
                  </w:r>
                </w:p>
              </w:tc>
            </w:tr>
            <w:tr>
              <w:tc>
                <w:tcPr/>
                <w:p>
                  <w:pPr>
                    <w:pStyle w:val="Compact"/>
                    <w:jc w:val="left"/>
                    <w:jc w:val="center"/>
                  </w:pPr>
                  <w:r>
                    <w:rPr>
                      <w:i/>
                      <w:iCs/>
                    </w:rPr>
                    <w:t xml:space="preserve">Plectonema boryanurn UTEX-485</w:t>
                  </w:r>
                </w:p>
              </w:tc>
              <w:tc>
                <w:tcPr/>
                <w:p>
                  <w:pPr>
                    <w:pStyle w:val="Compact"/>
                  </w:pPr>
                </w:p>
              </w:tc>
              <w:tc>
                <w:tcPr/>
                <w:p>
                  <w:pPr>
                    <w:pStyle w:val="Compact"/>
                  </w:pPr>
                </w:p>
              </w:tc>
              <w:tc>
                <w:tcPr/>
                <w:p>
                  <w:pPr>
                    <w:pStyle w:val="Compact"/>
                  </w:pPr>
                </w:p>
              </w:tc>
              <w:tc>
                <w:tcPr/>
                <w:p>
                  <w:pPr>
                    <w:pStyle w:val="Compact"/>
                    <w:jc w:val="left"/>
                    <w:jc w:val="center"/>
                  </w:pPr>
                  <w:r>
                    <w:t xml:space="preserve">2.05</w:t>
                  </w:r>
                </w:p>
              </w:tc>
              <w:tc>
                <w:tcPr/>
                <w:p>
                  <w:pPr>
                    <w:pStyle w:val="Compact"/>
                    <w:jc w:val="left"/>
                    <w:jc w:val="center"/>
                  </w:pPr>
                  <w:r>
                    <w:t xml:space="preserve">(Miskiewicz et al., 2000)</w:t>
                  </w:r>
                </w:p>
              </w:tc>
            </w:tr>
            <w:tr>
              <w:tc>
                <w:tcPr/>
                <w:p>
                  <w:pPr>
                    <w:pStyle w:val="Compact"/>
                    <w:jc w:val="left"/>
                    <w:jc w:val="center"/>
                  </w:pPr>
                  <w:r>
                    <w:rPr>
                      <w:i/>
                      <w:iCs/>
                    </w:rPr>
                    <w:t xml:space="preserve">Plectonema boryanurn UTEX-485</w:t>
                  </w:r>
                </w:p>
              </w:tc>
              <w:tc>
                <w:tcPr/>
                <w:p>
                  <w:pPr>
                    <w:pStyle w:val="Compact"/>
                  </w:pPr>
                </w:p>
              </w:tc>
              <w:tc>
                <w:tcPr/>
                <w:p>
                  <w:pPr>
                    <w:pStyle w:val="Compact"/>
                  </w:pPr>
                </w:p>
              </w:tc>
              <w:tc>
                <w:tcPr/>
                <w:p>
                  <w:pPr>
                    <w:pStyle w:val="Compact"/>
                  </w:pPr>
                </w:p>
              </w:tc>
              <w:tc>
                <w:tcPr/>
                <w:p>
                  <w:pPr>
                    <w:pStyle w:val="Compact"/>
                    <w:jc w:val="left"/>
                    <w:jc w:val="center"/>
                  </w:pPr>
                  <w:r>
                    <w:t xml:space="preserve">0.39</w:t>
                  </w:r>
                </w:p>
              </w:tc>
              <w:tc>
                <w:tcPr/>
                <w:p>
                  <w:pPr>
                    <w:pStyle w:val="Compact"/>
                    <w:jc w:val="left"/>
                    <w:jc w:val="center"/>
                  </w:pPr>
                  <w:r>
                    <w:t xml:space="preserve">(Miskiewicz et al., 2000)</w:t>
                  </w:r>
                </w:p>
              </w:tc>
            </w:tr>
            <w:tr>
              <w:tc>
                <w:tcPr/>
                <w:p>
                  <w:pPr>
                    <w:pStyle w:val="Compact"/>
                    <w:jc w:val="left"/>
                    <w:jc w:val="center"/>
                  </w:pPr>
                  <w:r>
                    <w:rPr>
                      <w:i/>
                      <w:iCs/>
                    </w:rPr>
                    <w:t xml:space="preserve">Plectonema boryanurn UTEX-485</w:t>
                  </w:r>
                </w:p>
              </w:tc>
              <w:tc>
                <w:tcPr/>
                <w:p>
                  <w:pPr>
                    <w:pStyle w:val="Compact"/>
                  </w:pPr>
                </w:p>
              </w:tc>
              <w:tc>
                <w:tcPr/>
                <w:p>
                  <w:pPr>
                    <w:pStyle w:val="Compact"/>
                  </w:pPr>
                </w:p>
              </w:tc>
              <w:tc>
                <w:tcPr/>
                <w:p>
                  <w:pPr>
                    <w:pStyle w:val="Compact"/>
                  </w:pPr>
                </w:p>
              </w:tc>
              <w:tc>
                <w:tcPr/>
                <w:p>
                  <w:pPr>
                    <w:pStyle w:val="Compact"/>
                    <w:jc w:val="left"/>
                    <w:jc w:val="center"/>
                  </w:pPr>
                  <w:r>
                    <w:t xml:space="preserve">2.15</w:t>
                  </w:r>
                </w:p>
              </w:tc>
              <w:tc>
                <w:tcPr/>
                <w:p>
                  <w:pPr>
                    <w:pStyle w:val="Compact"/>
                    <w:jc w:val="left"/>
                    <w:jc w:val="center"/>
                  </w:pPr>
                  <w:r>
                    <w:t xml:space="preserve">(Miskiewicz et al., 2000)</w:t>
                  </w:r>
                </w:p>
              </w:tc>
            </w:tr>
            <w:tr>
              <w:tc>
                <w:tcPr/>
                <w:p>
                  <w:pPr>
                    <w:pStyle w:val="Compact"/>
                    <w:jc w:val="left"/>
                    <w:jc w:val="center"/>
                  </w:pPr>
                  <w:r>
                    <w:rPr>
                      <w:i/>
                      <w:iCs/>
                    </w:rPr>
                    <w:t xml:space="preserve">Plectonema golenkilianum</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0.07</w:t>
                  </w:r>
                </w:p>
              </w:tc>
              <w:tc>
                <w:tcPr/>
                <w:p>
                  <w:pPr>
                    <w:pStyle w:val="Compact"/>
                    <w:jc w:val="left"/>
                    <w:jc w:val="center"/>
                  </w:pPr>
                  <w:r>
                    <w:t xml:space="preserve">(Tiwari et al., 2001)</w:t>
                  </w:r>
                </w:p>
              </w:tc>
            </w:tr>
            <w:tr>
              <w:tc>
                <w:tcPr/>
                <w:p>
                  <w:pPr>
                    <w:pStyle w:val="Compact"/>
                    <w:jc w:val="left"/>
                    <w:jc w:val="center"/>
                  </w:pPr>
                  <w:r>
                    <w:rPr>
                      <w:i/>
                      <w:iCs/>
                    </w:rPr>
                    <w:t xml:space="preserve">Plectonema nostocorum</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(Tiwari et al., 2001)</w:t>
                  </w:r>
                </w:p>
              </w:tc>
            </w:tr>
            <w:tr>
              <w:tc>
                <w:tcPr/>
                <w:p>
                  <w:pPr>
                    <w:pStyle w:val="Compact"/>
                    <w:jc w:val="left"/>
                    <w:jc w:val="center"/>
                  </w:pPr>
                  <w:r>
                    <w:rPr>
                      <w:i/>
                      <w:iCs/>
                    </w:rPr>
                    <w:t xml:space="preserve">Plectonema yellowstonense</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(Tiwari et al., 2001)</w:t>
                  </w:r>
                </w:p>
              </w:tc>
            </w:tr>
            <w:tr>
              <w:tc>
                <w:tcPr/>
                <w:p>
                  <w:pPr>
                    <w:pStyle w:val="Compact"/>
                    <w:jc w:val="left"/>
                    <w:jc w:val="center"/>
                  </w:pPr>
                  <w:r>
                    <w:rPr>
                      <w:i/>
                      <w:iCs/>
                    </w:rPr>
                    <w:t xml:space="preserve">Pseudanabaena frigidum</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0.26</w:t>
                  </w:r>
                </w:p>
              </w:tc>
              <w:tc>
                <w:tcPr/>
                <w:p>
                  <w:pPr>
                    <w:pStyle w:val="Compact"/>
                    <w:jc w:val="left"/>
                    <w:jc w:val="center"/>
                  </w:pPr>
                  <w:r>
                    <w:t xml:space="preserve">(Tiwari et al., 2001)</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0.11</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25.0</w:t>
                  </w:r>
                </w:p>
              </w:tc>
              <w:tc>
                <w:tcPr/>
                <w:p>
                  <w:pPr>
                    <w:pStyle w:val="Compact"/>
                    <w:jc w:val="left"/>
                    <w:jc w:val="center"/>
                  </w:pPr>
                  <w:r>
                    <w:t xml:space="preserve">0.23</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0.19</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70.0</w:t>
                  </w:r>
                </w:p>
              </w:tc>
              <w:tc>
                <w:tcPr/>
                <w:p>
                  <w:pPr>
                    <w:pStyle w:val="Compact"/>
                    <w:jc w:val="left"/>
                    <w:jc w:val="center"/>
                  </w:pPr>
                  <w:r>
                    <w:t xml:space="preserve">25.0</w:t>
                  </w:r>
                </w:p>
              </w:tc>
              <w:tc>
                <w:tcPr/>
                <w:p>
                  <w:pPr>
                    <w:pStyle w:val="Compact"/>
                    <w:jc w:val="left"/>
                    <w:jc w:val="center"/>
                  </w:pPr>
                  <w:r>
                    <w:t xml:space="preserve">0.17</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85.0</w:t>
                  </w:r>
                </w:p>
              </w:tc>
              <w:tc>
                <w:tcPr/>
                <w:p>
                  <w:pPr>
                    <w:pStyle w:val="Compact"/>
                    <w:jc w:val="left"/>
                    <w:jc w:val="center"/>
                  </w:pPr>
                  <w:r>
                    <w:t xml:space="preserve">25.0</w:t>
                  </w:r>
                </w:p>
              </w:tc>
              <w:tc>
                <w:tcPr/>
                <w:p>
                  <w:pPr>
                    <w:pStyle w:val="Compact"/>
                    <w:jc w:val="left"/>
                    <w:jc w:val="center"/>
                  </w:pPr>
                  <w:r>
                    <w:t xml:space="preserve">0.15</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10.0</w:t>
                  </w:r>
                </w:p>
              </w:tc>
              <w:tc>
                <w:tcPr/>
                <w:p>
                  <w:pPr>
                    <w:pStyle w:val="Compact"/>
                    <w:jc w:val="left"/>
                    <w:jc w:val="center"/>
                  </w:pPr>
                  <w:r>
                    <w:t xml:space="preserve">0.08</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15.0</w:t>
                  </w:r>
                </w:p>
              </w:tc>
              <w:tc>
                <w:tcPr/>
                <w:p>
                  <w:pPr>
                    <w:pStyle w:val="Compact"/>
                    <w:jc w:val="left"/>
                    <w:jc w:val="center"/>
                  </w:pPr>
                  <w:r>
                    <w:t xml:space="preserve">0.19</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30.0</w:t>
                  </w:r>
                </w:p>
              </w:tc>
              <w:tc>
                <w:tcPr/>
                <w:p>
                  <w:pPr>
                    <w:pStyle w:val="Compact"/>
                    <w:jc w:val="left"/>
                    <w:jc w:val="center"/>
                  </w:pPr>
                  <w:r>
                    <w:t xml:space="preserve">0.24</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35.0</w:t>
                  </w:r>
                </w:p>
              </w:tc>
              <w:tc>
                <w:tcPr/>
                <w:p>
                  <w:pPr>
                    <w:pStyle w:val="Compact"/>
                    <w:jc w:val="left"/>
                    <w:jc w:val="center"/>
                  </w:pPr>
                  <w:r>
                    <w:t xml:space="preserve">0.20</w:t>
                  </w:r>
                </w:p>
              </w:tc>
              <w:tc>
                <w:tcPr/>
                <w:p>
                  <w:pPr>
                    <w:pStyle w:val="Compact"/>
                    <w:jc w:val="left"/>
                    <w:jc w:val="center"/>
                  </w:pPr>
                  <w:r>
                    <w:t xml:space="preserve">(Zhang et al., 2016)</w:t>
                  </w:r>
                </w:p>
              </w:tc>
            </w:tr>
            <w:tr>
              <w:tc>
                <w:tcPr/>
                <w:p>
                  <w:pPr>
                    <w:pStyle w:val="Compact"/>
                    <w:jc w:val="left"/>
                    <w:jc w:val="center"/>
                  </w:pPr>
                  <w:r>
                    <w:rPr>
                      <w:i/>
                      <w:iCs/>
                    </w:rPr>
                    <w:t xml:space="preserve">Pseudanabaena sp. dqh15</w:t>
                  </w:r>
                </w:p>
              </w:tc>
              <w:tc>
                <w:tcPr/>
                <w:p>
                  <w:pPr>
                    <w:pStyle w:val="Compact"/>
                    <w:jc w:val="left"/>
                    <w:jc w:val="center"/>
                  </w:pPr>
                  <w:r>
                    <w:t xml:space="preserve">CT</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0.08</w:t>
                  </w:r>
                </w:p>
              </w:tc>
              <w:tc>
                <w:tcPr/>
                <w:p>
                  <w:pPr>
                    <w:pStyle w:val="Compact"/>
                    <w:jc w:val="left"/>
                    <w:jc w:val="center"/>
                  </w:pPr>
                  <w:r>
                    <w:t xml:space="preserve">(Wang and Li, 2015)</w:t>
                  </w:r>
                </w:p>
              </w:tc>
            </w:tr>
            <w:tr>
              <w:tc>
                <w:tcPr/>
                <w:p>
                  <w:pPr>
                    <w:pStyle w:val="Compact"/>
                    <w:jc w:val="left"/>
                    <w:jc w:val="center"/>
                  </w:pPr>
                  <w:r>
                    <w:rPr>
                      <w:i/>
                      <w:iCs/>
                    </w:rPr>
                    <w:t xml:space="preserve">Pseudanabaena sp. dqh15</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0.09</w:t>
                  </w:r>
                </w:p>
              </w:tc>
              <w:tc>
                <w:tcPr/>
                <w:p>
                  <w:pPr>
                    <w:pStyle w:val="Compact"/>
                    <w:jc w:val="left"/>
                    <w:jc w:val="center"/>
                  </w:pPr>
                  <w:r>
                    <w:t xml:space="preserve">(Wang and Li, 2015)</w:t>
                  </w:r>
                </w:p>
              </w:tc>
            </w:tr>
            <w:tr>
              <w:tc>
                <w:tcPr/>
                <w:p>
                  <w:pPr>
                    <w:pStyle w:val="Compact"/>
                    <w:jc w:val="left"/>
                    <w:jc w:val="center"/>
                  </w:pPr>
                  <w:r>
                    <w:rPr>
                      <w:i/>
                      <w:iCs/>
                    </w:rPr>
                    <w:t xml:space="preserve">Pseudanabaena sp. dqh15</w:t>
                  </w:r>
                </w:p>
              </w:tc>
              <w:tc>
                <w:tcPr/>
                <w:p>
                  <w:pPr>
                    <w:pStyle w:val="Compact"/>
                    <w:jc w:val="left"/>
                    <w:jc w:val="center"/>
                  </w:pPr>
                  <w:r>
                    <w:t xml:space="preserve">CT</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0.04</w:t>
                  </w:r>
                </w:p>
              </w:tc>
              <w:tc>
                <w:tcPr/>
                <w:p>
                  <w:pPr>
                    <w:pStyle w:val="Compact"/>
                    <w:jc w:val="left"/>
                    <w:jc w:val="center"/>
                  </w:pPr>
                  <w:r>
                    <w:t xml:space="preserve">(Wang and Li, 2015)</w:t>
                  </w:r>
                </w:p>
              </w:tc>
            </w:tr>
            <w:tr>
              <w:tc>
                <w:tcPr/>
                <w:p>
                  <w:pPr>
                    <w:pStyle w:val="Compact"/>
                    <w:jc w:val="left"/>
                    <w:jc w:val="center"/>
                  </w:pPr>
                  <w:r>
                    <w:rPr>
                      <w:i/>
                      <w:iCs/>
                    </w:rPr>
                    <w:t xml:space="preserve">Pseudanabaena sp. dqh15</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10.0</w:t>
                  </w:r>
                </w:p>
              </w:tc>
              <w:tc>
                <w:tcPr/>
                <w:p>
                  <w:pPr>
                    <w:pStyle w:val="Compact"/>
                    <w:jc w:val="left"/>
                    <w:jc w:val="center"/>
                  </w:pPr>
                  <w:r>
                    <w:t xml:space="preserve">0.18</w:t>
                  </w:r>
                </w:p>
              </w:tc>
              <w:tc>
                <w:tcPr/>
                <w:p>
                  <w:pPr>
                    <w:pStyle w:val="Compact"/>
                    <w:jc w:val="left"/>
                    <w:jc w:val="center"/>
                  </w:pPr>
                  <w:r>
                    <w:t xml:space="preserve">(Wang and Li, 2015)</w:t>
                  </w:r>
                </w:p>
              </w:tc>
            </w:tr>
            <w:tr>
              <w:tc>
                <w:tcPr/>
                <w:p>
                  <w:pPr>
                    <w:pStyle w:val="Compact"/>
                    <w:jc w:val="left"/>
                    <w:jc w:val="center"/>
                  </w:pPr>
                  <w:r>
                    <w:rPr>
                      <w:i/>
                      <w:iCs/>
                    </w:rPr>
                    <w:t xml:space="preserve">Pseudanabaena sp. dqh15</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35.0</w:t>
                  </w:r>
                </w:p>
              </w:tc>
              <w:tc>
                <w:tcPr/>
                <w:p>
                  <w:pPr>
                    <w:pStyle w:val="Compact"/>
                    <w:jc w:val="left"/>
                    <w:jc w:val="center"/>
                  </w:pPr>
                  <w:r>
                    <w:t xml:space="preserve">0.07</w:t>
                  </w:r>
                </w:p>
              </w:tc>
              <w:tc>
                <w:tcPr/>
                <w:p>
                  <w:pPr>
                    <w:pStyle w:val="Compact"/>
                    <w:jc w:val="left"/>
                    <w:jc w:val="center"/>
                  </w:pPr>
                  <w:r>
                    <w:t xml:space="preserve">(Wang and Li, 2015)</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15.0</w:t>
                  </w:r>
                </w:p>
              </w:tc>
              <w:tc>
                <w:tcPr/>
                <w:p>
                  <w:pPr>
                    <w:pStyle w:val="Compact"/>
                    <w:jc w:val="left"/>
                    <w:jc w:val="center"/>
                  </w:pPr>
                  <w:r>
                    <w:t xml:space="preserve">0.13</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0.19</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30.0</w:t>
                  </w:r>
                </w:p>
              </w:tc>
              <w:tc>
                <w:tcPr/>
                <w:p>
                  <w:pPr>
                    <w:pStyle w:val="Compact"/>
                    <w:jc w:val="left"/>
                    <w:jc w:val="center"/>
                  </w:pPr>
                  <w:r>
                    <w:t xml:space="preserve">0.16</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35.0</w:t>
                  </w:r>
                </w:p>
              </w:tc>
              <w:tc>
                <w:tcPr/>
                <w:p>
                  <w:pPr>
                    <w:pStyle w:val="Compact"/>
                    <w:jc w:val="left"/>
                    <w:jc w:val="center"/>
                  </w:pPr>
                  <w:r>
                    <w:t xml:space="preserve">0.13</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40.0</w:t>
                  </w:r>
                </w:p>
              </w:tc>
              <w:tc>
                <w:tcPr/>
                <w:p>
                  <w:pPr>
                    <w:pStyle w:val="Compact"/>
                    <w:jc w:val="left"/>
                    <w:jc w:val="center"/>
                  </w:pPr>
                  <w:r>
                    <w:t xml:space="preserve">-0.02</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0.0</w:t>
                  </w:r>
                </w:p>
              </w:tc>
              <w:tc>
                <w:tcPr/>
                <w:p>
                  <w:pPr>
                    <w:pStyle w:val="Compact"/>
                    <w:jc w:val="left"/>
                    <w:jc w:val="center"/>
                  </w:pPr>
                  <w:r>
                    <w:t xml:space="preserve">25.0</w:t>
                  </w:r>
                </w:p>
              </w:tc>
              <w:tc>
                <w:tcPr/>
                <w:p>
                  <w:pPr>
                    <w:pStyle w:val="Compact"/>
                    <w:jc w:val="left"/>
                    <w:jc w:val="center"/>
                  </w:pPr>
                  <w:r>
                    <w:t xml:space="preserve">-0.13</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9.0</w:t>
                  </w:r>
                </w:p>
              </w:tc>
              <w:tc>
                <w:tcPr/>
                <w:p>
                  <w:pPr>
                    <w:pStyle w:val="Compact"/>
                    <w:jc w:val="left"/>
                    <w:jc w:val="center"/>
                  </w:pPr>
                  <w:r>
                    <w:t xml:space="preserve">25.0</w:t>
                  </w:r>
                </w:p>
              </w:tc>
              <w:tc>
                <w:tcPr/>
                <w:p>
                  <w:pPr>
                    <w:pStyle w:val="Compact"/>
                    <w:jc w:val="left"/>
                    <w:jc w:val="center"/>
                  </w:pPr>
                  <w:r>
                    <w:t xml:space="preserve">0.18</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18.0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27.0</w:t>
                  </w:r>
                </w:p>
              </w:tc>
              <w:tc>
                <w:tcPr/>
                <w:p>
                  <w:pPr>
                    <w:pStyle w:val="Compact"/>
                    <w:jc w:val="left"/>
                    <w:jc w:val="center"/>
                  </w:pPr>
                  <w:r>
                    <w:t xml:space="preserve">25.0</w:t>
                  </w:r>
                </w:p>
              </w:tc>
              <w:tc>
                <w:tcPr/>
                <w:p>
                  <w:pPr>
                    <w:pStyle w:val="Compact"/>
                    <w:jc w:val="left"/>
                    <w:jc w:val="center"/>
                  </w:pPr>
                  <w:r>
                    <w:t xml:space="preserve">0.23</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36.0</w:t>
                  </w:r>
                </w:p>
              </w:tc>
              <w:tc>
                <w:tcPr/>
                <w:p>
                  <w:pPr>
                    <w:pStyle w:val="Compact"/>
                    <w:jc w:val="left"/>
                    <w:jc w:val="center"/>
                  </w:pPr>
                  <w:r>
                    <w:t xml:space="preserve">25.0</w:t>
                  </w:r>
                </w:p>
              </w:tc>
              <w:tc>
                <w:tcPr/>
                <w:p>
                  <w:pPr>
                    <w:pStyle w:val="Compact"/>
                    <w:jc w:val="left"/>
                    <w:jc w:val="center"/>
                  </w:pPr>
                  <w:r>
                    <w:t xml:space="preserve">0.22</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45.0</w:t>
                  </w:r>
                </w:p>
              </w:tc>
              <w:tc>
                <w:tcPr/>
                <w:p>
                  <w:pPr>
                    <w:pStyle w:val="Compact"/>
                    <w:jc w:val="left"/>
                    <w:jc w:val="center"/>
                  </w:pPr>
                  <w:r>
                    <w:t xml:space="preserve">25.0</w:t>
                  </w:r>
                </w:p>
              </w:tc>
              <w:tc>
                <w:tcPr/>
                <w:p>
                  <w:pPr>
                    <w:pStyle w:val="Compact"/>
                    <w:jc w:val="left"/>
                    <w:jc w:val="center"/>
                  </w:pPr>
                  <w:r>
                    <w:t xml:space="preserve">0.22</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0.22</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142.0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216.0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TN:0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-0.11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TN:2.4mg/L,TP: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-0.01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TN:4.8mg/L,TP: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0.04</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TN:9.6mg/L,TP: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0.09</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TN:19.2mg/L,TP: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0.17</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TN:38.4mg/L,TP: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0.19</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TN:76.8mg/L,TP: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0.20</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TN:153.6mg/L,TP: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TN:230.4mg/L,TP: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0.22</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mg/L,TP:0mg/L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0.06</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mg/L,TP:0.04mg/L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0.22</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mg/L,TP:0.16mg/L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mg/L,TP:0.32mg/L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0.27</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mg/L,TP:0.64mg/L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0.28</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mg/L,TP:1.28mg/L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0.28</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mg/L,TP:5.12mg/L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0.24</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mg/L,TP:10.24mg/L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0.23</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mg/L,TP:102.4mg/L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0.05</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0.00</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0.24</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0.23</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0.24</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0.22</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0.00</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0.00</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0.22</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0.20</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0.20</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0.20</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Selenastrum capricornutum</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0.61</w:t>
                  </w:r>
                </w:p>
              </w:tc>
              <w:tc>
                <w:tcPr/>
                <w:p>
                  <w:pPr>
                    <w:pStyle w:val="Compact"/>
                    <w:jc w:val="left"/>
                    <w:jc w:val="center"/>
                  </w:pPr>
                  <w:r>
                    <w:t xml:space="preserve">(Fujimoto et al., 1994)</w:t>
                  </w:r>
                </w:p>
              </w:tc>
            </w:tr>
            <w:tr>
              <w:tc>
                <w:tcPr/>
                <w:p>
                  <w:pPr>
                    <w:pStyle w:val="Compact"/>
                    <w:jc w:val="left"/>
                    <w:jc w:val="center"/>
                  </w:pPr>
                  <w:r>
                    <w:rPr>
                      <w:i/>
                      <w:iCs/>
                    </w:rPr>
                    <w:t xml:space="preserve">Selenastrum capricornutum</w:t>
                  </w:r>
                </w:p>
              </w:tc>
              <w:tc>
                <w:tcPr/>
                <w:p>
                  <w:pPr>
                    <w:pStyle w:val="Compact"/>
                  </w:pPr>
                </w:p>
              </w:tc>
              <w:tc>
                <w:tcPr/>
                <w:p>
                  <w:pPr>
                    <w:pStyle w:val="Compact"/>
                  </w:pPr>
                </w:p>
              </w:tc>
              <w:tc>
                <w:tcPr/>
                <w:p>
                  <w:pPr>
                    <w:pStyle w:val="Compact"/>
                    <w:jc w:val="left"/>
                    <w:jc w:val="center"/>
                  </w:pPr>
                  <w:r>
                    <w:t xml:space="preserve">21.0</w:t>
                  </w:r>
                </w:p>
              </w:tc>
              <w:tc>
                <w:tcPr/>
                <w:p>
                  <w:pPr>
                    <w:pStyle w:val="Compact"/>
                    <w:jc w:val="left"/>
                    <w:jc w:val="center"/>
                  </w:pPr>
                  <w:r>
                    <w:t xml:space="preserve">1.08</w:t>
                  </w:r>
                </w:p>
              </w:tc>
              <w:tc>
                <w:tcPr/>
                <w:p>
                  <w:pPr>
                    <w:pStyle w:val="Compact"/>
                    <w:jc w:val="left"/>
                    <w:jc w:val="center"/>
                  </w:pPr>
                  <w:r>
                    <w:t xml:space="preserve">(Novak and Brune, 1985)</w:t>
                  </w:r>
                </w:p>
              </w:tc>
            </w:tr>
            <w:tr>
              <w:tc>
                <w:tcPr/>
                <w:p>
                  <w:pPr>
                    <w:pStyle w:val="Compact"/>
                    <w:jc w:val="left"/>
                    <w:jc w:val="center"/>
                  </w:pPr>
                  <w:r>
                    <w:rPr>
                      <w:i/>
                      <w:iCs/>
                    </w:rPr>
                    <w:t xml:space="preserve">Selenastrum minutum</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1.73</w:t>
                  </w:r>
                </w:p>
              </w:tc>
              <w:tc>
                <w:tcPr/>
                <w:p>
                  <w:pPr>
                    <w:pStyle w:val="Compact"/>
                    <w:jc w:val="left"/>
                    <w:jc w:val="center"/>
                  </w:pPr>
                  <w:r>
                    <w:t xml:space="preserve">(Bouarab et al., 2002)</w:t>
                  </w:r>
                </w:p>
              </w:tc>
            </w:tr>
            <w:tr>
              <w:tc>
                <w:tcPr/>
                <w:p>
                  <w:pPr>
                    <w:pStyle w:val="Compact"/>
                    <w:jc w:val="left"/>
                    <w:jc w:val="center"/>
                  </w:pPr>
                  <w:r>
                    <w:rPr>
                      <w:i/>
                      <w:iCs/>
                    </w:rPr>
                    <w:t xml:space="preserve">Synechococcus elongatus PCC6301</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(Lürling et al., 2013)</w:t>
                  </w:r>
                </w:p>
              </w:tc>
            </w:tr>
            <w:tr>
              <w:tc>
                <w:tcPr/>
                <w:p>
                  <w:pPr>
                    <w:pStyle w:val="Compact"/>
                    <w:jc w:val="left"/>
                    <w:jc w:val="center"/>
                  </w:pPr>
                  <w:r>
                    <w:rPr>
                      <w:i/>
                      <w:iCs/>
                    </w:rPr>
                    <w:t xml:space="preserve">Synechococcus elongatus PCC6301</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0.67</w:t>
                  </w:r>
                </w:p>
              </w:tc>
              <w:tc>
                <w:tcPr/>
                <w:p>
                  <w:pPr>
                    <w:pStyle w:val="Compact"/>
                    <w:jc w:val="left"/>
                    <w:jc w:val="center"/>
                  </w:pPr>
                  <w:r>
                    <w:t xml:space="preserve">(Lürling et al., 2013)</w:t>
                  </w:r>
                </w:p>
              </w:tc>
            </w:tr>
            <w:tr>
              <w:tc>
                <w:tcPr/>
                <w:p>
                  <w:pPr>
                    <w:pStyle w:val="Compact"/>
                    <w:jc w:val="left"/>
                    <w:jc w:val="center"/>
                  </w:pPr>
                  <w:r>
                    <w:rPr>
                      <w:i/>
                      <w:iCs/>
                    </w:rPr>
                    <w:t xml:space="preserve">Synechococcus elongatus PCC6301</w:t>
                  </w:r>
                </w:p>
              </w:tc>
              <w:tc>
                <w:tcPr/>
                <w:p>
                  <w:pPr>
                    <w:pStyle w:val="Compact"/>
                  </w:pPr>
                </w:p>
              </w:tc>
              <w:tc>
                <w:tcPr/>
                <w:p>
                  <w:pPr>
                    <w:pStyle w:val="Compact"/>
                  </w:pPr>
                </w:p>
              </w:tc>
              <w:tc>
                <w:tcPr/>
                <w:p>
                  <w:pPr>
                    <w:pStyle w:val="Compact"/>
                    <w:jc w:val="left"/>
                    <w:jc w:val="center"/>
                  </w:pPr>
                  <w:r>
                    <w:t xml:space="preserve">22.5</w:t>
                  </w:r>
                </w:p>
              </w:tc>
              <w:tc>
                <w:tcPr/>
                <w:p>
                  <w:pPr>
                    <w:pStyle w:val="Compact"/>
                    <w:jc w:val="left"/>
                    <w:jc w:val="center"/>
                  </w:pPr>
                  <w:r>
                    <w:t xml:space="preserve">0.64</w:t>
                  </w:r>
                </w:p>
              </w:tc>
              <w:tc>
                <w:tcPr/>
                <w:p>
                  <w:pPr>
                    <w:pStyle w:val="Compact"/>
                    <w:jc w:val="left"/>
                    <w:jc w:val="center"/>
                  </w:pPr>
                  <w:r>
                    <w:t xml:space="preserve">(Lürling et al., 2013)</w:t>
                  </w:r>
                </w:p>
              </w:tc>
            </w:tr>
            <w:tr>
              <w:tc>
                <w:tcPr/>
                <w:p>
                  <w:pPr>
                    <w:pStyle w:val="Compact"/>
                    <w:jc w:val="left"/>
                    <w:jc w:val="center"/>
                  </w:pPr>
                  <w:r>
                    <w:rPr>
                      <w:i/>
                      <w:iCs/>
                    </w:rPr>
                    <w:t xml:space="preserve">Synechococcus elongatus PCC6301</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0.72</w:t>
                  </w:r>
                </w:p>
              </w:tc>
              <w:tc>
                <w:tcPr/>
                <w:p>
                  <w:pPr>
                    <w:pStyle w:val="Compact"/>
                    <w:jc w:val="left"/>
                    <w:jc w:val="center"/>
                  </w:pPr>
                  <w:r>
                    <w:t xml:space="preserve">(Lürling et al., 2013)</w:t>
                  </w:r>
                </w:p>
              </w:tc>
            </w:tr>
            <w:tr>
              <w:tc>
                <w:tcPr/>
                <w:p>
                  <w:pPr>
                    <w:pStyle w:val="Compact"/>
                    <w:jc w:val="left"/>
                    <w:jc w:val="center"/>
                  </w:pPr>
                  <w:r>
                    <w:rPr>
                      <w:i/>
                      <w:iCs/>
                    </w:rPr>
                    <w:t xml:space="preserve">Synechococcus elongatus PCC6301</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0.82</w:t>
                  </w:r>
                </w:p>
              </w:tc>
              <w:tc>
                <w:tcPr/>
                <w:p>
                  <w:pPr>
                    <w:pStyle w:val="Compact"/>
                    <w:jc w:val="left"/>
                    <w:jc w:val="center"/>
                  </w:pPr>
                  <w:r>
                    <w:t xml:space="preserve">(Lürling et al., 2013)</w:t>
                  </w:r>
                </w:p>
              </w:tc>
            </w:tr>
            <w:tr>
              <w:tc>
                <w:tcPr/>
                <w:p>
                  <w:pPr>
                    <w:pStyle w:val="Compact"/>
                    <w:jc w:val="left"/>
                    <w:jc w:val="center"/>
                  </w:pPr>
                  <w:r>
                    <w:rPr>
                      <w:i/>
                      <w:iCs/>
                    </w:rPr>
                    <w:t xml:space="preserve">Synechococcus elongatus PCC6301</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0.91</w:t>
                  </w:r>
                </w:p>
              </w:tc>
              <w:tc>
                <w:tcPr/>
                <w:p>
                  <w:pPr>
                    <w:pStyle w:val="Compact"/>
                    <w:jc w:val="left"/>
                    <w:jc w:val="center"/>
                  </w:pPr>
                  <w:r>
                    <w:t xml:space="preserve">(Lürling et al., 2013)</w:t>
                  </w:r>
                </w:p>
              </w:tc>
            </w:tr>
            <w:tr>
              <w:tc>
                <w:tcPr/>
                <w:p>
                  <w:pPr>
                    <w:pStyle w:val="Compact"/>
                    <w:jc w:val="left"/>
                    <w:jc w:val="center"/>
                  </w:pPr>
                  <w:r>
                    <w:rPr>
                      <w:i/>
                      <w:iCs/>
                    </w:rPr>
                    <w:t xml:space="preserve">Synechococcus sp. CCMP1768</w:t>
                  </w:r>
                </w:p>
              </w:tc>
              <w:tc>
                <w:tcPr/>
                <w:p>
                  <w:pPr>
                    <w:pStyle w:val="Compact"/>
                  </w:pPr>
                </w:p>
              </w:tc>
              <w:tc>
                <w:tcPr/>
                <w:p>
                  <w:pPr>
                    <w:pStyle w:val="Compact"/>
                    <w:jc w:val="left"/>
                    <w:jc w:val="center"/>
                  </w:pPr>
                  <w:r>
                    <w:t xml:space="preserve">43.0</w:t>
                  </w:r>
                </w:p>
              </w:tc>
              <w:tc>
                <w:tcPr/>
                <w:p>
                  <w:pPr>
                    <w:pStyle w:val="Compact"/>
                  </w:pPr>
                </w:p>
              </w:tc>
              <w:tc>
                <w:tcPr/>
                <w:p>
                  <w:pPr>
                    <w:pStyle w:val="Compact"/>
                    <w:jc w:val="left"/>
                    <w:jc w:val="center"/>
                  </w:pPr>
                  <w:r>
                    <w:t xml:space="preserve">0.23</w:t>
                  </w:r>
                </w:p>
              </w:tc>
              <w:tc>
                <w:tcPr/>
                <w:p>
                  <w:pPr>
                    <w:pStyle w:val="Compact"/>
                    <w:jc w:val="left"/>
                    <w:jc w:val="center"/>
                  </w:pPr>
                  <w:r>
                    <w:t xml:space="preserve">(Glibert et al., 2009)</w:t>
                  </w:r>
                </w:p>
              </w:tc>
            </w:tr>
            <w:tr>
              <w:tc>
                <w:tcPr/>
                <w:p>
                  <w:pPr>
                    <w:pStyle w:val="Compact"/>
                    <w:jc w:val="left"/>
                    <w:jc w:val="center"/>
                  </w:pPr>
                  <w:r>
                    <w:rPr>
                      <w:i/>
                      <w:iCs/>
                    </w:rPr>
                    <w:t xml:space="preserve">Synechococcus sp. CCMP1768</w:t>
                  </w:r>
                </w:p>
              </w:tc>
              <w:tc>
                <w:tcPr/>
                <w:p>
                  <w:pPr>
                    <w:pStyle w:val="Compact"/>
                  </w:pPr>
                </w:p>
              </w:tc>
              <w:tc>
                <w:tcPr/>
                <w:p>
                  <w:pPr>
                    <w:pStyle w:val="Compact"/>
                    <w:jc w:val="left"/>
                    <w:jc w:val="center"/>
                  </w:pPr>
                  <w:r>
                    <w:t xml:space="preserve">43.0</w:t>
                  </w:r>
                </w:p>
              </w:tc>
              <w:tc>
                <w:tcPr/>
                <w:p>
                  <w:pPr>
                    <w:pStyle w:val="Compact"/>
                  </w:pPr>
                </w:p>
              </w:tc>
              <w:tc>
                <w:tcPr/>
                <w:p>
                  <w:pPr>
                    <w:pStyle w:val="Compact"/>
                    <w:jc w:val="left"/>
                    <w:jc w:val="center"/>
                  </w:pPr>
                  <w:r>
                    <w:t xml:space="preserve">0.49</w:t>
                  </w:r>
                </w:p>
              </w:tc>
              <w:tc>
                <w:tcPr/>
                <w:p>
                  <w:pPr>
                    <w:pStyle w:val="Compact"/>
                    <w:jc w:val="left"/>
                    <w:jc w:val="center"/>
                  </w:pPr>
                  <w:r>
                    <w:t xml:space="preserve">(Glibert et al., 2009)</w:t>
                  </w:r>
                </w:p>
              </w:tc>
            </w:tr>
            <w:tr>
              <w:tc>
                <w:tcPr/>
                <w:p>
                  <w:pPr>
                    <w:pStyle w:val="Compact"/>
                    <w:jc w:val="left"/>
                    <w:jc w:val="center"/>
                  </w:pPr>
                  <w:r>
                    <w:rPr>
                      <w:i/>
                      <w:iCs/>
                    </w:rPr>
                    <w:t xml:space="preserve">Synechococcus sp. strain PCC6301</w:t>
                  </w:r>
                </w:p>
              </w:tc>
              <w:tc>
                <w:tcPr/>
                <w:p>
                  <w:pPr>
                    <w:pStyle w:val="Compact"/>
                  </w:pPr>
                </w:p>
              </w:tc>
              <w:tc>
                <w:tcPr/>
                <w:p>
                  <w:pPr>
                    <w:pStyle w:val="Compact"/>
                  </w:pPr>
                </w:p>
              </w:tc>
              <w:tc>
                <w:tcPr/>
                <w:p>
                  <w:pPr>
                    <w:pStyle w:val="Compact"/>
                  </w:pPr>
                </w:p>
              </w:tc>
              <w:tc>
                <w:tcPr/>
                <w:p>
                  <w:pPr>
                    <w:pStyle w:val="Compact"/>
                    <w:jc w:val="left"/>
                    <w:jc w:val="center"/>
                  </w:pPr>
                  <w:r>
                    <w:t xml:space="preserve">0.03</w:t>
                  </w:r>
                </w:p>
              </w:tc>
              <w:tc>
                <w:tcPr/>
                <w:p>
                  <w:pPr>
                    <w:pStyle w:val="Compact"/>
                    <w:jc w:val="left"/>
                    <w:jc w:val="center"/>
                  </w:pPr>
                  <w:r>
                    <w:t xml:space="preserve">(Lepp and Schmidt, 2004)</w:t>
                  </w:r>
                </w:p>
              </w:tc>
            </w:tr>
            <w:tr>
              <w:tc>
                <w:tcPr/>
                <w:p>
                  <w:pPr>
                    <w:pStyle w:val="Compact"/>
                    <w:jc w:val="left"/>
                    <w:jc w:val="center"/>
                  </w:pPr>
                  <w:r>
                    <w:rPr>
                      <w:i/>
                      <w:iCs/>
                    </w:rPr>
                    <w:t xml:space="preserve">Synechococcus sp. strain PCC6301</w:t>
                  </w:r>
                </w:p>
              </w:tc>
              <w:tc>
                <w:tcPr/>
                <w:p>
                  <w:pPr>
                    <w:pStyle w:val="Compact"/>
                  </w:pPr>
                </w:p>
              </w:tc>
              <w:tc>
                <w:tcPr/>
                <w:p>
                  <w:pPr>
                    <w:pStyle w:val="Compact"/>
                  </w:pPr>
                </w:p>
              </w:tc>
              <w:tc>
                <w:tcPr/>
                <w:p>
                  <w:pPr>
                    <w:pStyle w:val="Compact"/>
                  </w:pPr>
                </w:p>
              </w:tc>
              <w:tc>
                <w:tcPr/>
                <w:p>
                  <w:pPr>
                    <w:pStyle w:val="Compact"/>
                    <w:jc w:val="left"/>
                    <w:jc w:val="center"/>
                  </w:pPr>
                  <w:r>
                    <w:t xml:space="preserve">0.48</w:t>
                  </w:r>
                </w:p>
              </w:tc>
              <w:tc>
                <w:tcPr/>
                <w:p>
                  <w:pPr>
                    <w:pStyle w:val="Compact"/>
                    <w:jc w:val="left"/>
                    <w:jc w:val="center"/>
                  </w:pPr>
                  <w:r>
                    <w:t xml:space="preserve">(Lepp and Schmidt, 2004)</w:t>
                  </w:r>
                </w:p>
              </w:tc>
            </w:tr>
            <w:tr>
              <w:tc>
                <w:tcPr/>
                <w:p>
                  <w:pPr>
                    <w:pStyle w:val="Compact"/>
                    <w:jc w:val="left"/>
                    <w:jc w:val="center"/>
                  </w:pPr>
                  <w:r>
                    <w:rPr>
                      <w:i/>
                      <w:iCs/>
                    </w:rPr>
                    <w:t xml:space="preserve">Synechococcus sp. strain PCC6301</w:t>
                  </w:r>
                </w:p>
              </w:tc>
              <w:tc>
                <w:tcPr/>
                <w:p>
                  <w:pPr>
                    <w:pStyle w:val="Compact"/>
                  </w:pPr>
                </w:p>
              </w:tc>
              <w:tc>
                <w:tcPr/>
                <w:p>
                  <w:pPr>
                    <w:pStyle w:val="Compact"/>
                  </w:pPr>
                </w:p>
              </w:tc>
              <w:tc>
                <w:tcPr/>
                <w:p>
                  <w:pPr>
                    <w:pStyle w:val="Compact"/>
                  </w:pPr>
                </w:p>
              </w:tc>
              <w:tc>
                <w:tcPr/>
                <w:p>
                  <w:pPr>
                    <w:pStyle w:val="Compact"/>
                    <w:jc w:val="left"/>
                    <w:jc w:val="center"/>
                  </w:pPr>
                  <w:r>
                    <w:t xml:space="preserve">3.40</w:t>
                  </w:r>
                </w:p>
              </w:tc>
              <w:tc>
                <w:tcPr/>
                <w:p>
                  <w:pPr>
                    <w:pStyle w:val="Compact"/>
                    <w:jc w:val="left"/>
                    <w:jc w:val="center"/>
                  </w:pPr>
                  <w:r>
                    <w:t xml:space="preserve">(Lepp and Schmidt, 2004)</w:t>
                  </w:r>
                </w:p>
              </w:tc>
            </w:tr>
            <w:tr>
              <w:tc>
                <w:tcPr/>
                <w:p>
                  <w:pPr>
                    <w:pStyle w:val="Compact"/>
                    <w:jc w:val="left"/>
                    <w:jc w:val="center"/>
                  </w:pPr>
                  <w:r>
                    <w:rPr>
                      <w:i/>
                      <w:iCs/>
                    </w:rPr>
                    <w:t xml:space="preserve">Synechococcus sp. strain PCC6301</w:t>
                  </w:r>
                </w:p>
              </w:tc>
              <w:tc>
                <w:tcPr/>
                <w:p>
                  <w:pPr>
                    <w:pStyle w:val="Compact"/>
                  </w:pPr>
                </w:p>
              </w:tc>
              <w:tc>
                <w:tcPr/>
                <w:p>
                  <w:pPr>
                    <w:pStyle w:val="Compact"/>
                  </w:pPr>
                </w:p>
              </w:tc>
              <w:tc>
                <w:tcPr/>
                <w:p>
                  <w:pPr>
                    <w:pStyle w:val="Compact"/>
                  </w:pPr>
                </w:p>
              </w:tc>
              <w:tc>
                <w:tcPr/>
                <w:p>
                  <w:pPr>
                    <w:pStyle w:val="Compact"/>
                    <w:jc w:val="left"/>
                    <w:jc w:val="center"/>
                  </w:pPr>
                  <w:r>
                    <w:t xml:space="preserve">1.37</w:t>
                  </w:r>
                </w:p>
              </w:tc>
              <w:tc>
                <w:tcPr/>
                <w:p>
                  <w:pPr>
                    <w:pStyle w:val="Compact"/>
                    <w:jc w:val="left"/>
                    <w:jc w:val="center"/>
                  </w:pPr>
                  <w:r>
                    <w:t xml:space="preserve">(Lepp and Schmidt, 2004)</w:t>
                  </w:r>
                </w:p>
              </w:tc>
            </w:tr>
            <w:tr>
              <w:tc>
                <w:tcPr/>
                <w:p>
                  <w:pPr>
                    <w:pStyle w:val="Compact"/>
                    <w:jc w:val="left"/>
                    <w:jc w:val="center"/>
                  </w:pPr>
                  <w:r>
                    <w:rPr>
                      <w:i/>
                      <w:iCs/>
                    </w:rPr>
                    <w:t xml:space="preserve">Synechococcus sp. strain PCC6301</w:t>
                  </w:r>
                </w:p>
              </w:tc>
              <w:tc>
                <w:tcPr/>
                <w:p>
                  <w:pPr>
                    <w:pStyle w:val="Compact"/>
                  </w:pPr>
                </w:p>
              </w:tc>
              <w:tc>
                <w:tcPr/>
                <w:p>
                  <w:pPr>
                    <w:pStyle w:val="Compact"/>
                  </w:pPr>
                </w:p>
              </w:tc>
              <w:tc>
                <w:tcPr/>
                <w:p>
                  <w:pPr>
                    <w:pStyle w:val="Compact"/>
                  </w:pPr>
                </w:p>
              </w:tc>
              <w:tc>
                <w:tcPr/>
                <w:p>
                  <w:pPr>
                    <w:pStyle w:val="Compact"/>
                    <w:jc w:val="left"/>
                    <w:jc w:val="center"/>
                  </w:pPr>
                  <w:r>
                    <w:t xml:space="preserve">0.19</w:t>
                  </w:r>
                </w:p>
              </w:tc>
              <w:tc>
                <w:tcPr/>
                <w:p>
                  <w:pPr>
                    <w:pStyle w:val="Compact"/>
                    <w:jc w:val="left"/>
                    <w:jc w:val="center"/>
                  </w:pPr>
                  <w:r>
                    <w:t xml:space="preserve">(Lepp and Schmidt, 2004)</w:t>
                  </w:r>
                </w:p>
              </w:tc>
            </w:tr>
            <w:tr>
              <w:tc>
                <w:tcPr/>
                <w:p>
                  <w:pPr>
                    <w:pStyle w:val="Compact"/>
                    <w:jc w:val="left"/>
                    <w:jc w:val="center"/>
                  </w:pPr>
                  <w:r>
                    <w:rPr>
                      <w:i/>
                      <w:iCs/>
                    </w:rPr>
                    <w:t xml:space="preserve">Synechococcus spp.</w:t>
                  </w:r>
                </w:p>
              </w:tc>
              <w:tc>
                <w:tcPr/>
                <w:p>
                  <w:pPr>
                    <w:pStyle w:val="Compact"/>
                    <w:jc w:val="left"/>
                    <w:jc w:val="center"/>
                  </w:pPr>
                  <w:r>
                    <w:t xml:space="preserve">Nitrate:1.7µM</w:t>
                  </w:r>
                </w:p>
              </w:tc>
              <w:tc>
                <w:tcPr/>
                <w:p>
                  <w:pPr>
                    <w:pStyle w:val="Compact"/>
                  </w:pPr>
                </w:p>
              </w:tc>
              <w:tc>
                <w:tcPr/>
                <w:p>
                  <w:pPr>
                    <w:pStyle w:val="Compact"/>
                    <w:jc w:val="left"/>
                    <w:jc w:val="center"/>
                  </w:pPr>
                  <w:r>
                    <w:t xml:space="preserve">25.2</w:t>
                  </w:r>
                </w:p>
              </w:tc>
              <w:tc>
                <w:tcPr/>
                <w:p>
                  <w:pPr>
                    <w:pStyle w:val="Compact"/>
                    <w:jc w:val="left"/>
                    <w:jc w:val="center"/>
                  </w:pPr>
                  <w:r>
                    <w:t xml:space="preserve">2.16</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Nitrate:0.1µM</w:t>
                  </w:r>
                </w:p>
              </w:tc>
              <w:tc>
                <w:tcPr/>
                <w:p>
                  <w:pPr>
                    <w:pStyle w:val="Compact"/>
                  </w:pPr>
                </w:p>
              </w:tc>
              <w:tc>
                <w:tcPr/>
                <w:p>
                  <w:pPr>
                    <w:pStyle w:val="Compact"/>
                    <w:jc w:val="left"/>
                    <w:jc w:val="center"/>
                  </w:pPr>
                  <w:r>
                    <w:t xml:space="preserve">26.5</w:t>
                  </w:r>
                </w:p>
              </w:tc>
              <w:tc>
                <w:tcPr/>
                <w:p>
                  <w:pPr>
                    <w:pStyle w:val="Compact"/>
                    <w:jc w:val="left"/>
                    <w:jc w:val="center"/>
                  </w:pPr>
                  <w:r>
                    <w:t xml:space="preserve">3.12</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Nitrate:0.1µM</w:t>
                  </w:r>
                </w:p>
              </w:tc>
              <w:tc>
                <w:tcPr/>
                <w:p>
                  <w:pPr>
                    <w:pStyle w:val="Compact"/>
                  </w:pPr>
                </w:p>
              </w:tc>
              <w:tc>
                <w:tcPr/>
                <w:p>
                  <w:pPr>
                    <w:pStyle w:val="Compact"/>
                    <w:jc w:val="left"/>
                    <w:jc w:val="center"/>
                  </w:pPr>
                  <w:r>
                    <w:t xml:space="preserve">26.6</w:t>
                  </w:r>
                </w:p>
              </w:tc>
              <w:tc>
                <w:tcPr/>
                <w:p>
                  <w:pPr>
                    <w:pStyle w:val="Compact"/>
                    <w:jc w:val="left"/>
                    <w:jc w:val="center"/>
                  </w:pPr>
                  <w:r>
                    <w:t xml:space="preserve">-0.24</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Nitrate:0µM</w:t>
                  </w:r>
                </w:p>
              </w:tc>
              <w:tc>
                <w:tcPr/>
                <w:p>
                  <w:pPr>
                    <w:pStyle w:val="Compact"/>
                  </w:pPr>
                </w:p>
              </w:tc>
              <w:tc>
                <w:tcPr/>
                <w:p>
                  <w:pPr>
                    <w:pStyle w:val="Compact"/>
                    <w:jc w:val="left"/>
                    <w:jc w:val="center"/>
                  </w:pPr>
                  <w:r>
                    <w:t xml:space="preserve">28.2</w:t>
                  </w:r>
                </w:p>
              </w:tc>
              <w:tc>
                <w:tcPr/>
                <w:p>
                  <w:pPr>
                    <w:pStyle w:val="Compact"/>
                    <w:jc w:val="left"/>
                    <w:jc w:val="center"/>
                  </w:pPr>
                  <w:r>
                    <w:t xml:space="preserve">0.24</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Nitrate:0.4µM</w:t>
                  </w:r>
                </w:p>
              </w:tc>
              <w:tc>
                <w:tcPr/>
                <w:p>
                  <w:pPr>
                    <w:pStyle w:val="Compact"/>
                  </w:pPr>
                </w:p>
              </w:tc>
              <w:tc>
                <w:tcPr/>
                <w:p>
                  <w:pPr>
                    <w:pStyle w:val="Compact"/>
                    <w:jc w:val="left"/>
                    <w:jc w:val="center"/>
                  </w:pPr>
                  <w:r>
                    <w:t xml:space="preserve">28.6</w:t>
                  </w:r>
                </w:p>
              </w:tc>
              <w:tc>
                <w:tcPr/>
                <w:p>
                  <w:pPr>
                    <w:pStyle w:val="Compact"/>
                    <w:jc w:val="left"/>
                    <w:jc w:val="center"/>
                  </w:pPr>
                  <w:r>
                    <w:t xml:space="preserve">1.44</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Nitrate:0.4µM</w:t>
                  </w:r>
                </w:p>
              </w:tc>
              <w:tc>
                <w:tcPr/>
                <w:p>
                  <w:pPr>
                    <w:pStyle w:val="Compact"/>
                  </w:pPr>
                </w:p>
              </w:tc>
              <w:tc>
                <w:tcPr/>
                <w:p>
                  <w:pPr>
                    <w:pStyle w:val="Compact"/>
                    <w:jc w:val="left"/>
                    <w:jc w:val="center"/>
                  </w:pPr>
                  <w:r>
                    <w:t xml:space="preserve">27.4</w:t>
                  </w:r>
                </w:p>
              </w:tc>
              <w:tc>
                <w:tcPr/>
                <w:p>
                  <w:pPr>
                    <w:pStyle w:val="Compact"/>
                    <w:jc w:val="left"/>
                    <w:jc w:val="center"/>
                  </w:pPr>
                  <w:r>
                    <w:t xml:space="preserve">0.96</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Nitrate:4.6µM</w:t>
                  </w:r>
                </w:p>
              </w:tc>
              <w:tc>
                <w:tcPr/>
                <w:p>
                  <w:pPr>
                    <w:pStyle w:val="Compact"/>
                  </w:pPr>
                </w:p>
              </w:tc>
              <w:tc>
                <w:tcPr/>
                <w:p>
                  <w:pPr>
                    <w:pStyle w:val="Compact"/>
                    <w:jc w:val="left"/>
                    <w:jc w:val="center"/>
                  </w:pPr>
                  <w:r>
                    <w:t xml:space="preserve">24.8</w:t>
                  </w:r>
                </w:p>
              </w:tc>
              <w:tc>
                <w:tcPr/>
                <w:p>
                  <w:pPr>
                    <w:pStyle w:val="Compact"/>
                    <w:jc w:val="left"/>
                    <w:jc w:val="center"/>
                  </w:pPr>
                  <w:r>
                    <w:t xml:space="preserve">9.36</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Nitrate:37.2µM</w:t>
                  </w:r>
                </w:p>
              </w:tc>
              <w:tc>
                <w:tcPr/>
                <w:p>
                  <w:pPr>
                    <w:pStyle w:val="Compact"/>
                  </w:pPr>
                </w:p>
              </w:tc>
              <w:tc>
                <w:tcPr/>
                <w:p>
                  <w:pPr>
                    <w:pStyle w:val="Compact"/>
                    <w:jc w:val="left"/>
                    <w:jc w:val="center"/>
                  </w:pPr>
                  <w:r>
                    <w:t xml:space="preserve">22.5</w:t>
                  </w:r>
                </w:p>
              </w:tc>
              <w:tc>
                <w:tcPr/>
                <w:p>
                  <w:pPr>
                    <w:pStyle w:val="Compact"/>
                    <w:jc w:val="left"/>
                    <w:jc w:val="center"/>
                  </w:pPr>
                  <w:r>
                    <w:t xml:space="preserve">0.72</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Nitrate:29.5µM</w:t>
                  </w:r>
                </w:p>
              </w:tc>
              <w:tc>
                <w:tcPr/>
                <w:p>
                  <w:pPr>
                    <w:pStyle w:val="Compact"/>
                  </w:pPr>
                </w:p>
              </w:tc>
              <w:tc>
                <w:tcPr/>
                <w:p>
                  <w:pPr>
                    <w:pStyle w:val="Compact"/>
                    <w:jc w:val="left"/>
                    <w:jc w:val="center"/>
                  </w:pPr>
                  <w:r>
                    <w:t xml:space="preserve">24.7</w:t>
                  </w:r>
                </w:p>
              </w:tc>
              <w:tc>
                <w:tcPr/>
                <w:p>
                  <w:pPr>
                    <w:pStyle w:val="Compact"/>
                    <w:jc w:val="left"/>
                    <w:jc w:val="center"/>
                  </w:pPr>
                  <w:r>
                    <w:t xml:space="preserve">2.40</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Nitrate:0.3µM</w:t>
                  </w:r>
                </w:p>
              </w:tc>
              <w:tc>
                <w:tcPr/>
                <w:p>
                  <w:pPr>
                    <w:pStyle w:val="Compact"/>
                  </w:pPr>
                </w:p>
              </w:tc>
              <w:tc>
                <w:tcPr/>
                <w:p>
                  <w:pPr>
                    <w:pStyle w:val="Compact"/>
                    <w:jc w:val="left"/>
                    <w:jc w:val="center"/>
                  </w:pPr>
                  <w:r>
                    <w:t xml:space="preserve">25.3</w:t>
                  </w:r>
                </w:p>
              </w:tc>
              <w:tc>
                <w:tcPr/>
                <w:p>
                  <w:pPr>
                    <w:pStyle w:val="Compact"/>
                    <w:jc w:val="left"/>
                    <w:jc w:val="center"/>
                  </w:pPr>
                  <w:r>
                    <w:t xml:space="preserve">-1.92</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Nitrate:0.6µM</w:t>
                  </w:r>
                </w:p>
              </w:tc>
              <w:tc>
                <w:tcPr/>
                <w:p>
                  <w:pPr>
                    <w:pStyle w:val="Compact"/>
                  </w:pPr>
                </w:p>
              </w:tc>
              <w:tc>
                <w:tcPr/>
                <w:p>
                  <w:pPr>
                    <w:pStyle w:val="Compact"/>
                    <w:jc w:val="left"/>
                    <w:jc w:val="center"/>
                  </w:pPr>
                  <w:r>
                    <w:t xml:space="preserve">26.4</w:t>
                  </w:r>
                </w:p>
              </w:tc>
              <w:tc>
                <w:tcPr/>
                <w:p>
                  <w:pPr>
                    <w:pStyle w:val="Compact"/>
                    <w:jc w:val="left"/>
                    <w:jc w:val="center"/>
                  </w:pPr>
                  <w:r>
                    <w:t xml:space="preserve">4.08</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Nitrate:0.4µM</w:t>
                  </w:r>
                </w:p>
              </w:tc>
              <w:tc>
                <w:tcPr/>
                <w:p>
                  <w:pPr>
                    <w:pStyle w:val="Compact"/>
                  </w:pPr>
                </w:p>
              </w:tc>
              <w:tc>
                <w:tcPr/>
                <w:p>
                  <w:pPr>
                    <w:pStyle w:val="Compact"/>
                    <w:jc w:val="left"/>
                    <w:jc w:val="center"/>
                  </w:pPr>
                  <w:r>
                    <w:t xml:space="preserve">26.1</w:t>
                  </w:r>
                </w:p>
              </w:tc>
              <w:tc>
                <w:tcPr/>
                <w:p>
                  <w:pPr>
                    <w:pStyle w:val="Compact"/>
                    <w:jc w:val="left"/>
                    <w:jc w:val="center"/>
                  </w:pPr>
                  <w:r>
                    <w:t xml:space="preserve">2.16</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Nitrate:0.3µM</w:t>
                  </w:r>
                </w:p>
              </w:tc>
              <w:tc>
                <w:tcPr/>
                <w:p>
                  <w:pPr>
                    <w:pStyle w:val="Compact"/>
                  </w:pPr>
                </w:p>
              </w:tc>
              <w:tc>
                <w:tcPr/>
                <w:p>
                  <w:pPr>
                    <w:pStyle w:val="Compact"/>
                    <w:jc w:val="left"/>
                    <w:jc w:val="center"/>
                  </w:pPr>
                  <w:r>
                    <w:t xml:space="preserve">25.9</w:t>
                  </w:r>
                </w:p>
              </w:tc>
              <w:tc>
                <w:tcPr/>
                <w:p>
                  <w:pPr>
                    <w:pStyle w:val="Compact"/>
                    <w:jc w:val="left"/>
                    <w:jc w:val="center"/>
                  </w:pPr>
                  <w:r>
                    <w:t xml:space="preserve">-0.24</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Nitrate:0.2µM</w:t>
                  </w:r>
                </w:p>
              </w:tc>
              <w:tc>
                <w:tcPr/>
                <w:p>
                  <w:pPr>
                    <w:pStyle w:val="Compact"/>
                  </w:pPr>
                </w:p>
              </w:tc>
              <w:tc>
                <w:tcPr/>
                <w:p>
                  <w:pPr>
                    <w:pStyle w:val="Compact"/>
                    <w:jc w:val="left"/>
                    <w:jc w:val="center"/>
                  </w:pPr>
                  <w:r>
                    <w:t xml:space="preserve">26.1</w:t>
                  </w:r>
                </w:p>
              </w:tc>
              <w:tc>
                <w:tcPr/>
                <w:p>
                  <w:pPr>
                    <w:pStyle w:val="Compact"/>
                    <w:jc w:val="left"/>
                    <w:jc w:val="center"/>
                  </w:pPr>
                  <w:r>
                    <w:t xml:space="preserve">1.68</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Nitrate:0.1µM</w:t>
                  </w:r>
                </w:p>
              </w:tc>
              <w:tc>
                <w:tcPr/>
                <w:p>
                  <w:pPr>
                    <w:pStyle w:val="Compact"/>
                  </w:pPr>
                </w:p>
              </w:tc>
              <w:tc>
                <w:tcPr/>
                <w:p>
                  <w:pPr>
                    <w:pStyle w:val="Compact"/>
                    <w:jc w:val="left"/>
                    <w:jc w:val="center"/>
                  </w:pPr>
                  <w:r>
                    <w:t xml:space="preserve">29.9</w:t>
                  </w:r>
                </w:p>
              </w:tc>
              <w:tc>
                <w:tcPr/>
                <w:p>
                  <w:pPr>
                    <w:pStyle w:val="Compact"/>
                    <w:jc w:val="left"/>
                    <w:jc w:val="center"/>
                  </w:pPr>
                  <w:r>
                    <w:t xml:space="preserve">1.44</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0.70</w:t>
                  </w:r>
                </w:p>
              </w:tc>
              <w:tc>
                <w:tcPr/>
                <w:p>
                  <w:pPr>
                    <w:pStyle w:val="Compact"/>
                    <w:jc w:val="left"/>
                    <w:jc w:val="center"/>
                  </w:pPr>
                  <w:r>
                    <w:t xml:space="preserve">(Liu et al., 1998)</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1.33</w:t>
                  </w:r>
                </w:p>
              </w:tc>
              <w:tc>
                <w:tcPr/>
                <w:p>
                  <w:pPr>
                    <w:pStyle w:val="Compact"/>
                    <w:jc w:val="left"/>
                    <w:jc w:val="center"/>
                  </w:pPr>
                  <w:r>
                    <w:t xml:space="preserve">(Liu et al., 1998)</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0.44</w:t>
                  </w:r>
                </w:p>
              </w:tc>
              <w:tc>
                <w:tcPr/>
                <w:p>
                  <w:pPr>
                    <w:pStyle w:val="Compact"/>
                    <w:jc w:val="left"/>
                    <w:jc w:val="center"/>
                  </w:pPr>
                  <w:r>
                    <w:t xml:space="preserve">(Liu et al., 1998)</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1.35</w:t>
                  </w:r>
                </w:p>
              </w:tc>
              <w:tc>
                <w:tcPr/>
                <w:p>
                  <w:pPr>
                    <w:pStyle w:val="Compact"/>
                    <w:jc w:val="left"/>
                    <w:jc w:val="center"/>
                  </w:pPr>
                  <w:r>
                    <w:t xml:space="preserve">(Liu et al., 1998)</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1.49</w:t>
                  </w:r>
                </w:p>
              </w:tc>
              <w:tc>
                <w:tcPr/>
                <w:p>
                  <w:pPr>
                    <w:pStyle w:val="Compact"/>
                    <w:jc w:val="left"/>
                    <w:jc w:val="center"/>
                  </w:pPr>
                  <w:r>
                    <w:t xml:space="preserve">(Liu et al., 1998)</w:t>
                  </w:r>
                </w:p>
              </w:tc>
            </w:tr>
            <w:tr>
              <w:tc>
                <w:tcPr/>
                <w:p>
                  <w:pPr>
                    <w:pStyle w:val="Compact"/>
                    <w:jc w:val="left"/>
                    <w:jc w:val="center"/>
                  </w:pPr>
                  <w:r>
                    <w:rPr>
                      <w:i/>
                      <w:iCs/>
                    </w:rPr>
                    <w:t xml:space="preserve">Synechococcus spp.</w:t>
                  </w:r>
                </w:p>
              </w:tc>
              <w:tc>
                <w:tcPr/>
                <w:p>
                  <w:pPr>
                    <w:pStyle w:val="Compact"/>
                    <w:jc w:val="left"/>
                    <w:jc w:val="center"/>
                  </w:pPr>
                  <w:r>
                    <w:t xml:space="preserve">NO3:2.3µM; PO4:0.4µM</w:t>
                  </w:r>
                </w:p>
              </w:tc>
              <w:tc>
                <w:tcPr/>
                <w:p>
                  <w:pPr>
                    <w:pStyle w:val="Compact"/>
                  </w:pPr>
                </w:p>
              </w:tc>
              <w:tc>
                <w:tcPr/>
                <w:p>
                  <w:pPr>
                    <w:pStyle w:val="Compact"/>
                    <w:jc w:val="left"/>
                    <w:jc w:val="center"/>
                  </w:pPr>
                  <w:r>
                    <w:t xml:space="preserve">28.5</w:t>
                  </w:r>
                </w:p>
              </w:tc>
              <w:tc>
                <w:tcPr/>
                <w:p>
                  <w:pPr>
                    <w:pStyle w:val="Compact"/>
                    <w:jc w:val="left"/>
                    <w:jc w:val="center"/>
                  </w:pPr>
                  <w:r>
                    <w:t xml:space="preserve">0.60</w:t>
                  </w:r>
                </w:p>
              </w:tc>
              <w:tc>
                <w:tcPr/>
                <w:p>
                  <w:pPr>
                    <w:pStyle w:val="Compact"/>
                    <w:jc w:val="left"/>
                    <w:jc w:val="center"/>
                  </w:pPr>
                  <w:r>
                    <w:t xml:space="preserve">(Tsai and Mukhanov, 2021)</w:t>
                  </w:r>
                </w:p>
              </w:tc>
            </w:tr>
            <w:tr>
              <w:tc>
                <w:tcPr/>
                <w:p>
                  <w:pPr>
                    <w:pStyle w:val="Compact"/>
                    <w:jc w:val="left"/>
                    <w:jc w:val="center"/>
                  </w:pPr>
                  <w:r>
                    <w:rPr>
                      <w:i/>
                      <w:iCs/>
                    </w:rPr>
                    <w:t xml:space="preserve">Synechococcus spp.</w:t>
                  </w:r>
                </w:p>
              </w:tc>
              <w:tc>
                <w:tcPr/>
                <w:p>
                  <w:pPr>
                    <w:pStyle w:val="Compact"/>
                    <w:jc w:val="left"/>
                    <w:jc w:val="center"/>
                  </w:pPr>
                  <w:r>
                    <w:t xml:space="preserve">NO3:19.4µM; PO4:1.9µM</w:t>
                  </w:r>
                </w:p>
              </w:tc>
              <w:tc>
                <w:tcPr/>
                <w:p>
                  <w:pPr>
                    <w:pStyle w:val="Compact"/>
                  </w:pPr>
                </w:p>
              </w:tc>
              <w:tc>
                <w:tcPr/>
                <w:p>
                  <w:pPr>
                    <w:pStyle w:val="Compact"/>
                  </w:pPr>
                </w:p>
              </w:tc>
              <w:tc>
                <w:tcPr/>
                <w:p>
                  <w:pPr>
                    <w:pStyle w:val="Compact"/>
                    <w:jc w:val="left"/>
                    <w:jc w:val="center"/>
                  </w:pPr>
                  <w:r>
                    <w:t xml:space="preserve">0.66</w:t>
                  </w:r>
                </w:p>
              </w:tc>
              <w:tc>
                <w:tcPr/>
                <w:p>
                  <w:pPr>
                    <w:pStyle w:val="Compact"/>
                    <w:jc w:val="left"/>
                    <w:jc w:val="center"/>
                  </w:pPr>
                  <w:r>
                    <w:t xml:space="preserve">(Tsai and Mukhanov, 2021)</w:t>
                  </w:r>
                </w:p>
              </w:tc>
            </w:tr>
            <w:tr>
              <w:tc>
                <w:tcPr/>
                <w:p>
                  <w:pPr>
                    <w:pStyle w:val="Compact"/>
                    <w:jc w:val="left"/>
                    <w:jc w:val="center"/>
                  </w:pPr>
                  <w:r>
                    <w:rPr>
                      <w:i/>
                      <w:iCs/>
                    </w:rPr>
                    <w:t xml:space="preserve">Synechococcus spp.</w:t>
                  </w:r>
                </w:p>
              </w:tc>
              <w:tc>
                <w:tcPr/>
                <w:p>
                  <w:pPr>
                    <w:pStyle w:val="Compact"/>
                    <w:jc w:val="left"/>
                    <w:jc w:val="center"/>
                  </w:pPr>
                  <w:r>
                    <w:t xml:space="preserve">NO3:1.8µM; PO4:0.5µM</w:t>
                  </w:r>
                </w:p>
              </w:tc>
              <w:tc>
                <w:tcPr/>
                <w:p>
                  <w:pPr>
                    <w:pStyle w:val="Compact"/>
                  </w:pPr>
                </w:p>
              </w:tc>
              <w:tc>
                <w:tcPr/>
                <w:p>
                  <w:pPr>
                    <w:pStyle w:val="Compact"/>
                    <w:jc w:val="left"/>
                    <w:jc w:val="center"/>
                  </w:pPr>
                  <w:r>
                    <w:t xml:space="preserve">30.0</w:t>
                  </w:r>
                </w:p>
              </w:tc>
              <w:tc>
                <w:tcPr/>
                <w:p>
                  <w:pPr>
                    <w:pStyle w:val="Compact"/>
                    <w:jc w:val="left"/>
                    <w:jc w:val="center"/>
                  </w:pPr>
                  <w:r>
                    <w:t xml:space="preserve">0.62</w:t>
                  </w:r>
                </w:p>
              </w:tc>
              <w:tc>
                <w:tcPr/>
                <w:p>
                  <w:pPr>
                    <w:pStyle w:val="Compact"/>
                    <w:jc w:val="left"/>
                    <w:jc w:val="center"/>
                  </w:pPr>
                  <w:r>
                    <w:t xml:space="preserve">(Tsai and Mukhanov, 2021)</w:t>
                  </w:r>
                </w:p>
              </w:tc>
            </w:tr>
            <w:tr>
              <w:tc>
                <w:tcPr/>
                <w:p>
                  <w:pPr>
                    <w:pStyle w:val="Compact"/>
                    <w:jc w:val="left"/>
                    <w:jc w:val="center"/>
                  </w:pPr>
                  <w:r>
                    <w:rPr>
                      <w:i/>
                      <w:iCs/>
                    </w:rPr>
                    <w:t xml:space="preserve">Synechococcus spp.</w:t>
                  </w:r>
                </w:p>
              </w:tc>
              <w:tc>
                <w:tcPr/>
                <w:p>
                  <w:pPr>
                    <w:pStyle w:val="Compact"/>
                    <w:jc w:val="left"/>
                    <w:jc w:val="center"/>
                  </w:pPr>
                  <w:r>
                    <w:t xml:space="preserve">NO3:18.6µM; PO4:1.8µM</w:t>
                  </w:r>
                </w:p>
              </w:tc>
              <w:tc>
                <w:tcPr/>
                <w:p>
                  <w:pPr>
                    <w:pStyle w:val="Compact"/>
                  </w:pPr>
                </w:p>
              </w:tc>
              <w:tc>
                <w:tcPr/>
                <w:p>
                  <w:pPr>
                    <w:pStyle w:val="Compact"/>
                  </w:pPr>
                </w:p>
              </w:tc>
              <w:tc>
                <w:tcPr/>
                <w:p>
                  <w:pPr>
                    <w:pStyle w:val="Compact"/>
                    <w:jc w:val="left"/>
                    <w:jc w:val="center"/>
                  </w:pPr>
                  <w:r>
                    <w:t xml:space="preserve">0.65</w:t>
                  </w:r>
                </w:p>
              </w:tc>
              <w:tc>
                <w:tcPr/>
                <w:p>
                  <w:pPr>
                    <w:pStyle w:val="Compact"/>
                    <w:jc w:val="left"/>
                    <w:jc w:val="center"/>
                  </w:pPr>
                  <w:r>
                    <w:t xml:space="preserve">(Tsai and Mukhanov, 2021)</w:t>
                  </w:r>
                </w:p>
              </w:tc>
            </w:tr>
            <w:tr>
              <w:tc>
                <w:tcPr/>
                <w:p>
                  <w:pPr>
                    <w:pStyle w:val="Compact"/>
                    <w:jc w:val="left"/>
                    <w:jc w:val="center"/>
                  </w:pPr>
                  <w:r>
                    <w:rPr>
                      <w:i/>
                      <w:iCs/>
                    </w:rPr>
                    <w:t xml:space="preserve">Synechococcus spp.</w:t>
                  </w:r>
                </w:p>
              </w:tc>
              <w:tc>
                <w:tcPr/>
                <w:p>
                  <w:pPr>
                    <w:pStyle w:val="Compact"/>
                    <w:jc w:val="left"/>
                    <w:jc w:val="center"/>
                  </w:pPr>
                  <w:r>
                    <w:t xml:space="preserve">NO3:3.1µM; PO4:0.8µM</w:t>
                  </w:r>
                </w:p>
              </w:tc>
              <w:tc>
                <w:tcPr/>
                <w:p>
                  <w:pPr>
                    <w:pStyle w:val="Compact"/>
                  </w:pPr>
                </w:p>
              </w:tc>
              <w:tc>
                <w:tcPr/>
                <w:p>
                  <w:pPr>
                    <w:pStyle w:val="Compact"/>
                    <w:jc w:val="left"/>
                    <w:jc w:val="center"/>
                  </w:pPr>
                  <w:r>
                    <w:t xml:space="preserve">29.0</w:t>
                  </w:r>
                </w:p>
              </w:tc>
              <w:tc>
                <w:tcPr/>
                <w:p>
                  <w:pPr>
                    <w:pStyle w:val="Compact"/>
                    <w:jc w:val="left"/>
                    <w:jc w:val="center"/>
                  </w:pPr>
                  <w:r>
                    <w:t xml:space="preserve">0.59</w:t>
                  </w:r>
                </w:p>
              </w:tc>
              <w:tc>
                <w:tcPr/>
                <w:p>
                  <w:pPr>
                    <w:pStyle w:val="Compact"/>
                    <w:jc w:val="left"/>
                    <w:jc w:val="center"/>
                  </w:pPr>
                  <w:r>
                    <w:t xml:space="preserve">(Tsai and Mukhanov, 2021)</w:t>
                  </w:r>
                </w:p>
              </w:tc>
            </w:tr>
            <w:tr>
              <w:tc>
                <w:tcPr/>
                <w:p>
                  <w:pPr>
                    <w:pStyle w:val="Compact"/>
                    <w:jc w:val="left"/>
                    <w:jc w:val="center"/>
                  </w:pPr>
                  <w:r>
                    <w:rPr>
                      <w:i/>
                      <w:iCs/>
                    </w:rPr>
                    <w:t xml:space="preserve">Synechococcus spp.</w:t>
                  </w:r>
                </w:p>
              </w:tc>
              <w:tc>
                <w:tcPr/>
                <w:p>
                  <w:pPr>
                    <w:pStyle w:val="Compact"/>
                    <w:jc w:val="left"/>
                    <w:jc w:val="center"/>
                  </w:pPr>
                  <w:r>
                    <w:t xml:space="preserve">NO3:16.2µM; PO4:1.5µM</w:t>
                  </w:r>
                </w:p>
              </w:tc>
              <w:tc>
                <w:tcPr/>
                <w:p>
                  <w:pPr>
                    <w:pStyle w:val="Compact"/>
                  </w:pPr>
                </w:p>
              </w:tc>
              <w:tc>
                <w:tcPr/>
                <w:p>
                  <w:pPr>
                    <w:pStyle w:val="Compact"/>
                  </w:pPr>
                </w:p>
              </w:tc>
              <w:tc>
                <w:tcPr/>
                <w:p>
                  <w:pPr>
                    <w:pStyle w:val="Compact"/>
                    <w:jc w:val="left"/>
                    <w:jc w:val="center"/>
                  </w:pPr>
                  <w:r>
                    <w:t xml:space="preserve">0.64</w:t>
                  </w:r>
                </w:p>
              </w:tc>
              <w:tc>
                <w:tcPr/>
                <w:p>
                  <w:pPr>
                    <w:pStyle w:val="Compact"/>
                    <w:jc w:val="left"/>
                    <w:jc w:val="center"/>
                  </w:pPr>
                  <w:r>
                    <w:t xml:space="preserve">(Tsai and Mukhanov, 2021)</w:t>
                  </w:r>
                </w:p>
              </w:tc>
            </w:tr>
            <w:tr>
              <w:tc>
                <w:tcPr/>
                <w:p>
                  <w:pPr>
                    <w:pStyle w:val="Compact"/>
                    <w:jc w:val="left"/>
                    <w:jc w:val="center"/>
                  </w:pPr>
                  <w:r>
                    <w:rPr>
                      <w:i/>
                      <w:iCs/>
                    </w:rPr>
                    <w:t xml:space="preserve">Synechococcus spp.</w:t>
                  </w:r>
                </w:p>
              </w:tc>
              <w:tc>
                <w:tcPr/>
                <w:p>
                  <w:pPr>
                    <w:pStyle w:val="Compact"/>
                    <w:jc w:val="left"/>
                    <w:jc w:val="center"/>
                  </w:pPr>
                  <w:r>
                    <w:t xml:space="preserve">NO3:3.5µM; PO4:0.7µM</w:t>
                  </w:r>
                </w:p>
              </w:tc>
              <w:tc>
                <w:tcPr/>
                <w:p>
                  <w:pPr>
                    <w:pStyle w:val="Compact"/>
                  </w:pPr>
                </w:p>
              </w:tc>
              <w:tc>
                <w:tcPr/>
                <w:p>
                  <w:pPr>
                    <w:pStyle w:val="Compact"/>
                    <w:jc w:val="left"/>
                    <w:jc w:val="center"/>
                  </w:pPr>
                  <w:r>
                    <w:t xml:space="preserve">28.5</w:t>
                  </w:r>
                </w:p>
              </w:tc>
              <w:tc>
                <w:tcPr/>
                <w:p>
                  <w:pPr>
                    <w:pStyle w:val="Compact"/>
                    <w:jc w:val="left"/>
                    <w:jc w:val="center"/>
                  </w:pPr>
                  <w:r>
                    <w:t xml:space="preserve">0.54</w:t>
                  </w:r>
                </w:p>
              </w:tc>
              <w:tc>
                <w:tcPr/>
                <w:p>
                  <w:pPr>
                    <w:pStyle w:val="Compact"/>
                    <w:jc w:val="left"/>
                    <w:jc w:val="center"/>
                  </w:pPr>
                  <w:r>
                    <w:t xml:space="preserve">(Tsai and Mukhanov, 2021)</w:t>
                  </w:r>
                </w:p>
              </w:tc>
            </w:tr>
            <w:tr>
              <w:tc>
                <w:tcPr/>
                <w:p>
                  <w:pPr>
                    <w:pStyle w:val="Compact"/>
                    <w:jc w:val="left"/>
                    <w:jc w:val="center"/>
                  </w:pPr>
                  <w:r>
                    <w:rPr>
                      <w:i/>
                      <w:iCs/>
                    </w:rPr>
                    <w:t xml:space="preserve">Synechococcus spp.</w:t>
                  </w:r>
                </w:p>
              </w:tc>
              <w:tc>
                <w:tcPr/>
                <w:p>
                  <w:pPr>
                    <w:pStyle w:val="Compact"/>
                    <w:jc w:val="left"/>
                    <w:jc w:val="center"/>
                  </w:pPr>
                  <w:r>
                    <w:t xml:space="preserve">NO3:18.9µM; PO4:1.6µM</w:t>
                  </w:r>
                </w:p>
              </w:tc>
              <w:tc>
                <w:tcPr/>
                <w:p>
                  <w:pPr>
                    <w:pStyle w:val="Compact"/>
                  </w:pPr>
                </w:p>
              </w:tc>
              <w:tc>
                <w:tcPr/>
                <w:p>
                  <w:pPr>
                    <w:pStyle w:val="Compact"/>
                  </w:pPr>
                </w:p>
              </w:tc>
              <w:tc>
                <w:tcPr/>
                <w:p>
                  <w:pPr>
                    <w:pStyle w:val="Compact"/>
                    <w:jc w:val="left"/>
                    <w:jc w:val="center"/>
                  </w:pPr>
                  <w:r>
                    <w:t xml:space="preserve">0.56</w:t>
                  </w:r>
                </w:p>
              </w:tc>
              <w:tc>
                <w:tcPr/>
                <w:p>
                  <w:pPr>
                    <w:pStyle w:val="Compact"/>
                    <w:jc w:val="left"/>
                    <w:jc w:val="center"/>
                  </w:pPr>
                  <w:r>
                    <w:t xml:space="preserve">(Tsai and Mukhanov, 2021)</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-0.25</w:t>
                  </w:r>
                </w:p>
              </w:tc>
              <w:tc>
                <w:tcPr/>
                <w:p>
                  <w:pPr>
                    <w:pStyle w:val="Compact"/>
                    <w:jc w:val="left"/>
                    <w:jc w:val="center"/>
                  </w:pPr>
                  <w:r>
                    <w:t xml:space="preserve">(Heng et al., 2017)</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0.98</w:t>
                  </w:r>
                </w:p>
              </w:tc>
              <w:tc>
                <w:tcPr/>
                <w:p>
                  <w:pPr>
                    <w:pStyle w:val="Compact"/>
                    <w:jc w:val="left"/>
                    <w:jc w:val="center"/>
                  </w:pPr>
                  <w:r>
                    <w:t xml:space="preserve">(Heng et al., 2017)</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0.29</w:t>
                  </w:r>
                </w:p>
              </w:tc>
              <w:tc>
                <w:tcPr/>
                <w:p>
                  <w:pPr>
                    <w:pStyle w:val="Compact"/>
                    <w:jc w:val="left"/>
                    <w:jc w:val="center"/>
                  </w:pPr>
                  <w:r>
                    <w:t xml:space="preserve">(Heng et al., 2017)</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0.82</w:t>
                  </w:r>
                </w:p>
              </w:tc>
              <w:tc>
                <w:tcPr/>
                <w:p>
                  <w:pPr>
                    <w:pStyle w:val="Compact"/>
                    <w:jc w:val="left"/>
                    <w:jc w:val="center"/>
                  </w:pPr>
                  <w:r>
                    <w:t xml:space="preserve">(Heng et al., 2017)</w:t>
                  </w:r>
                </w:p>
              </w:tc>
            </w:tr>
            <w:tr>
              <w:tc>
                <w:tcPr/>
                <w:p>
                  <w:pPr>
                    <w:pStyle w:val="Compact"/>
                    <w:jc w:val="left"/>
                    <w:jc w:val="center"/>
                  </w:pPr>
                  <w:r>
                    <w:rPr>
                      <w:i/>
                      <w:iCs/>
                    </w:rPr>
                    <w:t xml:space="preserve">Synechococcus</w:t>
                  </w:r>
                  <w:r>
                    <w:t xml:space="preserve"> </w:t>
                  </w:r>
                  <w:r>
                    <w:t xml:space="preserve">sp.</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0.98</w:t>
                  </w:r>
                </w:p>
              </w:tc>
              <w:tc>
                <w:tcPr/>
                <w:p>
                  <w:pPr>
                    <w:pStyle w:val="Compact"/>
                    <w:jc w:val="left"/>
                    <w:jc w:val="center"/>
                  </w:pPr>
                  <w:r>
                    <w:t xml:space="preserve">(Malinsky-Rushansky, 2002)</w:t>
                  </w:r>
                </w:p>
              </w:tc>
            </w:tr>
            <w:tr>
              <w:tc>
                <w:tcPr/>
                <w:p>
                  <w:pPr>
                    <w:pStyle w:val="Compact"/>
                    <w:jc w:val="left"/>
                    <w:jc w:val="center"/>
                  </w:pPr>
                  <w:r>
                    <w:rPr>
                      <w:i/>
                      <w:iCs/>
                    </w:rPr>
                    <w:t xml:space="preserve">Synechococcus</w:t>
                  </w:r>
                  <w:r>
                    <w:t xml:space="preserve"> </w:t>
                  </w:r>
                  <w:r>
                    <w:t xml:space="preserve">sp.</w:t>
                  </w:r>
                </w:p>
              </w:tc>
              <w:tc>
                <w:tcPr/>
                <w:p>
                  <w:pPr>
                    <w:pStyle w:val="Compact"/>
                  </w:pPr>
                </w:p>
              </w:tc>
              <w:tc>
                <w:tcPr/>
                <w:p>
                  <w:pPr>
                    <w:pStyle w:val="Compact"/>
                  </w:pPr>
                </w:p>
              </w:tc>
              <w:tc>
                <w:tcPr/>
                <w:p>
                  <w:pPr>
                    <w:pStyle w:val="Compact"/>
                    <w:jc w:val="left"/>
                    <w:jc w:val="center"/>
                  </w:pPr>
                  <w:r>
                    <w:t xml:space="preserve">28.0</w:t>
                  </w:r>
                </w:p>
              </w:tc>
              <w:tc>
                <w:tcPr/>
                <w:p>
                  <w:pPr>
                    <w:pStyle w:val="Compact"/>
                    <w:jc w:val="left"/>
                    <w:jc w:val="center"/>
                  </w:pPr>
                  <w:r>
                    <w:t xml:space="preserve">1.19</w:t>
                  </w:r>
                </w:p>
              </w:tc>
              <w:tc>
                <w:tcPr/>
                <w:p>
                  <w:pPr>
                    <w:pStyle w:val="Compact"/>
                    <w:jc w:val="left"/>
                    <w:jc w:val="center"/>
                  </w:pPr>
                  <w:r>
                    <w:t xml:space="preserve">(Malinsky-Rushansky, 2002)</w:t>
                  </w:r>
                </w:p>
              </w:tc>
            </w:tr>
            <w:tr>
              <w:tc>
                <w:tcPr/>
                <w:p>
                  <w:pPr>
                    <w:pStyle w:val="Compact"/>
                    <w:jc w:val="left"/>
                    <w:jc w:val="center"/>
                  </w:pPr>
                  <w:r>
                    <w:rPr>
                      <w:i/>
                      <w:iCs/>
                    </w:rPr>
                    <w:t xml:space="preserve">Synechococcus</w:t>
                  </w:r>
                  <w:r>
                    <w:t xml:space="preserve"> </w:t>
                  </w:r>
                  <w:r>
                    <w:t xml:space="preserve">sp.</w:t>
                  </w:r>
                </w:p>
              </w:tc>
              <w:tc>
                <w:tcPr/>
                <w:p>
                  <w:pPr>
                    <w:pStyle w:val="Compact"/>
                    <w:jc w:val="left"/>
                    <w:jc w:val="center"/>
                  </w:pPr>
                  <w:r>
                    <w:t xml:space="preserve">N:2.54µM N d–1; P:1/20N</w:t>
                  </w:r>
                </w:p>
              </w:tc>
              <w:tc>
                <w:tcPr/>
                <w:p>
                  <w:pPr>
                    <w:pStyle w:val="Compact"/>
                  </w:pPr>
                </w:p>
              </w:tc>
              <w:tc>
                <w:tcPr/>
                <w:p>
                  <w:pPr>
                    <w:pStyle w:val="Compact"/>
                  </w:pPr>
                </w:p>
              </w:tc>
              <w:tc>
                <w:tcPr/>
                <w:p>
                  <w:pPr>
                    <w:pStyle w:val="Compact"/>
                    <w:jc w:val="left"/>
                    <w:jc w:val="center"/>
                  </w:pPr>
                  <w:r>
                    <w:t xml:space="preserve">1.17</w:t>
                  </w:r>
                </w:p>
              </w:tc>
              <w:tc>
                <w:tcPr/>
                <w:p>
                  <w:pPr>
                    <w:pStyle w:val="Compact"/>
                    <w:jc w:val="left"/>
                    <w:jc w:val="center"/>
                  </w:pPr>
                  <w:r>
                    <w:t xml:space="preserve">(Agawin et al., 2000)</w:t>
                  </w:r>
                </w:p>
              </w:tc>
            </w:tr>
            <w:tr>
              <w:tc>
                <w:tcPr/>
                <w:p>
                  <w:pPr>
                    <w:pStyle w:val="Compact"/>
                    <w:jc w:val="left"/>
                    <w:jc w:val="center"/>
                  </w:pPr>
                  <w:r>
                    <w:rPr>
                      <w:i/>
                      <w:iCs/>
                    </w:rPr>
                    <w:t xml:space="preserve">Synechococcus</w:t>
                  </w:r>
                  <w:r>
                    <w:t xml:space="preserve"> </w:t>
                  </w:r>
                  <w:r>
                    <w:t xml:space="preserve">sp.</w:t>
                  </w:r>
                </w:p>
              </w:tc>
              <w:tc>
                <w:tcPr/>
                <w:p>
                  <w:pPr>
                    <w:pStyle w:val="Compact"/>
                    <w:jc w:val="left"/>
                    <w:jc w:val="center"/>
                  </w:pPr>
                  <w:r>
                    <w:t xml:space="preserve">0~10.18µM N d–1; P:1/20N</w:t>
                  </w:r>
                </w:p>
              </w:tc>
              <w:tc>
                <w:tcPr/>
                <w:p>
                  <w:pPr>
                    <w:pStyle w:val="Compact"/>
                  </w:pPr>
                </w:p>
              </w:tc>
              <w:tc>
                <w:tcPr/>
                <w:p>
                  <w:pPr>
                    <w:pStyle w:val="Compact"/>
                  </w:pPr>
                </w:p>
              </w:tc>
              <w:tc>
                <w:tcPr/>
                <w:p>
                  <w:pPr>
                    <w:pStyle w:val="Compact"/>
                    <w:jc w:val="left"/>
                    <w:jc w:val="center"/>
                  </w:pPr>
                  <w:r>
                    <w:t xml:space="preserve">5.00</w:t>
                  </w:r>
                </w:p>
              </w:tc>
              <w:tc>
                <w:tcPr/>
                <w:p>
                  <w:pPr>
                    <w:pStyle w:val="Compact"/>
                    <w:jc w:val="left"/>
                    <w:jc w:val="center"/>
                  </w:pPr>
                  <w:r>
                    <w:t xml:space="preserve">(Agawin et al., 2000)</w:t>
                  </w:r>
                </w:p>
              </w:tc>
            </w:tr>
            <w:tr>
              <w:tc>
                <w:tcPr/>
                <w:p>
                  <w:pPr>
                    <w:pStyle w:val="Compact"/>
                    <w:jc w:val="left"/>
                    <w:jc w:val="center"/>
                  </w:pPr>
                  <w:r>
                    <w:rPr>
                      <w:i/>
                      <w:iCs/>
                    </w:rPr>
                    <w:t xml:space="preserve">Synechococcus</w:t>
                  </w:r>
                  <w:r>
                    <w:t xml:space="preserve"> </w:t>
                  </w:r>
                  <w:r>
                    <w:t xml:space="preserve">sp.</w:t>
                  </w:r>
                </w:p>
              </w:tc>
              <w:tc>
                <w:tcPr/>
                <w:p>
                  <w:pPr>
                    <w:pStyle w:val="Compact"/>
                    <w:jc w:val="left"/>
                    <w:jc w:val="center"/>
                  </w:pPr>
                  <w:r>
                    <w:t xml:space="preserve">0.25µM N d–1; P:1/20N</w:t>
                  </w:r>
                </w:p>
              </w:tc>
              <w:tc>
                <w:tcPr/>
                <w:p>
                  <w:pPr>
                    <w:pStyle w:val="Compact"/>
                  </w:pPr>
                </w:p>
              </w:tc>
              <w:tc>
                <w:tcPr/>
                <w:p>
                  <w:pPr>
                    <w:pStyle w:val="Compact"/>
                  </w:pPr>
                </w:p>
              </w:tc>
              <w:tc>
                <w:tcPr/>
                <w:p>
                  <w:pPr>
                    <w:pStyle w:val="Compact"/>
                    <w:jc w:val="left"/>
                    <w:jc w:val="center"/>
                  </w:pPr>
                  <w:r>
                    <w:t xml:space="preserve">3.05</w:t>
                  </w:r>
                </w:p>
              </w:tc>
              <w:tc>
                <w:tcPr/>
                <w:p>
                  <w:pPr>
                    <w:pStyle w:val="Compact"/>
                    <w:jc w:val="left"/>
                    <w:jc w:val="center"/>
                  </w:pPr>
                  <w:r>
                    <w:t xml:space="preserve">(Agawin et al., 2000)</w:t>
                  </w:r>
                </w:p>
              </w:tc>
            </w:tr>
          </w:tbl>
          <w:bookmarkEnd w:id="70"/>
          <w:p/>
        </w:tc>
      </w:tr>
    </w:tbl>
    <w:bookmarkEnd w:id="71"/>
    <w:bookmarkStart w:id="237" w:name="references"/>
    <w:p>
      <w:pPr>
        <w:pStyle w:val="Heading1"/>
      </w:pPr>
      <w:r>
        <w:t xml:space="preserve">References</w:t>
      </w:r>
    </w:p>
    <w:bookmarkStart w:id="236" w:name="refs"/>
    <w:bookmarkStart w:id="73" w:name="ref-agawin2000response"/>
    <w:p>
      <w:pPr>
        <w:pStyle w:val="Bibliography"/>
      </w:pPr>
      <w:r>
        <w:t xml:space="preserve">Agawin, N., Duarte, C., Agustı́, S., 2000. Response of mediterranean synechococcus growth and loss rates to experimental nutrient inputs. Marine Ecology Progress Series 206, 97–106.</w:t>
      </w:r>
      <w:r>
        <w:t xml:space="preserve"> </w:t>
      </w:r>
      <w:hyperlink r:id="rId72">
        <w:r>
          <w:rPr>
            <w:rStyle w:val="Hyperlink"/>
          </w:rPr>
          <w:t xml:space="preserve">https://doi.org/10.3354/meps206097</w:t>
        </w:r>
      </w:hyperlink>
    </w:p>
    <w:bookmarkEnd w:id="73"/>
    <w:bookmarkStart w:id="75" w:name="ref-banaresespana2012photoacclimation"/>
    <w:p>
      <w:pPr>
        <w:pStyle w:val="Bibliography"/>
      </w:pPr>
      <w:r>
        <w:t xml:space="preserve">Bañares-España, E., Kromkamp, J.C., López-Rodas, V., Costas, E., Flores-Moya, A., 2012. Photoacclimation of cultured strains of the cyanobacteriumr</w:t>
      </w:r>
      <w:r>
        <w:t xml:space="preserve"> </w:t>
      </w:r>
      <w:r>
        <w:rPr>
          <w:i/>
          <w:iCs/>
        </w:rPr>
        <w:t xml:space="preserve">Microcystis aeruginosa</w:t>
      </w:r>
      <w:r>
        <w:t xml:space="preserve"> </w:t>
      </w:r>
      <w:r>
        <w:t xml:space="preserve">to high-light and low-light conditions.</w:t>
      </w:r>
      <w:r>
        <w:t xml:space="preserve"> </w:t>
      </w:r>
      <w:r>
        <w:t xml:space="preserve">FEMS</w:t>
      </w:r>
      <w:r>
        <w:t xml:space="preserve"> </w:t>
      </w:r>
      <w:r>
        <w:t xml:space="preserve">Microbiology Ecology 83, 700–710.</w:t>
      </w:r>
      <w:r>
        <w:t xml:space="preserve"> </w:t>
      </w:r>
      <w:hyperlink r:id="rId74">
        <w:r>
          <w:rPr>
            <w:rStyle w:val="Hyperlink"/>
          </w:rPr>
          <w:t xml:space="preserve">https://doi.org/10.1111/1574-6941.12025</w:t>
        </w:r>
      </w:hyperlink>
    </w:p>
    <w:bookmarkEnd w:id="75"/>
    <w:bookmarkStart w:id="77" w:name="ref-bonilla2012what"/>
    <w:p>
      <w:pPr>
        <w:pStyle w:val="Bibliography"/>
      </w:pPr>
      <w:r>
        <w:t xml:space="preserve">Bonilla, S., Aubriot, L., Soares, M.C.S., González-piana, M., Fabre, A., Huszar, V.L.m., Lürling, M., Antoniades, D., Padisák, J., Kruk, C., 2012. What drives the distribution of the bloom-forming cyanobacteria</w:t>
      </w:r>
      <w:r>
        <w:t xml:space="preserve"> </w:t>
      </w:r>
      <w:r>
        <w:rPr>
          <w:i/>
          <w:iCs/>
        </w:rPr>
        <w:t xml:space="preserve">Planktothrix agardhii</w:t>
      </w:r>
      <w:r>
        <w:t xml:space="preserve"> </w:t>
      </w:r>
      <w:r>
        <w:t xml:space="preserve">and</w:t>
      </w:r>
      <w:r>
        <w:t xml:space="preserve"> </w:t>
      </w:r>
      <w:r>
        <w:rPr>
          <w:i/>
          <w:iCs/>
        </w:rPr>
        <w:t xml:space="preserve">Cylindrospermopsis Raciborskii</w:t>
      </w:r>
      <w:r>
        <w:t xml:space="preserve">? Fems Microbiology Ecology 79, 594–607.</w:t>
      </w:r>
      <w:r>
        <w:t xml:space="preserve"> </w:t>
      </w:r>
      <w:hyperlink r:id="rId76">
        <w:r>
          <w:rPr>
            <w:rStyle w:val="Hyperlink"/>
          </w:rPr>
          <w:t xml:space="preserve">https://doi.org/10.1111/j.1574-6941.2011.01242.x</w:t>
        </w:r>
      </w:hyperlink>
    </w:p>
    <w:bookmarkEnd w:id="77"/>
    <w:bookmarkStart w:id="79" w:name="ref-bouarab2002croissance"/>
    <w:p>
      <w:pPr>
        <w:pStyle w:val="Bibliography"/>
      </w:pPr>
      <w:r>
        <w:t xml:space="preserve">Bouarab, L., Loudiki, M., Dauta, A., 2002. Croissance en autotrophie et en mixotrophie de la microalgue</w:t>
      </w:r>
      <w:r>
        <w:t xml:space="preserve"> </w:t>
      </w:r>
      <w:r>
        <w:rPr>
          <w:i/>
          <w:iCs/>
        </w:rPr>
        <w:t xml:space="preserve">Micractinium pusillum</w:t>
      </w:r>
      <w:r>
        <w:t xml:space="preserve"> </w:t>
      </w:r>
      <w:r>
        <w:t xml:space="preserve">fres. Isolée d´un lagunage naturel : Influence de la lumière et de la température. Journal of Water Science 15, 73–86. https://doi.org/</w:t>
      </w:r>
      <w:hyperlink r:id="rId78">
        <w:r>
          <w:rPr>
            <w:rStyle w:val="Hyperlink"/>
          </w:rPr>
          <w:t xml:space="preserve">https://doi.org/10.7202/705437ar</w:t>
        </w:r>
      </w:hyperlink>
    </w:p>
    <w:bookmarkEnd w:id="79"/>
    <w:bookmarkStart w:id="81" w:name="ref-briand2012evidence"/>
    <w:p>
      <w:pPr>
        <w:pStyle w:val="Bibliography"/>
      </w:pPr>
      <w:r>
        <w:t xml:space="preserve">Briand, E., Bormans, M., Quiblier, C., Salençon, M.-J., Humbert, J.-F., 2012. Evidence of the cost of the production of microcystins by microcystis aeruginosa under differing light and nitrate environmental conditions.</w:t>
      </w:r>
      <w:r>
        <w:t xml:space="preserve"> </w:t>
      </w:r>
      <w:r>
        <w:t xml:space="preserve">PLoS</w:t>
      </w:r>
      <w:r>
        <w:t xml:space="preserve"> </w:t>
      </w:r>
      <w:r>
        <w:t xml:space="preserve">ONE</w:t>
      </w:r>
      <w:r>
        <w:t xml:space="preserve"> </w:t>
      </w:r>
      <w:r>
        <w:t xml:space="preserve">7, e29981.</w:t>
      </w:r>
      <w:r>
        <w:t xml:space="preserve"> </w:t>
      </w:r>
      <w:hyperlink r:id="rId80">
        <w:r>
          <w:rPr>
            <w:rStyle w:val="Hyperlink"/>
          </w:rPr>
          <w:t xml:space="preserve">https://doi.org/10.1371/journal.pone.0029981</w:t>
        </w:r>
      </w:hyperlink>
    </w:p>
    <w:bookmarkEnd w:id="81"/>
    <w:bookmarkStart w:id="83" w:name="ref-briand2004cylindrospermopsis"/>
    <w:p>
      <w:pPr>
        <w:pStyle w:val="Bibliography"/>
      </w:pPr>
      <w:r>
        <w:t xml:space="preserve">Briand, J.-F., Leboulanger, C., Humbert, J.-F., Bernard, C., Dufour, P., 2004.</w:t>
      </w:r>
      <w:r>
        <w:t xml:space="preserve"> </w:t>
      </w:r>
      <w:r>
        <w:t xml:space="preserve">CYLINDROSPERMOPSIS</w:t>
      </w:r>
      <w:r>
        <w:t xml:space="preserve"> </w:t>
      </w:r>
      <w:r>
        <w:t xml:space="preserve">RACIBORSKII</w:t>
      </w:r>
      <w:r>
        <w:t xml:space="preserve"> </w:t>
      </w:r>
      <w:r>
        <w:t xml:space="preserve">(</w:t>
      </w:r>
      <w:r>
        <w:t xml:space="preserve">CYANOBACTERIA</w:t>
      </w:r>
      <w:r>
        <w:t xml:space="preserve">)</w:t>
      </w:r>
      <w:r>
        <w:t xml:space="preserve"> </w:t>
      </w:r>
      <w:r>
        <w:t xml:space="preserve">INVASION</w:t>
      </w:r>
      <w:r>
        <w:t xml:space="preserve"> </w:t>
      </w:r>
      <w:r>
        <w:t xml:space="preserve">AT</w:t>
      </w:r>
      <w:r>
        <w:t xml:space="preserve"> </w:t>
      </w:r>
      <w:r>
        <w:t xml:space="preserve">MID</w:t>
      </w:r>
      <w:r>
        <w:t xml:space="preserve">-</w:t>
      </w:r>
      <w:r>
        <w:t xml:space="preserve">LATITUDES</w:t>
      </w:r>
      <w:r>
        <w:t xml:space="preserve">:</w:t>
      </w:r>
      <w:r>
        <w:t xml:space="preserve"> </w:t>
      </w:r>
      <w:r>
        <w:t xml:space="preserve">SELECTION</w:t>
      </w:r>
      <w:r>
        <w:t xml:space="preserve">,</w:t>
      </w:r>
      <w:r>
        <w:t xml:space="preserve"> </w:t>
      </w:r>
      <w:r>
        <w:t xml:space="preserve">WIDE</w:t>
      </w:r>
      <w:r>
        <w:t xml:space="preserve"> </w:t>
      </w:r>
      <w:r>
        <w:t xml:space="preserve">PHYSIOLOGICAL</w:t>
      </w:r>
      <w:r>
        <w:t xml:space="preserve"> </w:t>
      </w:r>
      <w:r>
        <w:t xml:space="preserve">TOLERANCE</w:t>
      </w:r>
      <w:r>
        <w:t xml:space="preserve">,</w:t>
      </w:r>
      <w:r>
        <w:t xml:space="preserve"> </w:t>
      </w:r>
      <w:r>
        <w:t xml:space="preserve">ORGLOBALWARMING</w:t>
      </w:r>
      <w:r>
        <w:t xml:space="preserve">?1. Journal of Phycology 40, 231–238.</w:t>
      </w:r>
      <w:r>
        <w:t xml:space="preserve"> </w:t>
      </w:r>
      <w:hyperlink r:id="rId82">
        <w:r>
          <w:rPr>
            <w:rStyle w:val="Hyperlink"/>
          </w:rPr>
          <w:t xml:space="preserve">https://doi.org/10.1111/j.1529-8817.2004.03118.x</w:t>
        </w:r>
      </w:hyperlink>
    </w:p>
    <w:bookmarkEnd w:id="83"/>
    <w:bookmarkStart w:id="85" w:name="ref-cai2017geosmin"/>
    <w:p>
      <w:pPr>
        <w:pStyle w:val="Bibliography"/>
      </w:pPr>
      <w:r>
        <w:t xml:space="preserve">Cai, F., Yu, G., Zhang, K., Chen, Y., Li, Q., Yang, Y., Xie, J., Wang, Y., Li, R., 2017. Geosmin production and polyphasic characterization of</w:t>
      </w:r>
      <w:r>
        <w:t xml:space="preserve"> </w:t>
      </w:r>
      <w:r>
        <w:rPr>
          <w:i/>
          <w:iCs/>
        </w:rPr>
        <w:t xml:space="preserve">Oscillatoria limosa</w:t>
      </w:r>
      <w:r>
        <w:t xml:space="preserve"> </w:t>
      </w:r>
      <w:r>
        <w:t xml:space="preserve">agardh ex gomont isolated from the open canal of a large drinking water system in tianjin city, china. Harmful Algae 69, 28–37.</w:t>
      </w:r>
      <w:r>
        <w:t xml:space="preserve"> </w:t>
      </w:r>
      <w:hyperlink r:id="rId84">
        <w:r>
          <w:rPr>
            <w:rStyle w:val="Hyperlink"/>
          </w:rPr>
          <w:t xml:space="preserve">https://doi.org/10.1016/j.hal.2017.09.006</w:t>
        </w:r>
      </w:hyperlink>
    </w:p>
    <w:bookmarkEnd w:id="85"/>
    <w:bookmarkStart w:id="87" w:name="ref-chu2007effect"/>
    <w:p>
      <w:pPr>
        <w:pStyle w:val="Bibliography"/>
      </w:pPr>
      <w:r>
        <w:t xml:space="preserve">Chu, Z., Jin, X., Iwami, N., Inamori, Y., 2007. The effect of temperature on growth characteristics and competitions of</w:t>
      </w:r>
      <w:r>
        <w:t xml:space="preserve"> </w:t>
      </w:r>
      <w:r>
        <w:rPr>
          <w:i/>
          <w:iCs/>
        </w:rPr>
        <w:t xml:space="preserve">Microcystis aeruginosa</w:t>
      </w:r>
      <w:r>
        <w:t xml:space="preserve"> </w:t>
      </w:r>
      <w:r>
        <w:t xml:space="preserve">and</w:t>
      </w:r>
      <w:r>
        <w:t xml:space="preserve"> </w:t>
      </w:r>
      <w:r>
        <w:rPr>
          <w:i/>
          <w:iCs/>
        </w:rPr>
        <w:t xml:space="preserve">Oscillatoria mougeotii</w:t>
      </w:r>
      <w:r>
        <w:t xml:space="preserve"> </w:t>
      </w:r>
      <w:r>
        <w:t xml:space="preserve">in a shallow, eutrophic lake simulator system, in: Eutrophication of Shallow Lakes with Special Reference to</w:t>
      </w:r>
      <w:r>
        <w:t xml:space="preserve"> </w:t>
      </w:r>
      <w:r>
        <w:t xml:space="preserve">Lake Taihu</w:t>
      </w:r>
      <w:r>
        <w:t xml:space="preserve">,</w:t>
      </w:r>
      <w:r>
        <w:t xml:space="preserve"> </w:t>
      </w:r>
      <w:r>
        <w:t xml:space="preserve">China</w:t>
      </w:r>
      <w:r>
        <w:t xml:space="preserve">. Springer Netherlands, pp. 217–223.</w:t>
      </w:r>
      <w:r>
        <w:t xml:space="preserve"> </w:t>
      </w:r>
      <w:hyperlink r:id="rId86">
        <w:r>
          <w:rPr>
            <w:rStyle w:val="Hyperlink"/>
          </w:rPr>
          <w:t xml:space="preserve">https://doi.org/10.1007/978-1-4020-6158-5_24</w:t>
        </w:r>
      </w:hyperlink>
    </w:p>
    <w:bookmarkEnd w:id="87"/>
    <w:bookmarkStart w:id="89" w:name="ref-coles2000effect"/>
    <w:p>
      <w:pPr>
        <w:pStyle w:val="Bibliography"/>
      </w:pPr>
      <w:r>
        <w:t xml:space="preserve">Coles, J.F., Jones, R.C., 2000. Effect of temperature on photosynthesis-light response and growth of four phytoplankton species isolated from a tidal freshwater river. Journal of Phycology 36, 7–16.</w:t>
      </w:r>
      <w:r>
        <w:t xml:space="preserve"> </w:t>
      </w:r>
      <w:hyperlink r:id="rId88">
        <w:r>
          <w:rPr>
            <w:rStyle w:val="Hyperlink"/>
          </w:rPr>
          <w:t xml:space="preserve">https://doi.org/10.1046/j.1529-8817.2000.98219.x</w:t>
        </w:r>
      </w:hyperlink>
    </w:p>
    <w:bookmarkEnd w:id="89"/>
    <w:bookmarkStart w:id="91" w:name="ref-elmetri2004effects"/>
    <w:p>
      <w:pPr>
        <w:pStyle w:val="Bibliography"/>
      </w:pPr>
      <w:r>
        <w:t xml:space="preserve">Elmetri, I., Bell, P., 2004. Effects of phosphorus on the growth and nitrogen fixation rates of</w:t>
      </w:r>
      <w:r>
        <w:t xml:space="preserve"> </w:t>
      </w:r>
      <w:r>
        <w:rPr>
          <w:i/>
          <w:iCs/>
        </w:rPr>
        <w:t xml:space="preserve">Lyngbya majuscula</w:t>
      </w:r>
      <w:r>
        <w:t xml:space="preserve">: Implications for management in</w:t>
      </w:r>
      <w:r>
        <w:t xml:space="preserve"> </w:t>
      </w:r>
      <w:r>
        <w:t xml:space="preserve">Moreton Bay</w:t>
      </w:r>
      <w:r>
        <w:t xml:space="preserve">,</w:t>
      </w:r>
      <w:r>
        <w:t xml:space="preserve"> </w:t>
      </w:r>
      <w:r>
        <w:t xml:space="preserve">Queensland</w:t>
      </w:r>
      <w:r>
        <w:t xml:space="preserve">. Marine Ecology Progress Series 281, 27–35.</w:t>
      </w:r>
      <w:r>
        <w:t xml:space="preserve"> </w:t>
      </w:r>
      <w:hyperlink r:id="rId90">
        <w:r>
          <w:rPr>
            <w:rStyle w:val="Hyperlink"/>
          </w:rPr>
          <w:t xml:space="preserve">https://doi.org/10.3354/meps281027</w:t>
        </w:r>
      </w:hyperlink>
    </w:p>
    <w:bookmarkEnd w:id="91"/>
    <w:bookmarkStart w:id="93" w:name="ref-foy1976the"/>
    <w:p>
      <w:pPr>
        <w:pStyle w:val="Bibliography"/>
      </w:pPr>
      <w:r>
        <w:t xml:space="preserve">Foy, R.H., Gibson, C.E., Smith, R.V., 1976. The influence of daylength, light intensity and temperature on the growth rates of planktonic blue-green algae. British Phycological Journal 11, 151–163.</w:t>
      </w:r>
      <w:r>
        <w:t xml:space="preserve"> </w:t>
      </w:r>
      <w:hyperlink r:id="rId92">
        <w:r>
          <w:rPr>
            <w:rStyle w:val="Hyperlink"/>
          </w:rPr>
          <w:t xml:space="preserve">https://doi.org/10.1080/00071617600650181</w:t>
        </w:r>
      </w:hyperlink>
    </w:p>
    <w:bookmarkEnd w:id="93"/>
    <w:bookmarkStart w:id="95" w:name="ref-fujimoto1994effects"/>
    <w:p>
      <w:pPr>
        <w:pStyle w:val="Bibliography"/>
      </w:pPr>
      <w:r>
        <w:t xml:space="preserve">Fujimoto, N., Inamori, Y., Sugiura, N., Sudo, R., 1994. Effects of temperature change on algal growth. Environmental Technology 15, 497–500.</w:t>
      </w:r>
      <w:r>
        <w:t xml:space="preserve"> </w:t>
      </w:r>
      <w:hyperlink r:id="rId94">
        <w:r>
          <w:rPr>
            <w:rStyle w:val="Hyperlink"/>
          </w:rPr>
          <w:t xml:space="preserve">https://doi.org/10.1080/09593339409385455</w:t>
        </w:r>
      </w:hyperlink>
    </w:p>
    <w:bookmarkEnd w:id="95"/>
    <w:bookmarkStart w:id="97" w:name="ref-gao2018dominance"/>
    <w:p>
      <w:pPr>
        <w:pStyle w:val="Bibliography"/>
      </w:pPr>
      <w:r>
        <w:t xml:space="preserve">Gao, J., Zhu, J., Wang, M., Dong, W., 2018. Dominance and growth factors of</w:t>
      </w:r>
      <w:r>
        <w:t xml:space="preserve"> </w:t>
      </w:r>
      <w:r>
        <w:rPr>
          <w:i/>
          <w:iCs/>
        </w:rPr>
        <w:t xml:space="preserve">Pseudanabaena</w:t>
      </w:r>
      <w:r>
        <w:t xml:space="preserve"> </w:t>
      </w:r>
      <w:r>
        <w:t xml:space="preserve">sp.</w:t>
      </w:r>
      <w:r>
        <w:t xml:space="preserve"> </w:t>
      </w:r>
      <w:r>
        <w:t xml:space="preserve">In drinking water source reservoirs, southern china. Sustainability 10, 3936.</w:t>
      </w:r>
      <w:r>
        <w:t xml:space="preserve"> </w:t>
      </w:r>
      <w:hyperlink r:id="rId96">
        <w:r>
          <w:rPr>
            <w:rStyle w:val="Hyperlink"/>
          </w:rPr>
          <w:t xml:space="preserve">https://doi.org/10.3390/su10113936</w:t>
        </w:r>
      </w:hyperlink>
    </w:p>
    <w:bookmarkEnd w:id="97"/>
    <w:bookmarkStart w:id="99" w:name="ref-giraldosilva2019effect"/>
    <w:p>
      <w:pPr>
        <w:pStyle w:val="Bibliography"/>
      </w:pPr>
      <w:r>
        <w:t xml:space="preserve">Giraldo-Silva, A., Nelson, C., Penfold, C., Barger, N.N., Garcia-Pichel, F., 2019. Effect of preconditioning to the soil environment on the performance of 20 cyanobacterial strains used as inoculum for biocrust restoration. Restoration Ecology 28.</w:t>
      </w:r>
      <w:r>
        <w:t xml:space="preserve"> </w:t>
      </w:r>
      <w:hyperlink r:id="rId98">
        <w:r>
          <w:rPr>
            <w:rStyle w:val="Hyperlink"/>
          </w:rPr>
          <w:t xml:space="preserve">https://doi.org/10.1111/rec.13048</w:t>
        </w:r>
      </w:hyperlink>
    </w:p>
    <w:bookmarkEnd w:id="99"/>
    <w:bookmarkStart w:id="101" w:name="ref-glibert2009grazing"/>
    <w:p>
      <w:pPr>
        <w:pStyle w:val="Bibliography"/>
      </w:pPr>
      <w:r>
        <w:t xml:space="preserve">Glibert, P., Burkholder, J., Kana, T., Alexander, J., Skelton, H., Shilling, C., 2009. Grazing by karenia brevis on synechococcus enhances its growth rate and may help to sustain blooms. Aquatic Microbial Ecology 55, 17–30.</w:t>
      </w:r>
      <w:r>
        <w:t xml:space="preserve"> </w:t>
      </w:r>
      <w:hyperlink r:id="rId100">
        <w:r>
          <w:rPr>
            <w:rStyle w:val="Hyperlink"/>
          </w:rPr>
          <w:t xml:space="preserve">https://doi.org/10.3354/ame01279</w:t>
        </w:r>
      </w:hyperlink>
    </w:p>
    <w:bookmarkEnd w:id="101"/>
    <w:bookmarkStart w:id="103" w:name="ref-gong2019reduced"/>
    <w:p>
      <w:pPr>
        <w:pStyle w:val="Bibliography"/>
      </w:pPr>
      <w:r>
        <w:t xml:space="preserve">Gong, G.-C., Tsai, A.-Y., 2019. Reduced daytime net growth rate of synechococcus spp. In the east china sea in summer estimated using a dilution approach. Estuarine, Coastal and Shelf Science 219, 90–96.</w:t>
      </w:r>
      <w:r>
        <w:t xml:space="preserve"> </w:t>
      </w:r>
      <w:hyperlink r:id="rId102">
        <w:r>
          <w:rPr>
            <w:rStyle w:val="Hyperlink"/>
          </w:rPr>
          <w:t xml:space="preserve">https://doi.org/10.1016/j.ecss.2019.01.029</w:t>
        </w:r>
      </w:hyperlink>
    </w:p>
    <w:bookmarkEnd w:id="103"/>
    <w:bookmarkStart w:id="105" w:name="ref-heng2017synechococcus"/>
    <w:p>
      <w:pPr>
        <w:pStyle w:val="Bibliography"/>
      </w:pPr>
      <w:r>
        <w:t xml:space="preserve">Heng, P.L., Lim, J.H., Lee, C.W., 2017. Synechococcus production and grazing loss rates in nearshore tropical waters. Environmental Monitoring and Assessment 189.</w:t>
      </w:r>
      <w:r>
        <w:t xml:space="preserve"> </w:t>
      </w:r>
      <w:hyperlink r:id="rId104">
        <w:r>
          <w:rPr>
            <w:rStyle w:val="Hyperlink"/>
          </w:rPr>
          <w:t xml:space="preserve">https://doi.org/10.1007/s10661-017-5838-1</w:t>
        </w:r>
      </w:hyperlink>
    </w:p>
    <w:bookmarkEnd w:id="105"/>
    <w:bookmarkStart w:id="107" w:name="ref-hesse2001consequences"/>
    <w:p>
      <w:pPr>
        <w:pStyle w:val="Bibliography"/>
      </w:pPr>
      <w:r>
        <w:t xml:space="preserve">Hesse, K., Dittmann, E., BÃrner, T., 2001. Consequences of impaired microcystin production for light-dependent growth and pigmentation of microcystis aeruginosa</w:t>
      </w:r>
      <w:r>
        <w:t xml:space="preserve"> </w:t>
      </w:r>
      <w:r>
        <w:t xml:space="preserve">PCC</w:t>
      </w:r>
      <w:r>
        <w:t xml:space="preserve"> </w:t>
      </w:r>
      <w:r>
        <w:t xml:space="preserve">7806.</w:t>
      </w:r>
      <w:r>
        <w:t xml:space="preserve"> </w:t>
      </w:r>
      <w:r>
        <w:t xml:space="preserve">FEMS</w:t>
      </w:r>
      <w:r>
        <w:t xml:space="preserve"> </w:t>
      </w:r>
      <w:r>
        <w:t xml:space="preserve">Microbiology Ecology 37, 39–43.</w:t>
      </w:r>
      <w:r>
        <w:t xml:space="preserve"> </w:t>
      </w:r>
      <w:hyperlink r:id="rId106">
        <w:r>
          <w:rPr>
            <w:rStyle w:val="Hyperlink"/>
          </w:rPr>
          <w:t xml:space="preserve">https://doi.org/10.1111/j.1574-6941.2001.tb00851.x</w:t>
        </w:r>
      </w:hyperlink>
    </w:p>
    <w:bookmarkEnd w:id="107"/>
    <w:bookmarkStart w:id="109" w:name="ref-imai2009temperature"/>
    <w:p>
      <w:pPr>
        <w:pStyle w:val="Bibliography"/>
      </w:pPr>
      <w:r>
        <w:t xml:space="preserve">Imai, H., Chang, K., Kusaba, M., Nakano, S., 2009. Temperature-dependent dominance of</w:t>
      </w:r>
      <w:r>
        <w:t xml:space="preserve"> </w:t>
      </w:r>
      <w:r>
        <w:rPr>
          <w:i/>
          <w:iCs/>
        </w:rPr>
        <w:t xml:space="preserve">Microcystis</w:t>
      </w:r>
      <w:r>
        <w:t xml:space="preserve"> </w:t>
      </w:r>
      <w:r>
        <w:t xml:space="preserve">(cyanophyceae) species:</w:t>
      </w:r>
      <w:r>
        <w:t xml:space="preserve"> </w:t>
      </w:r>
      <w:r>
        <w:t xml:space="preserve"> </w:t>
      </w:r>
      <w:r>
        <w:rPr>
          <w:i/>
          <w:iCs/>
        </w:rPr>
        <w:t xml:space="preserve">M. aeruginosa</w:t>
      </w:r>
      <w:r>
        <w:t xml:space="preserve"> </w:t>
      </w:r>
      <w:r>
        <w:t xml:space="preserve">and</w:t>
      </w:r>
      <w:r>
        <w:t xml:space="preserve"> </w:t>
      </w:r>
      <w:r>
        <w:rPr>
          <w:i/>
          <w:iCs/>
        </w:rPr>
        <w:t xml:space="preserve">M. wesenbergii</w:t>
      </w:r>
      <w:r>
        <w:t xml:space="preserve">. Journal of Plankton Research 31, 171–178.</w:t>
      </w:r>
      <w:r>
        <w:t xml:space="preserve"> </w:t>
      </w:r>
      <w:hyperlink r:id="rId108">
        <w:r>
          <w:rPr>
            <w:rStyle w:val="Hyperlink"/>
          </w:rPr>
          <w:t xml:space="preserve">https://doi.org/10.1093/plankt/fbn110</w:t>
        </w:r>
      </w:hyperlink>
    </w:p>
    <w:bookmarkEnd w:id="109"/>
    <w:bookmarkStart w:id="111" w:name="ref-jia2019light"/>
    <w:p>
      <w:pPr>
        <w:pStyle w:val="Bibliography"/>
      </w:pPr>
      <w:r>
        <w:t xml:space="preserve">Jia, Z., Su, M., Liu, T., Guo, Q., Wang, Q., Burch, M., Yu, J., Yang, M., 2019. Light as a possible regulator of</w:t>
      </w:r>
      <w:r>
        <w:t xml:space="preserve"> </w:t>
      </w:r>
      <w:r>
        <w:t xml:space="preserve">MIB</w:t>
      </w:r>
      <w:r>
        <w:t xml:space="preserve">-producing</w:t>
      </w:r>
      <w:r>
        <w:t xml:space="preserve"> </w:t>
      </w:r>
      <w:r>
        <w:rPr>
          <w:i/>
          <w:iCs/>
        </w:rPr>
        <w:t xml:space="preserve">Planktothrix</w:t>
      </w:r>
      <w:r>
        <w:t xml:space="preserve"> </w:t>
      </w:r>
      <w:r>
        <w:t xml:space="preserve">in source water reservoir, mechanism and</w:t>
      </w:r>
      <w:r>
        <w:t xml:space="preserve"> </w:t>
      </w:r>
      <w:r>
        <w:rPr>
          <w:i/>
          <w:iCs/>
        </w:rPr>
        <w:t xml:space="preserve">in-situ</w:t>
      </w:r>
      <w:r>
        <w:t xml:space="preserve"> </w:t>
      </w:r>
      <w:r>
        <w:t xml:space="preserve">verification. Harmful Algae 88, 101658.</w:t>
      </w:r>
      <w:r>
        <w:t xml:space="preserve"> </w:t>
      </w:r>
      <w:hyperlink r:id="rId110">
        <w:r>
          <w:rPr>
            <w:rStyle w:val="Hyperlink"/>
          </w:rPr>
          <w:t xml:space="preserve">https://doi.org/10.1016/j.hal.2019.101658</w:t>
        </w:r>
      </w:hyperlink>
    </w:p>
    <w:bookmarkEnd w:id="111"/>
    <w:bookmarkStart w:id="113" w:name="ref-karsten1996growth"/>
    <w:p>
      <w:pPr>
        <w:pStyle w:val="Bibliography"/>
      </w:pPr>
      <w:r>
        <w:t xml:space="preserve">Karsten, U., 1996. Growth and organic osmolytes of geographically different isolates of microcoleus chthonoplastes (cyanobacteria) from benthic microbial mats: Response to salinity change1. Journal of Phycology 32, 501–506. https://doi.org/</w:t>
      </w:r>
      <w:hyperlink r:id="rId112">
        <w:r>
          <w:rPr>
            <w:rStyle w:val="Hyperlink"/>
          </w:rPr>
          <w:t xml:space="preserve">https://doi.org/10.1111/j.0022-3646.1996.00501.x</w:t>
        </w:r>
      </w:hyperlink>
    </w:p>
    <w:bookmarkEnd w:id="113"/>
    <w:bookmarkStart w:id="115" w:name="ref-konopka1978effect"/>
    <w:p>
      <w:pPr>
        <w:pStyle w:val="Bibliography"/>
      </w:pPr>
      <w:r>
        <w:t xml:space="preserve">Konopka, A., Brock, T.D., 1978. Effect of temperature on blue-green algae (cyanobacteria) in</w:t>
      </w:r>
      <w:r>
        <w:t xml:space="preserve"> </w:t>
      </w:r>
      <w:r>
        <w:t xml:space="preserve">Lake Mendota</w:t>
      </w:r>
      <w:r>
        <w:t xml:space="preserve">. Applied and Environmental Microbiology 36, 572–576.</w:t>
      </w:r>
      <w:r>
        <w:t xml:space="preserve"> </w:t>
      </w:r>
      <w:hyperlink r:id="rId114">
        <w:r>
          <w:rPr>
            <w:rStyle w:val="Hyperlink"/>
          </w:rPr>
          <w:t xml:space="preserve">https://doi.org/10.1128/aem.36.4.572-576.1978</w:t>
        </w:r>
      </w:hyperlink>
    </w:p>
    <w:bookmarkEnd w:id="115"/>
    <w:bookmarkStart w:id="117" w:name="ref-kratz1955nutrition"/>
    <w:p>
      <w:pPr>
        <w:pStyle w:val="Bibliography"/>
      </w:pPr>
      <w:r>
        <w:t xml:space="preserve">Kratz, W.A., Myers, J., 1955.</w:t>
      </w:r>
      <w:r>
        <w:t xml:space="preserve"> </w:t>
      </w:r>
      <w:r>
        <w:t xml:space="preserve">NUTRITION</w:t>
      </w:r>
      <w:r>
        <w:t xml:space="preserve"> </w:t>
      </w:r>
      <w:r>
        <w:t xml:space="preserve">AND</w:t>
      </w:r>
      <w:r>
        <w:t xml:space="preserve"> </w:t>
      </w:r>
      <w:r>
        <w:t xml:space="preserve">GROWTH</w:t>
      </w:r>
      <w:r>
        <w:t xml:space="preserve"> </w:t>
      </w:r>
      <w:r>
        <w:t xml:space="preserve">OF</w:t>
      </w:r>
      <w:r>
        <w:t xml:space="preserve"> </w:t>
      </w:r>
      <w:r>
        <w:t xml:space="preserve">SEVERAL</w:t>
      </w:r>
      <w:r>
        <w:t xml:space="preserve"> </w:t>
      </w:r>
      <w:r>
        <w:t xml:space="preserve">BLUE</w:t>
      </w:r>
      <w:r>
        <w:t xml:space="preserve">-</w:t>
      </w:r>
      <w:r>
        <w:t xml:space="preserve">GREEN</w:t>
      </w:r>
      <w:r>
        <w:t xml:space="preserve"> </w:t>
      </w:r>
      <w:r>
        <w:t xml:space="preserve">ALGAE</w:t>
      </w:r>
      <w:r>
        <w:t xml:space="preserve">. American Journal of Botany 42, 282–287.</w:t>
      </w:r>
      <w:r>
        <w:t xml:space="preserve"> </w:t>
      </w:r>
      <w:hyperlink r:id="rId116">
        <w:r>
          <w:rPr>
            <w:rStyle w:val="Hyperlink"/>
          </w:rPr>
          <w:t xml:space="preserve">https://doi.org/10.1002/j.1537-2197.1955.tb11120.x</w:t>
        </w:r>
      </w:hyperlink>
    </w:p>
    <w:bookmarkEnd w:id="117"/>
    <w:bookmarkStart w:id="119" w:name="ref-lababpour2016isolation"/>
    <w:p>
      <w:pPr>
        <w:pStyle w:val="Bibliography"/>
      </w:pPr>
      <w:r>
        <w:t xml:space="preserve">Lababpour, A., Kaviani, M., 2016. Isolation and submerged culture biomass production of the arid land cyanobacteria microcoleus spp., an investigation on its utilization for biological soil crust restoration. Environmental Earth Sciences 75.</w:t>
      </w:r>
      <w:r>
        <w:t xml:space="preserve"> </w:t>
      </w:r>
      <w:hyperlink r:id="rId118">
        <w:r>
          <w:rPr>
            <w:rStyle w:val="Hyperlink"/>
          </w:rPr>
          <w:t xml:space="preserve">https://doi.org/10.1007/s12665-016-6313-y</w:t>
        </w:r>
      </w:hyperlink>
    </w:p>
    <w:bookmarkEnd w:id="119"/>
    <w:bookmarkStart w:id="121" w:name="ref-lehtimaki1997growth"/>
    <w:p>
      <w:pPr>
        <w:pStyle w:val="Bibliography"/>
      </w:pPr>
      <w:r>
        <w:t xml:space="preserve">Lehtimaki, J., Moisander, P., Sivonen, K., Kononen, K., 1997. Growth, nitrogen fixation, and nodularin production by two</w:t>
      </w:r>
      <w:r>
        <w:t xml:space="preserve"> </w:t>
      </w:r>
      <w:r>
        <w:t xml:space="preserve">Baltic Sea</w:t>
      </w:r>
      <w:r>
        <w:t xml:space="preserve"> </w:t>
      </w:r>
      <w:r>
        <w:t xml:space="preserve">cyanobacteria. Applied and Environmental Microbiology 63, 1647–1656.</w:t>
      </w:r>
      <w:r>
        <w:t xml:space="preserve"> </w:t>
      </w:r>
      <w:hyperlink r:id="rId120">
        <w:r>
          <w:rPr>
            <w:rStyle w:val="Hyperlink"/>
          </w:rPr>
          <w:t xml:space="preserve">https://doi.org/10.1128/aem.63.5.1647-1656.1997</w:t>
        </w:r>
      </w:hyperlink>
    </w:p>
    <w:bookmarkEnd w:id="121"/>
    <w:bookmarkStart w:id="123" w:name="ref-lepp2004changes"/>
    <w:p>
      <w:pPr>
        <w:pStyle w:val="Bibliography"/>
      </w:pPr>
      <w:r>
        <w:t xml:space="preserve">Lepp, P.W., Schmidt, T.M., 2004. Changes in synechococcus population size and cellular ribosomal</w:t>
      </w:r>
      <w:r>
        <w:t xml:space="preserve"> </w:t>
      </w:r>
      <w:r>
        <w:t xml:space="preserve">RNA</w:t>
      </w:r>
      <w:r>
        <w:t xml:space="preserve"> </w:t>
      </w:r>
      <w:r>
        <w:t xml:space="preserve">content in response to predation and nutrient limitation. Microbial Ecology 48, 1–9.</w:t>
      </w:r>
      <w:r>
        <w:t xml:space="preserve"> </w:t>
      </w:r>
      <w:hyperlink r:id="rId122">
        <w:r>
          <w:rPr>
            <w:rStyle w:val="Hyperlink"/>
          </w:rPr>
          <w:t xml:space="preserve">https://doi.org/10.1007/s00248-003-1041-8</w:t>
        </w:r>
      </w:hyperlink>
    </w:p>
    <w:bookmarkEnd w:id="123"/>
    <w:bookmarkStart w:id="125" w:name="ref-li2014biochemical"/>
    <w:p>
      <w:pPr>
        <w:pStyle w:val="Bibliography"/>
      </w:pPr>
      <w:r>
        <w:t xml:space="preserve">Li, M., Nkrumah, P.N., Xiao, M., 2014. Biochemical composition of microcystis aeruginosa related to specific growth rate: Insight into the effects of abiotic factors. Inland Waters 4, 357–362.</w:t>
      </w:r>
      <w:r>
        <w:t xml:space="preserve"> </w:t>
      </w:r>
      <w:hyperlink r:id="rId124">
        <w:r>
          <w:rPr>
            <w:rStyle w:val="Hyperlink"/>
          </w:rPr>
          <w:t xml:space="preserve">https://doi.org/10.5268/IW-4.4.710</w:t>
        </w:r>
      </w:hyperlink>
    </w:p>
    <w:bookmarkEnd w:id="125"/>
    <w:bookmarkStart w:id="127" w:name="ref-li2012earthy"/>
    <w:p>
      <w:pPr>
        <w:pStyle w:val="Bibliography"/>
      </w:pPr>
      <w:r>
        <w:t xml:space="preserve">Li, Z., Hobson, P., An, W., Burch, M.D., House, J., Yang, M., 2012. Earthy odor compounds production and loss in three cyanobacterial cultures. Water Research 46, 5165–5173.</w:t>
      </w:r>
      <w:r>
        <w:t xml:space="preserve"> </w:t>
      </w:r>
      <w:hyperlink r:id="rId126">
        <w:r>
          <w:rPr>
            <w:rStyle w:val="Hyperlink"/>
          </w:rPr>
          <w:t xml:space="preserve">https://doi.org/10.1016/j.watres.2012.06.008</w:t>
        </w:r>
      </w:hyperlink>
    </w:p>
    <w:bookmarkEnd w:id="127"/>
    <w:bookmarkStart w:id="129" w:name="ref-liu1998prochlorococcus"/>
    <w:p>
      <w:pPr>
        <w:pStyle w:val="Bibliography"/>
      </w:pPr>
      <w:r>
        <w:t xml:space="preserve">Liu, H., Campbell, L., Landry, M.R., Nolla, H.A., Brown, S.L., Constantinou, J., 1998. Prochlorococcus and synechococcus growth rates and contributions to production in the arabian sea during the 1995 southwest and northeast monsoons. Deep Sea Research Part</w:t>
      </w:r>
      <w:r>
        <w:t xml:space="preserve"> </w:t>
      </w:r>
      <w:r>
        <w:t xml:space="preserve">II</w:t>
      </w:r>
      <w:r>
        <w:t xml:space="preserve">: Topical Studies in Oceanography 45, 2327–2352.</w:t>
      </w:r>
      <w:r>
        <w:t xml:space="preserve"> </w:t>
      </w:r>
      <w:hyperlink r:id="rId128">
        <w:r>
          <w:rPr>
            <w:rStyle w:val="Hyperlink"/>
          </w:rPr>
          <w:t xml:space="preserve">https://doi.org/10.1016/s0967-0645(98)00073-3</w:t>
        </w:r>
      </w:hyperlink>
    </w:p>
    <w:bookmarkEnd w:id="129"/>
    <w:bookmarkStart w:id="131" w:name="ref-lurling2013comparison"/>
    <w:p>
      <w:pPr>
        <w:pStyle w:val="Bibliography"/>
      </w:pPr>
      <w:r>
        <w:t xml:space="preserve">Lürling, M., Eshetu, F., Faassen, E.J., Kosten, S., Huszar, V.L.M., 2013. Comparison of cyanobacterial and green algal growth rates at different temperatures. Freshwater Biology 58, 552–559.</w:t>
      </w:r>
      <w:r>
        <w:t xml:space="preserve"> </w:t>
      </w:r>
      <w:hyperlink r:id="rId130">
        <w:r>
          <w:rPr>
            <w:rStyle w:val="Hyperlink"/>
          </w:rPr>
          <w:t xml:space="preserve">https://doi.org/10.1111/j.1365-2427.2012.02866.x</w:t>
        </w:r>
      </w:hyperlink>
    </w:p>
    <w:bookmarkEnd w:id="131"/>
    <w:bookmarkStart w:id="133" w:name="ref-malinskyrushansky2002physiological"/>
    <w:p>
      <w:pPr>
        <w:pStyle w:val="Bibliography"/>
      </w:pPr>
      <w:r>
        <w:t xml:space="preserve">Malinsky-Rushansky, N., 2002. Physiological characteristics of picophytoplankton, isolated from lake kinneret: Responses to light and temperature. Journal of Plankton Research 24, 1173–1183.</w:t>
      </w:r>
      <w:r>
        <w:t xml:space="preserve"> </w:t>
      </w:r>
      <w:hyperlink r:id="rId132">
        <w:r>
          <w:rPr>
            <w:rStyle w:val="Hyperlink"/>
          </w:rPr>
          <w:t xml:space="preserve">https://doi.org/10.1093/plankt/24.11.1173</w:t>
        </w:r>
      </w:hyperlink>
    </w:p>
    <w:bookmarkEnd w:id="133"/>
    <w:bookmarkStart w:id="135" w:name="ref-marinho2013light"/>
    <w:p>
      <w:pPr>
        <w:pStyle w:val="Bibliography"/>
      </w:pPr>
      <w:r>
        <w:t xml:space="preserve">Marinho, M.M., Souza, M.B.G., Lürling, M., 2013. Light and phosphate competition between cylindrospermopsis raciborskii and microcystis aeruginosa is strain dependent. Microbial Ecology 66, 479–488.</w:t>
      </w:r>
      <w:r>
        <w:t xml:space="preserve"> </w:t>
      </w:r>
      <w:hyperlink r:id="rId134">
        <w:r>
          <w:rPr>
            <w:rStyle w:val="Hyperlink"/>
          </w:rPr>
          <w:t xml:space="preserve">https://doi.org/10.1007/s00248-013-0232-1</w:t>
        </w:r>
      </w:hyperlink>
    </w:p>
    <w:bookmarkEnd w:id="135"/>
    <w:bookmarkStart w:id="137" w:name="ref-mehnert2010competitiveness"/>
    <w:p>
      <w:pPr>
        <w:pStyle w:val="Bibliography"/>
      </w:pPr>
      <w:r>
        <w:t xml:space="preserve">Mehnert, G., Leunert, F., Cires, S., Johnk, K.D., Rucker, J., Nixdorf, B., Wiedner, C., 2010. Competitiveness of invasive and native cyanobacteria from temperate freshwaters under various light and temperature conditions. Journal of Plankton Research 32, 1009–1021.</w:t>
      </w:r>
      <w:r>
        <w:t xml:space="preserve"> </w:t>
      </w:r>
      <w:hyperlink r:id="rId136">
        <w:r>
          <w:rPr>
            <w:rStyle w:val="Hyperlink"/>
          </w:rPr>
          <w:t xml:space="preserve">https://doi.org/10.1093/plankt/fbq033</w:t>
        </w:r>
      </w:hyperlink>
    </w:p>
    <w:bookmarkEnd w:id="137"/>
    <w:bookmarkStart w:id="139" w:name="ref-mello2012growth"/>
    <w:p>
      <w:pPr>
        <w:pStyle w:val="Bibliography"/>
      </w:pPr>
      <w:r>
        <w:t xml:space="preserve">Mello, M.M. e., Soares, M.C.S., Roland, F., Lurling, M., 2012. Growth inhibition and colony formation in the cyanobacterium microcystis aeruginosa induced by the cyanobacterium cylindrospermopsis raciborskii. Journal of Plankton Research 34, 987–994.</w:t>
      </w:r>
      <w:r>
        <w:t xml:space="preserve"> </w:t>
      </w:r>
      <w:hyperlink r:id="rId138">
        <w:r>
          <w:rPr>
            <w:rStyle w:val="Hyperlink"/>
          </w:rPr>
          <w:t xml:space="preserve">https://doi.org/10.1093/plankt/fbs056</w:t>
        </w:r>
      </w:hyperlink>
    </w:p>
    <w:bookmarkEnd w:id="139"/>
    <w:bookmarkStart w:id="141" w:name="ref-miskiewicz2000photosynthetic"/>
    <w:p>
      <w:pPr>
        <w:pStyle w:val="Bibliography"/>
      </w:pPr>
      <w:r>
        <w:t xml:space="preserve">Miskiewicz, E., Ivanov, A.G., Williams, J.P., Khan, M.U., Falk, S., Huner, N.P.A., 2000. Photosynthetic acclimation of the filamentous cyanobacterium, plectonema boryanum</w:t>
      </w:r>
      <w:r>
        <w:t xml:space="preserve"> </w:t>
      </w:r>
      <w:r>
        <w:t xml:space="preserve">UTEX</w:t>
      </w:r>
      <w:r>
        <w:t xml:space="preserve"> </w:t>
      </w:r>
      <w:r>
        <w:t xml:space="preserve">485, to temperature and light. Plant and Cell Physiology 41, 767–775.</w:t>
      </w:r>
      <w:r>
        <w:t xml:space="preserve"> </w:t>
      </w:r>
      <w:hyperlink r:id="rId140">
        <w:r>
          <w:rPr>
            <w:rStyle w:val="Hyperlink"/>
          </w:rPr>
          <w:t xml:space="preserve">https://doi.org/10.1093/pcp/41.6.767</w:t>
        </w:r>
      </w:hyperlink>
    </w:p>
    <w:bookmarkEnd w:id="141"/>
    <w:bookmarkStart w:id="143" w:name="ref-mowe2015roles"/>
    <w:p>
      <w:pPr>
        <w:pStyle w:val="Bibliography"/>
      </w:pPr>
      <w:r>
        <w:t xml:space="preserve">Mowe, M.A.D., Abbas, F., Porojan, C., Mitrovic, S.M., Lim, R.P., Furey, A., Yeo, D.C.J., 2015. Roles of nitrogen and phosphorus in growth responses and toxin production (using</w:t>
      </w:r>
      <w:r>
        <w:t xml:space="preserve"> </w:t>
      </w:r>
      <w:r>
        <w:t xml:space="preserve">LC</w:t>
      </w:r>
      <w:r>
        <w:t xml:space="preserve">-</w:t>
      </w:r>
      <w:r>
        <w:t xml:space="preserve">MS</w:t>
      </w:r>
      <w:r>
        <w:t xml:space="preserve">/</w:t>
      </w:r>
      <w:r>
        <w:t xml:space="preserve">MS</w:t>
      </w:r>
      <w:r>
        <w:t xml:space="preserve">) of tropical microcystis ichthyoblabe and m. Flos-aquae. Journal of Applied Phycology 28, 1543–1552.</w:t>
      </w:r>
      <w:r>
        <w:t xml:space="preserve"> </w:t>
      </w:r>
      <w:hyperlink r:id="rId142">
        <w:r>
          <w:rPr>
            <w:rStyle w:val="Hyperlink"/>
          </w:rPr>
          <w:t xml:space="preserve">https://doi.org/10.1007/s10811-015-0688-0</w:t>
        </w:r>
      </w:hyperlink>
    </w:p>
    <w:bookmarkEnd w:id="143"/>
    <w:bookmarkStart w:id="145" w:name="ref-nalewajko2001effects"/>
    <w:p>
      <w:pPr>
        <w:pStyle w:val="Bibliography"/>
      </w:pPr>
      <w:r>
        <w:t xml:space="preserve">Nalewajko, C., Murphy, T.P., 2001. Effects of temperature, and availability of nitrogen and phosphorus on the abundance of</w:t>
      </w:r>
      <w:r>
        <w:t xml:space="preserve"> </w:t>
      </w:r>
      <w:r>
        <w:rPr>
          <w:i/>
          <w:iCs/>
        </w:rPr>
        <w:t xml:space="preserve">Anabaena</w:t>
      </w:r>
      <w:r>
        <w:t xml:space="preserve"> </w:t>
      </w:r>
      <w:r>
        <w:t xml:space="preserve">and</w:t>
      </w:r>
      <w:r>
        <w:t xml:space="preserve"> </w:t>
      </w:r>
      <w:r>
        <w:rPr>
          <w:i/>
          <w:iCs/>
        </w:rPr>
        <w:t xml:space="preserve">Microcystis</w:t>
      </w:r>
      <w:r>
        <w:t xml:space="preserve"> </w:t>
      </w:r>
      <w:r>
        <w:t xml:space="preserve">in</w:t>
      </w:r>
      <w:r>
        <w:t xml:space="preserve"> </w:t>
      </w:r>
      <w:r>
        <w:t xml:space="preserve">Lake Biwa, Japan</w:t>
      </w:r>
      <w:r>
        <w:t xml:space="preserve">: An experimental approach. Limnology 2, 45–48.</w:t>
      </w:r>
      <w:r>
        <w:t xml:space="preserve"> </w:t>
      </w:r>
      <w:hyperlink r:id="rId144">
        <w:r>
          <w:rPr>
            <w:rStyle w:val="Hyperlink"/>
          </w:rPr>
          <w:t xml:space="preserve">https://doi.org/10.1007/s102010170015</w:t>
        </w:r>
      </w:hyperlink>
    </w:p>
    <w:bookmarkEnd w:id="145"/>
    <w:bookmarkStart w:id="147" w:name="ref-nicklisch1999competition"/>
    <w:p>
      <w:pPr>
        <w:pStyle w:val="Bibliography"/>
      </w:pPr>
      <w:r>
        <w:t xml:space="preserve">Nicklisch, A., 1999. Competition between the cyanobacterium limnothrix redekei and some spring species of diatoms under p-limitation. International Review of Hydrobiology 84, 233–241. https://doi.org/</w:t>
      </w:r>
      <w:hyperlink r:id="rId146">
        <w:r>
          <w:rPr>
            <w:rStyle w:val="Hyperlink"/>
          </w:rPr>
          <w:t xml:space="preserve">https://doi.org/10.1002/iroh.199900024</w:t>
        </w:r>
      </w:hyperlink>
    </w:p>
    <w:bookmarkEnd w:id="147"/>
    <w:bookmarkStart w:id="149" w:name="ref-nicklisch1998growth"/>
    <w:p>
      <w:pPr>
        <w:pStyle w:val="Bibliography"/>
      </w:pPr>
      <w:r>
        <w:t xml:space="preserve">Nicklisch, A., 1998. Growth and light absorption of some planktonic cyanobacteria, diatoms and chlorophyceae under simulated natural light fluctuations. Journal of Plankton Research 20, 105–119.</w:t>
      </w:r>
      <w:r>
        <w:t xml:space="preserve"> </w:t>
      </w:r>
      <w:hyperlink r:id="rId148">
        <w:r>
          <w:rPr>
            <w:rStyle w:val="Hyperlink"/>
          </w:rPr>
          <w:t xml:space="preserve">https://doi.org/10.1093/plankt/20.1.105</w:t>
        </w:r>
      </w:hyperlink>
    </w:p>
    <w:bookmarkEnd w:id="149"/>
    <w:bookmarkStart w:id="151" w:name="ref-nicklisch1992the"/>
    <w:p>
      <w:pPr>
        <w:pStyle w:val="Bibliography"/>
      </w:pPr>
      <w:r>
        <w:t xml:space="preserve">Nicklisch, A., 1992.</w:t>
      </w:r>
      <w:r>
        <w:t xml:space="preserve"> </w:t>
      </w:r>
      <w:hyperlink r:id="rId150">
        <w:r>
          <w:rPr>
            <w:rStyle w:val="Hyperlink"/>
          </w:rPr>
          <w:t xml:space="preserve">The interaction of irradiance and temperature on the growth rate of</w:t>
        </w:r>
        <w:r>
          <w:rPr>
            <w:rStyle w:val="Hyperlink"/>
          </w:rPr>
          <w:t xml:space="preserve"> </w:t>
        </w:r>
        <w:r>
          <w:rPr>
            <w:rStyle w:val="Hyperlink"/>
            <w:i/>
            <w:iCs/>
          </w:rPr>
          <w:t xml:space="preserve">Limnothrix redekei</w:t>
        </w:r>
        <w:r>
          <w:rPr>
            <w:rStyle w:val="Hyperlink"/>
          </w:rPr>
          <w:t xml:space="preserve"> </w:t>
        </w:r>
        <w:r>
          <w:rPr>
            <w:rStyle w:val="Hyperlink"/>
          </w:rPr>
          <w:t xml:space="preserve">and its mathematical description</w:t>
        </w:r>
      </w:hyperlink>
      <w:r>
        <w:t xml:space="preserve">. Algological Studies/Archiv f</w:t>
      </w:r>
      <w:r>
        <w:t xml:space="preserve">ü</w:t>
      </w:r>
      <w:r>
        <w:t xml:space="preserve">r Hydrobiologie, Supplement Volumes 63, 1–18.</w:t>
      </w:r>
    </w:p>
    <w:bookmarkEnd w:id="151"/>
    <w:bookmarkStart w:id="153" w:name="ref-nicklisch1983growth"/>
    <w:p>
      <w:pPr>
        <w:pStyle w:val="Bibliography"/>
      </w:pPr>
      <w:r>
        <w:t xml:space="preserve">Nicklisch, A., Kohl, J.-G., 1983. Growth kinetics</w:t>
      </w:r>
      <w:r>
        <w:t xml:space="preserve"> </w:t>
      </w:r>
      <w:r>
        <w:t xml:space="preserve">ofMicrocystis</w:t>
      </w:r>
      <w:r>
        <w:t xml:space="preserve"> </w:t>
      </w:r>
      <w:r>
        <w:t xml:space="preserve">aeruginosa (</w:t>
      </w:r>
      <w:r>
        <w:t xml:space="preserve">KÜTZ</w:t>
      </w:r>
      <w:r>
        <w:t xml:space="preserve">)</w:t>
      </w:r>
      <w:r>
        <w:t xml:space="preserve">KÜTZ</w:t>
      </w:r>
      <w:r>
        <w:t xml:space="preserve"> </w:t>
      </w:r>
      <w:r>
        <w:t xml:space="preserve">as a basis for modelling its population dynamics. Internationale Revue der gesamten Hydrobiologie und Hydrographie 68, 317–326.</w:t>
      </w:r>
      <w:r>
        <w:t xml:space="preserve"> </w:t>
      </w:r>
      <w:hyperlink r:id="rId152">
        <w:r>
          <w:rPr>
            <w:rStyle w:val="Hyperlink"/>
          </w:rPr>
          <w:t xml:space="preserve">https://doi.org/10.1002/iroh.19830680304</w:t>
        </w:r>
      </w:hyperlink>
    </w:p>
    <w:bookmarkEnd w:id="153"/>
    <w:bookmarkStart w:id="155" w:name="ref-nicklisch2007analysis"/>
    <w:p>
      <w:pPr>
        <w:pStyle w:val="Bibliography"/>
      </w:pPr>
      <w:r>
        <w:t xml:space="preserve">Nicklisch, A., Shatwell, T., Kohler, J., 2007. Analysis and modelling of the interactive effects of temperature and light on phytoplankton growth and relevance for the spring bloom. Journal of Plankton Research 30, 75–91.</w:t>
      </w:r>
      <w:r>
        <w:t xml:space="preserve"> </w:t>
      </w:r>
      <w:hyperlink r:id="rId154">
        <w:r>
          <w:rPr>
            <w:rStyle w:val="Hyperlink"/>
          </w:rPr>
          <w:t xml:space="preserve">https://doi.org/10.1093/plankt/fbm099</w:t>
        </w:r>
      </w:hyperlink>
    </w:p>
    <w:bookmarkEnd w:id="155"/>
    <w:bookmarkStart w:id="157" w:name="ref-novak1985inorganic"/>
    <w:p>
      <w:pPr>
        <w:pStyle w:val="Bibliography"/>
      </w:pPr>
      <w:r>
        <w:t xml:space="preserve">Novak, J.T., Brune, D.E., 1985. Inorganic carbon limited growth kinetics of some freshwater algae. Water Research 19, 215–225.</w:t>
      </w:r>
      <w:r>
        <w:t xml:space="preserve"> </w:t>
      </w:r>
      <w:hyperlink r:id="rId156">
        <w:r>
          <w:rPr>
            <w:rStyle w:val="Hyperlink"/>
          </w:rPr>
          <w:t xml:space="preserve">https://doi.org/10.1016/0043-1354(85)90203-9</w:t>
        </w:r>
      </w:hyperlink>
    </w:p>
    <w:bookmarkEnd w:id="157"/>
    <w:bookmarkStart w:id="159" w:name="ref-ohkubo1991effects"/>
    <w:p>
      <w:pPr>
        <w:pStyle w:val="Bibliography"/>
      </w:pPr>
      <w:r>
        <w:t xml:space="preserve">OHKUBO, N., YAGI, O., OKADA, M., 1991. Effects of temperature and illumination on the growth of blue-green alga microcystis viridis. Japanese Journal of Limnology (Rikusuigaku Zasshi) 52, 255–261.</w:t>
      </w:r>
      <w:r>
        <w:t xml:space="preserve"> </w:t>
      </w:r>
      <w:hyperlink r:id="rId158">
        <w:r>
          <w:rPr>
            <w:rStyle w:val="Hyperlink"/>
          </w:rPr>
          <w:t xml:space="preserve">https://doi.org/10.3739/rikusui.52.255</w:t>
        </w:r>
      </w:hyperlink>
    </w:p>
    <w:bookmarkEnd w:id="159"/>
    <w:bookmarkStart w:id="161" w:name="ref-prakash1999high"/>
    <w:p>
      <w:pPr>
        <w:pStyle w:val="Bibliography"/>
      </w:pPr>
      <w:r>
        <w:t xml:space="preserve">Prakash, A., Margaritis, A., Saunders, R.C., Vijayan, S., 1999. High concentrations ammonia removal by the cyanobacterium plectonema boryanum in a photobioreactor system. The Canadian Journal of Chemical Engineering 77, 99–106.</w:t>
      </w:r>
      <w:r>
        <w:t xml:space="preserve"> </w:t>
      </w:r>
      <w:hyperlink r:id="rId160">
        <w:r>
          <w:rPr>
            <w:rStyle w:val="Hyperlink"/>
          </w:rPr>
          <w:t xml:space="preserve">https://doi.org/10.1002/cjce.5450770116</w:t>
        </w:r>
      </w:hyperlink>
    </w:p>
    <w:bookmarkEnd w:id="161"/>
    <w:bookmarkStart w:id="163" w:name="ref-rapala1993anatoxina"/>
    <w:p>
      <w:pPr>
        <w:pStyle w:val="Bibliography"/>
      </w:pPr>
      <w:r>
        <w:t xml:space="preserve">Rapala, J., Sivonen, K., Luukkainen, R., Niemelä, S.I., 1993. Anatoxin-a concentration</w:t>
      </w:r>
      <w:r>
        <w:t xml:space="preserve"> </w:t>
      </w:r>
      <w:r>
        <w:t xml:space="preserve">inAnabaena</w:t>
      </w:r>
      <w:r>
        <w:t xml:space="preserve"> </w:t>
      </w:r>
      <w:r>
        <w:t xml:space="preserve">andAphanizomenon</w:t>
      </w:r>
      <w:r>
        <w:t xml:space="preserve"> </w:t>
      </w:r>
      <w:r>
        <w:t xml:space="preserve">under different environmental conditions and comparison of growth by toxic and non-</w:t>
      </w:r>
      <w:r>
        <w:t xml:space="preserve">toxicAnabaena</w:t>
      </w:r>
      <w:r>
        <w:t xml:space="preserve">-strains</w:t>
      </w:r>
      <w:r>
        <w:t xml:space="preserve"> </w:t>
      </w:r>
      <w:r>
        <w:t xml:space="preserve"> </w:t>
      </w:r>
      <w:r>
        <w:t xml:space="preserve">a laboratory study. Journal of Applied Phycology 5, 581–591.</w:t>
      </w:r>
      <w:r>
        <w:t xml:space="preserve"> </w:t>
      </w:r>
      <w:hyperlink r:id="rId162">
        <w:r>
          <w:rPr>
            <w:rStyle w:val="Hyperlink"/>
          </w:rPr>
          <w:t xml:space="preserve">https://doi.org/10.1007/bf02184637</w:t>
        </w:r>
      </w:hyperlink>
    </w:p>
    <w:bookmarkEnd w:id="163"/>
    <w:bookmarkStart w:id="165" w:name="ref-rapala1997variation"/>
    <w:p>
      <w:pPr>
        <w:pStyle w:val="Bibliography"/>
      </w:pPr>
      <w:r>
        <w:t xml:space="preserve">Rapala, J., Sivonen, K., Lyra, C., Niemel = a, S.I., 1997.</w:t>
      </w:r>
      <w:r>
        <w:t xml:space="preserve"> </w:t>
      </w:r>
      <w:hyperlink r:id="rId164">
        <w:r>
          <w:rPr>
            <w:rStyle w:val="Hyperlink"/>
          </w:rPr>
          <w:t xml:space="preserve">Variation of microcystins, cyanobacterial hepatotoxins, in</w:t>
        </w:r>
        <w:r>
          <w:rPr>
            <w:rStyle w:val="Hyperlink"/>
          </w:rPr>
          <w:t xml:space="preserve"> </w:t>
        </w:r>
        <w:r>
          <w:rPr>
            <w:rStyle w:val="Hyperlink"/>
            <w:i/>
            <w:iCs/>
          </w:rPr>
          <w:t xml:space="preserve">Anabaena</w:t>
        </w:r>
        <w:r>
          <w:rPr>
            <w:rStyle w:val="Hyperlink"/>
          </w:rPr>
          <w:t xml:space="preserve"> </w:t>
        </w:r>
        <w:r>
          <w:rPr>
            <w:rStyle w:val="Hyperlink"/>
          </w:rPr>
          <w:t xml:space="preserve">spp. As a function of growth stimuli.</w:t>
        </w:r>
      </w:hyperlink>
      <w:r>
        <w:t xml:space="preserve"> Applied and Environmental Microbiology 63, 2206–12.</w:t>
      </w:r>
    </w:p>
    <w:bookmarkEnd w:id="165"/>
    <w:bookmarkStart w:id="167" w:name="ref-sabour2009growth"/>
    <w:p>
      <w:pPr>
        <w:pStyle w:val="Bibliography"/>
      </w:pPr>
      <w:r>
        <w:t xml:space="preserve">Sabour, B., Loudiki, M., Vasconcelos, V., 2009. Growth responses of</w:t>
      </w:r>
      <w:r>
        <w:t xml:space="preserve"> </w:t>
      </w:r>
      <w:r>
        <w:rPr>
          <w:i/>
          <w:iCs/>
        </w:rPr>
        <w:t xml:space="preserve">Microcystis ichthyoblabe</w:t>
      </w:r>
      <w:r>
        <w:t xml:space="preserve"> </w:t>
      </w:r>
      <w:r>
        <w:t xml:space="preserve">kützing and</w:t>
      </w:r>
      <w:r>
        <w:t xml:space="preserve"> </w:t>
      </w:r>
      <w:r>
        <w:rPr>
          <w:i/>
          <w:iCs/>
        </w:rPr>
        <w:t xml:space="preserve">Anabaena aphanizomenoides</w:t>
      </w:r>
      <w:r>
        <w:t xml:space="preserve"> </w:t>
      </w:r>
      <w:r>
        <w:t xml:space="preserve">forti (cyanobacteria) under different nitrogen and phosphorus conditions. Chemistry and Ecology 25, 337–344.</w:t>
      </w:r>
      <w:r>
        <w:t xml:space="preserve"> </w:t>
      </w:r>
      <w:hyperlink r:id="rId166">
        <w:r>
          <w:rPr>
            <w:rStyle w:val="Hyperlink"/>
          </w:rPr>
          <w:t xml:space="preserve">https://doi.org/10.1080/02757540903193130</w:t>
        </w:r>
      </w:hyperlink>
    </w:p>
    <w:bookmarkEnd w:id="167"/>
    <w:bookmarkStart w:id="169" w:name="ref-saker2000the"/>
    <w:p>
      <w:pPr>
        <w:pStyle w:val="Bibliography"/>
      </w:pPr>
      <w:r>
        <w:t xml:space="preserve">Saker, M.L., Griffiths, D.J., 2000. The effect of temperature on growth and cylindrospermopsin content of seven isolates of cylindrospermopsis raciborskii (nostocales, cyanophyceae) from water bodies in northern australia. Phycologia 39, 349–354.</w:t>
      </w:r>
      <w:r>
        <w:t xml:space="preserve"> </w:t>
      </w:r>
      <w:hyperlink r:id="rId168">
        <w:r>
          <w:rPr>
            <w:rStyle w:val="Hyperlink"/>
          </w:rPr>
          <w:t xml:space="preserve">https://doi.org/10.2216/i0031-8884-39-4-349.1</w:t>
        </w:r>
      </w:hyperlink>
    </w:p>
    <w:bookmarkEnd w:id="169"/>
    <w:bookmarkStart w:id="171" w:name="ref-saker1999cattle"/>
    <w:p>
      <w:pPr>
        <w:pStyle w:val="Bibliography"/>
      </w:pPr>
      <w:r>
        <w:t xml:space="preserve">Saker, M.L., Thomas, A.D., Norton, J.H., 1999. Cattle mortality attributed to the toxic</w:t>
      </w:r>
      <w:r>
        <w:t xml:space="preserve"> </w:t>
      </w:r>
      <w:r>
        <w:t xml:space="preserve">cyanobacteriumCylindrospermopsis</w:t>
      </w:r>
      <w:r>
        <w:t xml:space="preserve"> </w:t>
      </w:r>
      <w:r>
        <w:t xml:space="preserve">raciborskii in an outback region of north queensland. Environmental Toxicology 14, 179–182.</w:t>
      </w:r>
      <w:r>
        <w:t xml:space="preserve"> </w:t>
      </w:r>
      <w:hyperlink r:id="rId170">
        <w:r>
          <w:rPr>
            <w:rStyle w:val="Hyperlink"/>
          </w:rPr>
          <w:t xml:space="preserve">https://doi.org/10.1002/(sici)1522-7278(199902)14:1&lt;179::aid-tox23&gt;3.0.co;2-g</w:t>
        </w:r>
      </w:hyperlink>
    </w:p>
    <w:bookmarkEnd w:id="171"/>
    <w:bookmarkStart w:id="173" w:name="ref-salvador2016evaluating"/>
    <w:p>
      <w:pPr>
        <w:pStyle w:val="Bibliography"/>
      </w:pPr>
      <w:r>
        <w:t xml:space="preserve">Salvador, D., Churro, C., Valério, E., 2016. Evaluating the influence of light intensity in</w:t>
      </w:r>
      <w:r>
        <w:t xml:space="preserve"> </w:t>
      </w:r>
      <w:r>
        <w:t xml:space="preserve">mcyA</w:t>
      </w:r>
      <w:r>
        <w:t xml:space="preserve"> </w:t>
      </w:r>
      <w:r>
        <w:t xml:space="preserve">gene expression and microcystin production in toxic strains of</w:t>
      </w:r>
      <w:r>
        <w:t xml:space="preserve"> </w:t>
      </w:r>
      <w:r>
        <w:rPr>
          <w:i/>
          <w:iCs/>
        </w:rPr>
        <w:t xml:space="preserve">Planktothrix agardhii</w:t>
      </w:r>
      <w:r>
        <w:t xml:space="preserve"> </w:t>
      </w:r>
      <w:r>
        <w:t xml:space="preserve">and</w:t>
      </w:r>
      <w:r>
        <w:t xml:space="preserve"> </w:t>
      </w:r>
      <w:r>
        <w:rPr>
          <w:i/>
          <w:iCs/>
        </w:rPr>
        <w:t xml:space="preserve">Microcystis aeruginosa</w:t>
      </w:r>
      <w:r>
        <w:t xml:space="preserve">. Journal of Microbiological Methods 123, 4–12.</w:t>
      </w:r>
      <w:r>
        <w:t xml:space="preserve"> </w:t>
      </w:r>
      <w:hyperlink r:id="rId172">
        <w:r>
          <w:rPr>
            <w:rStyle w:val="Hyperlink"/>
          </w:rPr>
          <w:t xml:space="preserve">https://doi.org/10.1016/j.mimet.2016.02.002</w:t>
        </w:r>
      </w:hyperlink>
    </w:p>
    <w:bookmarkEnd w:id="173"/>
    <w:bookmarkStart w:id="175" w:name="ref-seki1981temperature"/>
    <w:p>
      <w:pPr>
        <w:pStyle w:val="Bibliography"/>
      </w:pPr>
      <w:r>
        <w:t xml:space="preserve">Seki, H., Ozawa, H., Ichimura, S., 1981. Temperature dependence of filament length of</w:t>
      </w:r>
      <w:r>
        <w:t xml:space="preserve"> </w:t>
      </w:r>
      <w:r>
        <w:rPr>
          <w:i/>
          <w:iCs/>
        </w:rPr>
        <w:t xml:space="preserve">Anabaena spiroides Klebahn var. crassa Lemm.</w:t>
      </w:r>
      <w:r>
        <w:t xml:space="preserve"> Hydrobiologia 83, 419–423.</w:t>
      </w:r>
      <w:r>
        <w:t xml:space="preserve"> </w:t>
      </w:r>
      <w:hyperlink r:id="rId174">
        <w:r>
          <w:rPr>
            <w:rStyle w:val="Hyperlink"/>
          </w:rPr>
          <w:t xml:space="preserve">https://doi.org/10.1007/bf02187039</w:t>
        </w:r>
      </w:hyperlink>
    </w:p>
    <w:bookmarkEnd w:id="175"/>
    <w:bookmarkStart w:id="177" w:name="ref-shatwell2012temperature"/>
    <w:p>
      <w:pPr>
        <w:pStyle w:val="Bibliography"/>
      </w:pPr>
      <w:r>
        <w:t xml:space="preserve">Shatwell, T., Nicklisch, A., Köhler, J., 2012. Temperature and photoperiod effects on phytoplankton growing under simulated mixed layer light fluctuations. Limnology and Oceanography 57, 541–553.</w:t>
      </w:r>
      <w:r>
        <w:t xml:space="preserve"> </w:t>
      </w:r>
      <w:hyperlink r:id="rId176">
        <w:r>
          <w:rPr>
            <w:rStyle w:val="Hyperlink"/>
          </w:rPr>
          <w:t xml:space="preserve">https://doi.org/10.4319/lo.2012.57.2.0541</w:t>
        </w:r>
      </w:hyperlink>
    </w:p>
    <w:bookmarkEnd w:id="177"/>
    <w:bookmarkStart w:id="179" w:name="ref-shen2007comparative"/>
    <w:p>
      <w:pPr>
        <w:pStyle w:val="Bibliography"/>
      </w:pPr>
      <w:r>
        <w:t xml:space="preserve">Shen, H., Song, L., 2007. Comparative studies on physiological responses to phosphorus in two phenotypes of bloom-forming microcystis. Hydrobiologia 592, 475–486.</w:t>
      </w:r>
      <w:r>
        <w:t xml:space="preserve"> </w:t>
      </w:r>
      <w:hyperlink r:id="rId178">
        <w:r>
          <w:rPr>
            <w:rStyle w:val="Hyperlink"/>
          </w:rPr>
          <w:t xml:space="preserve">https://doi.org/10.1007/s10750-007-0794-3</w:t>
        </w:r>
      </w:hyperlink>
    </w:p>
    <w:bookmarkEnd w:id="179"/>
    <w:bookmarkStart w:id="181" w:name="ref-shen2020effects"/>
    <w:p>
      <w:pPr>
        <w:pStyle w:val="Bibliography"/>
      </w:pPr>
      <w:r>
        <w:t xml:space="preserve">Shen, Q., Shimizu, K., Miao, H., Tsukino, S., Utsumi, M., Lei, Z., Zhang, Z., Nishimura, O., Asada, Y., Fujimoto, N., Takanashi, H., Akiba, M., 2020. Effects of elevated nitrogen on the growth and geosmin productivity of dolichospermum smithii. Environmental Science and Pollution Research 28, 177–184.</w:t>
      </w:r>
      <w:r>
        <w:t xml:space="preserve"> </w:t>
      </w:r>
      <w:hyperlink r:id="rId180">
        <w:r>
          <w:rPr>
            <w:rStyle w:val="Hyperlink"/>
          </w:rPr>
          <w:t xml:space="preserve">https://doi.org/10.1007/s11356-020-10429-4</w:t>
        </w:r>
      </w:hyperlink>
    </w:p>
    <w:bookmarkEnd w:id="181"/>
    <w:bookmarkStart w:id="183" w:name="ref-sivonen1990toxic"/>
    <w:p>
      <w:pPr>
        <w:pStyle w:val="Bibliography"/>
      </w:pPr>
      <w:r>
        <w:t xml:space="preserve">Sivonen, K., Niemel�, S.I., Niemi, R.M., Lepist�, L., Luoma, T.H., R�s�nen, L.A., 1990. Toxic cyanobacteria (blue-green algae) in finnish fresh and coastal waters. Hydrobiologia 190, 267–275.</w:t>
      </w:r>
      <w:r>
        <w:t xml:space="preserve"> </w:t>
      </w:r>
      <w:hyperlink r:id="rId182">
        <w:r>
          <w:rPr>
            <w:rStyle w:val="Hyperlink"/>
          </w:rPr>
          <w:t xml:space="preserve">https://doi.org/10.1007/bf00008195</w:t>
        </w:r>
      </w:hyperlink>
    </w:p>
    <w:bookmarkEnd w:id="183"/>
    <w:bookmarkStart w:id="185" w:name="ref-soares2010responses"/>
    <w:p>
      <w:pPr>
        <w:pStyle w:val="Bibliography"/>
      </w:pPr>
      <w:r>
        <w:t xml:space="preserve">Soares, M.C.S., Lurling, M., Huszar, V.L.M., 2010. Responses of the rotifer brachionus calyciflorus to two tropical toxic cyanobacteria (cylindrospermopsis raciborskii and microcystis aeruginosa) in pure and mixed diets with green algae. Journal of Plankton Research 32, 999–1008.</w:t>
      </w:r>
      <w:r>
        <w:t xml:space="preserve"> </w:t>
      </w:r>
      <w:hyperlink r:id="rId184">
        <w:r>
          <w:rPr>
            <w:rStyle w:val="Hyperlink"/>
          </w:rPr>
          <w:t xml:space="preserve">https://doi.org/10.1093/plankt/fbq042</w:t>
        </w:r>
      </w:hyperlink>
    </w:p>
    <w:bookmarkEnd w:id="185"/>
    <w:bookmarkStart w:id="187" w:name="ref-staehr2006temperature"/>
    <w:p>
      <w:pPr>
        <w:pStyle w:val="Bibliography"/>
      </w:pPr>
      <w:r>
        <w:t xml:space="preserve">Staehr, P.A., Birkeland, M.J., 2006. Temperature acclimation of growth, photosynthesis and respiration in two mesophilic phytoplankton species. Phycologia 45, 648–656.</w:t>
      </w:r>
      <w:r>
        <w:t xml:space="preserve"> </w:t>
      </w:r>
      <w:hyperlink r:id="rId186">
        <w:r>
          <w:rPr>
            <w:rStyle w:val="Hyperlink"/>
          </w:rPr>
          <w:t xml:space="preserve">https://doi.org/10.2216/06-04.1</w:t>
        </w:r>
      </w:hyperlink>
    </w:p>
    <w:bookmarkEnd w:id="187"/>
    <w:bookmarkStart w:id="189" w:name="ref-sugimoto2015roles"/>
    <w:p>
      <w:pPr>
        <w:pStyle w:val="Bibliography"/>
      </w:pPr>
      <w:r>
        <w:t xml:space="preserve">Sugimoto, K., Negishi, Y., Amano, Y., Machida, M., Imazeki, F., 2015. Roles of dilution rate and nitrogen concentration in competition between the cyanobacterium microcystis aeruginosa and the diatom cyclotella sp. In eutrophic lakes. Journal of Applied Phycology 28, 2255–2263.</w:t>
      </w:r>
      <w:r>
        <w:t xml:space="preserve"> </w:t>
      </w:r>
      <w:hyperlink r:id="rId188">
        <w:r>
          <w:rPr>
            <w:rStyle w:val="Hyperlink"/>
          </w:rPr>
          <w:t xml:space="preserve">https://doi.org/10.1007/s10811-015-0754-7</w:t>
        </w:r>
      </w:hyperlink>
    </w:p>
    <w:bookmarkEnd w:id="189"/>
    <w:bookmarkStart w:id="191" w:name="ref-suruzzaman2022evaluation"/>
    <w:p>
      <w:pPr>
        <w:pStyle w:val="Bibliography"/>
      </w:pPr>
      <w:r>
        <w:t xml:space="preserve">Suruzzaman, M., Cao, T., Lu, J., Wang, Y., Su, M., Yang, M., 2022. Evaluation of the</w:t>
      </w:r>
      <w:r>
        <w:t xml:space="preserve"> </w:t>
      </w:r>
      <w:r>
        <w:t xml:space="preserve">MIB</w:t>
      </w:r>
      <w:r>
        <w:t xml:space="preserve">-producing potential based on real-time qPCR in drinking water reservoirs. Environmental Research 112308.</w:t>
      </w:r>
      <w:r>
        <w:t xml:space="preserve"> </w:t>
      </w:r>
      <w:hyperlink r:id="rId190">
        <w:r>
          <w:rPr>
            <w:rStyle w:val="Hyperlink"/>
          </w:rPr>
          <w:t xml:space="preserve">https://doi.org/10.1016/j.envres.2021.112308</w:t>
        </w:r>
      </w:hyperlink>
    </w:p>
    <w:bookmarkEnd w:id="191"/>
    <w:bookmarkStart w:id="193" w:name="ref-talbot1991a"/>
    <w:p>
      <w:pPr>
        <w:pStyle w:val="Bibliography"/>
      </w:pPr>
      <w:r>
        <w:t xml:space="preserve">TALBOT, P., 1991. A comparative study and mathematical modeling of temperature, light and growth of three microalgae potentially useful for wastewater treatment. Water Research 25, 465–472.</w:t>
      </w:r>
      <w:r>
        <w:t xml:space="preserve"> </w:t>
      </w:r>
      <w:hyperlink r:id="rId192">
        <w:r>
          <w:rPr>
            <w:rStyle w:val="Hyperlink"/>
          </w:rPr>
          <w:t xml:space="preserve">https://doi.org/10.1016/0043-1354(91)90083-3</w:t>
        </w:r>
      </w:hyperlink>
    </w:p>
    <w:bookmarkEnd w:id="193"/>
    <w:bookmarkStart w:id="195" w:name="ref-tang1997cyanobacterial"/>
    <w:p>
      <w:pPr>
        <w:pStyle w:val="Bibliography"/>
      </w:pPr>
      <w:r>
        <w:t xml:space="preserve">Tang, E.P.Y., Tremblay, R., Vincent, W.F., 1997.</w:t>
      </w:r>
      <w:r>
        <w:t xml:space="preserve"> </w:t>
      </w:r>
      <w:r>
        <w:t xml:space="preserve">CYANOBACTERIAL</w:t>
      </w:r>
      <w:r>
        <w:t xml:space="preserve"> </w:t>
      </w:r>
      <w:r>
        <w:t xml:space="preserve">DOMINANCE</w:t>
      </w:r>
      <w:r>
        <w:t xml:space="preserve"> </w:t>
      </w:r>
      <w:r>
        <w:t xml:space="preserve">OF</w:t>
      </w:r>
      <w:r>
        <w:t xml:space="preserve"> </w:t>
      </w:r>
      <w:r>
        <w:t xml:space="preserve">POLAR</w:t>
      </w:r>
      <w:r>
        <w:t xml:space="preserve"> </w:t>
      </w:r>
      <w:r>
        <w:t xml:space="preserve">FRESHWATER</w:t>
      </w:r>
      <w:r>
        <w:t xml:space="preserve"> </w:t>
      </w:r>
      <w:r>
        <w:t xml:space="preserve">ECOSYSTEMS</w:t>
      </w:r>
      <w:r>
        <w:t xml:space="preserve">:</w:t>
      </w:r>
      <w:r>
        <w:t xml:space="preserve"> </w:t>
      </w:r>
      <w:r>
        <w:t xml:space="preserve">ARE</w:t>
      </w:r>
      <w:r>
        <w:t xml:space="preserve"> </w:t>
      </w:r>
      <w:r>
        <w:t xml:space="preserve">HIGH</w:t>
      </w:r>
      <w:r>
        <w:t xml:space="preserve">-</w:t>
      </w:r>
      <w:r>
        <w:t xml:space="preserve">LATITUDE</w:t>
      </w:r>
      <w:r>
        <w:t xml:space="preserve"> </w:t>
      </w:r>
      <w:r>
        <w:t xml:space="preserve">MAT</w:t>
      </w:r>
      <w:r>
        <w:t xml:space="preserve">-</w:t>
      </w:r>
      <w:r>
        <w:t xml:space="preserve">FORMERS</w:t>
      </w:r>
      <w:r>
        <w:t xml:space="preserve"> </w:t>
      </w:r>
      <w:r>
        <w:t xml:space="preserve">ADAPTED</w:t>
      </w:r>
      <w:r>
        <w:t xml:space="preserve"> </w:t>
      </w:r>
      <w:r>
        <w:t xml:space="preserve">TO</w:t>
      </w:r>
      <w:r>
        <w:t xml:space="preserve"> </w:t>
      </w:r>
      <w:r>
        <w:t xml:space="preserve">LOW</w:t>
      </w:r>
      <w:r>
        <w:t xml:space="preserve"> </w:t>
      </w:r>
      <w:r>
        <w:t xml:space="preserve">TEMPERATURE</w:t>
      </w:r>
      <w:r>
        <w:t xml:space="preserve">?1. Journal of Phycology 33, 171–181.</w:t>
      </w:r>
      <w:r>
        <w:t xml:space="preserve"> </w:t>
      </w:r>
      <w:hyperlink r:id="rId194">
        <w:r>
          <w:rPr>
            <w:rStyle w:val="Hyperlink"/>
          </w:rPr>
          <w:t xml:space="preserve">https://doi.org/10.1111/j.0022-3646.1997.00171.x</w:t>
        </w:r>
      </w:hyperlink>
    </w:p>
    <w:bookmarkEnd w:id="195"/>
    <w:bookmarkStart w:id="197" w:name="ref-thomas2015effects"/>
    <w:p>
      <w:pPr>
        <w:pStyle w:val="Bibliography"/>
      </w:pPr>
      <w:r>
        <w:t xml:space="preserve">Thomas, M.K., Litchman, E., 2015. Effects of temperature and nitrogen availability on the growth of invasive and native cyanobacteria. Hydrobiologia 763, 357–369.</w:t>
      </w:r>
      <w:r>
        <w:t xml:space="preserve"> </w:t>
      </w:r>
      <w:hyperlink r:id="rId196">
        <w:r>
          <w:rPr>
            <w:rStyle w:val="Hyperlink"/>
          </w:rPr>
          <w:t xml:space="preserve">https://doi.org/10.1007/s10750-015-2390-2</w:t>
        </w:r>
      </w:hyperlink>
    </w:p>
    <w:bookmarkEnd w:id="197"/>
    <w:bookmarkStart w:id="199" w:name="ref-tiwari2001growth"/>
    <w:p>
      <w:pPr>
        <w:pStyle w:val="Bibliography"/>
      </w:pPr>
      <w:r>
        <w:t xml:space="preserve">Tiwari, O., Prasanna, R., Yadav, A., Wattal, D., Singh, P., 2001. Growth potential and biocide tolerance of non-heterocystous filamentous cyanobacterial isolates from rice fields of uttar pradesh, india. Biology and Fertility of Soils 34, 291–295.</w:t>
      </w:r>
      <w:r>
        <w:t xml:space="preserve"> </w:t>
      </w:r>
      <w:hyperlink r:id="rId198">
        <w:r>
          <w:rPr>
            <w:rStyle w:val="Hyperlink"/>
          </w:rPr>
          <w:t xml:space="preserve">https://doi.org/10.1007/s003740100402</w:t>
        </w:r>
      </w:hyperlink>
    </w:p>
    <w:bookmarkEnd w:id="199"/>
    <w:bookmarkStart w:id="201" w:name="ref-torres2016assessment"/>
    <w:p>
      <w:pPr>
        <w:pStyle w:val="Bibliography"/>
      </w:pPr>
      <w:r>
        <w:t xml:space="preserve">Torres, C.D.A., Lürling, M., Marinho, M.M., 2016. Assessment of the effects of light availability on growth and competition between strains of</w:t>
      </w:r>
      <w:r>
        <w:t xml:space="preserve"> </w:t>
      </w:r>
      <w:r>
        <w:rPr>
          <w:i/>
          <w:iCs/>
        </w:rPr>
        <w:t xml:space="preserve">Planktothrix agardhii</w:t>
      </w:r>
      <w:r>
        <w:t xml:space="preserve"> </w:t>
      </w:r>
      <w:r>
        <w:t xml:space="preserve">and</w:t>
      </w:r>
      <w:r>
        <w:t xml:space="preserve"> </w:t>
      </w:r>
      <w:r>
        <w:rPr>
          <w:i/>
          <w:iCs/>
        </w:rPr>
        <w:t xml:space="preserve">Microcystis aeruginosa</w:t>
      </w:r>
      <w:r>
        <w:t xml:space="preserve">. Microbial Ecology 71, 802–813.</w:t>
      </w:r>
      <w:r>
        <w:t xml:space="preserve"> </w:t>
      </w:r>
      <w:hyperlink r:id="rId200">
        <w:r>
          <w:rPr>
            <w:rStyle w:val="Hyperlink"/>
          </w:rPr>
          <w:t xml:space="preserve">https://doi.org/10.1007/s00248-015-0719-z</w:t>
        </w:r>
      </w:hyperlink>
    </w:p>
    <w:bookmarkEnd w:id="201"/>
    <w:bookmarkStart w:id="203" w:name="ref-tsai2021response"/>
    <w:p>
      <w:pPr>
        <w:pStyle w:val="Bibliography"/>
      </w:pPr>
      <w:r>
        <w:t xml:space="preserve">Tsai, A.-Y., Mukhanov, V., 2021. Response of growth and grazing rate of nanoflagellates on synechococcus spp. To experimental nutrient enrichment. Water 13, 2686.</w:t>
      </w:r>
      <w:r>
        <w:t xml:space="preserve"> </w:t>
      </w:r>
      <w:hyperlink r:id="rId202">
        <w:r>
          <w:rPr>
            <w:rStyle w:val="Hyperlink"/>
          </w:rPr>
          <w:t xml:space="preserve">https://doi.org/10.3390/w13192686</w:t>
        </w:r>
      </w:hyperlink>
    </w:p>
    <w:bookmarkEnd w:id="203"/>
    <w:bookmarkStart w:id="205" w:name="ref-tsujimura2001effect"/>
    <w:p>
      <w:pPr>
        <w:pStyle w:val="Bibliography"/>
      </w:pPr>
      <w:r>
        <w:t xml:space="preserve">Tsujimura, S., Ishikawa, K., Tsukada, H., 2001. Effect of temperature on growth of the cyanobacterium aphanizomenon flos-aquae in lake biwa and lake yogo. Phycological Research 49, 275–280.</w:t>
      </w:r>
      <w:r>
        <w:t xml:space="preserve"> </w:t>
      </w:r>
      <w:hyperlink r:id="rId204">
        <w:r>
          <w:rPr>
            <w:rStyle w:val="Hyperlink"/>
          </w:rPr>
          <w:t xml:space="preserve">https://doi.org/10.1111/j.1440-1835.2001.tb00257.x</w:t>
        </w:r>
      </w:hyperlink>
    </w:p>
    <w:bookmarkEnd w:id="205"/>
    <w:bookmarkStart w:id="207" w:name="ref-tsujimura2003development"/>
    <w:p>
      <w:pPr>
        <w:pStyle w:val="Bibliography"/>
      </w:pPr>
      <w:r>
        <w:t xml:space="preserve">Tsujimura, S., Okubo, T., 2003. Development of</w:t>
      </w:r>
      <w:r>
        <w:t xml:space="preserve"> </w:t>
      </w:r>
      <w:r>
        <w:rPr>
          <w:i/>
          <w:iCs/>
        </w:rPr>
        <w:t xml:space="preserve">Anabaena</w:t>
      </w:r>
      <w:r>
        <w:t xml:space="preserve"> </w:t>
      </w:r>
      <w:r>
        <w:t xml:space="preserve">blooms in a small reservoir with dense sediment akinete population, with special reference to temperature and irradiance. Journal of Plankton Research 25, 1059–1067.</w:t>
      </w:r>
      <w:r>
        <w:t xml:space="preserve"> </w:t>
      </w:r>
      <w:hyperlink r:id="rId206">
        <w:r>
          <w:rPr>
            <w:rStyle w:val="Hyperlink"/>
          </w:rPr>
          <w:t xml:space="preserve">https://doi.org/10.1093/plankt/25.9.1059</w:t>
        </w:r>
      </w:hyperlink>
    </w:p>
    <w:bookmarkEnd w:id="207"/>
    <w:bookmarkStart w:id="209" w:name="ref-vanderploeg1995biology"/>
    <w:p>
      <w:pPr>
        <w:pStyle w:val="Bibliography"/>
      </w:pPr>
      <w:r>
        <w:t xml:space="preserve">Van Der Ploeg, M., Dennis, M., De Regt, M., 1995. Biology of</w:t>
      </w:r>
      <w:r>
        <w:t xml:space="preserve"> </w:t>
      </w:r>
      <w:r>
        <w:rPr>
          <w:i/>
          <w:iCs/>
        </w:rPr>
        <w:t xml:space="preserve">Oscillatoria chalybea</w:t>
      </w:r>
      <w:r>
        <w:t xml:space="preserve">, a 2-methylisoborneol producing blue-green alga of</w:t>
      </w:r>
      <w:r>
        <w:t xml:space="preserve"> </w:t>
      </w:r>
      <w:r>
        <w:t xml:space="preserve">Mississippi Catfish Ponds</w:t>
      </w:r>
      <w:r>
        <w:t xml:space="preserve">. Water Science and Technology 31, 173–180.</w:t>
      </w:r>
      <w:r>
        <w:t xml:space="preserve"> </w:t>
      </w:r>
      <w:hyperlink r:id="rId208">
        <w:r>
          <w:rPr>
            <w:rStyle w:val="Hyperlink"/>
          </w:rPr>
          <w:t xml:space="preserve">https://doi.org/10.1016/0273-1223(95)00473-Z</w:t>
        </w:r>
      </w:hyperlink>
    </w:p>
    <w:bookmarkEnd w:id="209"/>
    <w:bookmarkStart w:id="211" w:name="ref-venter2003oscillatoriasimplicissima"/>
    <w:p>
      <w:pPr>
        <w:pStyle w:val="Bibliography"/>
      </w:pPr>
      <w:r>
        <w:t xml:space="preserve">Venter, A., Vuuren, S.J. van, Pieterse, A.J.H., 2003.</w:t>
      </w:r>
      <w:r>
        <w:t xml:space="preserve"> </w:t>
      </w:r>
      <w:r>
        <w:rPr>
          <w:i/>
          <w:iCs/>
        </w:rPr>
        <w:t xml:space="preserve">Oscillatoria simplicissima</w:t>
      </w:r>
      <w:r>
        <w:t xml:space="preserve"> </w:t>
      </w:r>
      <w:r>
        <w:t xml:space="preserve">: An autecological study. Water SA 29, 105–112.</w:t>
      </w:r>
      <w:r>
        <w:t xml:space="preserve"> </w:t>
      </w:r>
      <w:hyperlink r:id="rId210">
        <w:r>
          <w:rPr>
            <w:rStyle w:val="Hyperlink"/>
          </w:rPr>
          <w:t xml:space="preserve">https://doi.org/10.10520/EJC116052</w:t>
        </w:r>
      </w:hyperlink>
    </w:p>
    <w:bookmarkEnd w:id="211"/>
    <w:bookmarkStart w:id="213" w:name="ref-vincent1979growth"/>
    <w:p>
      <w:pPr>
        <w:pStyle w:val="Bibliography"/>
      </w:pPr>
      <w:r>
        <w:t xml:space="preserve">Vincent, W.F., Silvester, W.B., 1979. Growth of blue-green algae in the manukau (new zealand) oxidation ponds</w:t>
      </w:r>
      <w:r>
        <w:t xml:space="preserve">II</w:t>
      </w:r>
      <w:r>
        <w:t xml:space="preserve">. Experimental studies on algal interaction. Water Research 13, 717–723.</w:t>
      </w:r>
      <w:r>
        <w:t xml:space="preserve"> </w:t>
      </w:r>
      <w:hyperlink r:id="rId212">
        <w:r>
          <w:rPr>
            <w:rStyle w:val="Hyperlink"/>
          </w:rPr>
          <w:t xml:space="preserve">https://doi.org/10.1016/0043-1354(79)90235-5</w:t>
        </w:r>
      </w:hyperlink>
    </w:p>
    <w:bookmarkEnd w:id="213"/>
    <w:bookmarkStart w:id="215" w:name="ref-wang2007studies"/>
    <w:p>
      <w:pPr>
        <w:pStyle w:val="Bibliography"/>
      </w:pPr>
      <w:r>
        <w:t xml:space="preserve">Wang, W., Song, X.-K., Ru, S.-G., 2007. Studies on the factors affecting the growth and hemolytic activity of</w:t>
      </w:r>
      <w:r>
        <w:t xml:space="preserve"> </w:t>
      </w:r>
      <w:r>
        <w:rPr>
          <w:i/>
          <w:iCs/>
        </w:rPr>
        <w:t xml:space="preserve">Anabaena variabilis</w:t>
      </w:r>
      <w:r>
        <w:t xml:space="preserve">. Journal of Applied Phycology 19, 365–371.</w:t>
      </w:r>
      <w:r>
        <w:t xml:space="preserve"> </w:t>
      </w:r>
      <w:hyperlink r:id="rId214">
        <w:r>
          <w:rPr>
            <w:rStyle w:val="Hyperlink"/>
          </w:rPr>
          <w:t xml:space="preserve">https://doi.org/10.1007/s10811-006-9143-6</w:t>
        </w:r>
      </w:hyperlink>
    </w:p>
    <w:bookmarkEnd w:id="215"/>
    <w:bookmarkStart w:id="217" w:name="ref-wang2015effects"/>
    <w:p>
      <w:pPr>
        <w:pStyle w:val="Bibliography"/>
      </w:pPr>
      <w:r>
        <w:t xml:space="preserve">Wang, Z., Li, R., 2015. Effects of light and temperature on the odor production of 2-methylisoborneol-producing</w:t>
      </w:r>
      <w:r>
        <w:t xml:space="preserve"> </w:t>
      </w:r>
      <w:r>
        <w:rPr>
          <w:i/>
          <w:iCs/>
        </w:rPr>
        <w:t xml:space="preserve">Pseudanabaena</w:t>
      </w:r>
      <w:r>
        <w:t xml:space="preserve"> </w:t>
      </w:r>
      <w:r>
        <w:t xml:space="preserve">sp.</w:t>
      </w:r>
      <w:r>
        <w:t xml:space="preserve"> </w:t>
      </w:r>
      <w:r>
        <w:t xml:space="preserve">and</w:t>
      </w:r>
      <w:r>
        <w:t xml:space="preserve"> </w:t>
      </w:r>
      <w:r>
        <w:t xml:space="preserve">geosmin-producing</w:t>
      </w:r>
      <w:r>
        <w:t xml:space="preserve"> </w:t>
      </w:r>
      <w:r>
        <w:rPr>
          <w:i/>
          <w:iCs/>
        </w:rPr>
        <w:t xml:space="preserve">Anabaena ucrainica</w:t>
      </w:r>
      <w:r>
        <w:t xml:space="preserve"> </w:t>
      </w:r>
      <w:r>
        <w:t xml:space="preserve">(cyanobacteria). Biochemical Systematics and Ecology 58, 219–226.</w:t>
      </w:r>
      <w:r>
        <w:t xml:space="preserve"> </w:t>
      </w:r>
      <w:hyperlink r:id="rId216">
        <w:r>
          <w:rPr>
            <w:rStyle w:val="Hyperlink"/>
          </w:rPr>
          <w:t xml:space="preserve">https://doi.org/10.1016/j.bse.2014.12.013</w:t>
        </w:r>
      </w:hyperlink>
    </w:p>
    <w:bookmarkEnd w:id="217"/>
    <w:bookmarkStart w:id="219" w:name="ref-watanabe1985effects"/>
    <w:p>
      <w:pPr>
        <w:pStyle w:val="Bibliography"/>
      </w:pPr>
      <w:r>
        <w:t xml:space="preserve">Watanabe, M.F., Oishi, S., 1985. Effects of environmental factors on toxicity of a cyanobacterium (</w:t>
      </w:r>
      <w:r>
        <w:t xml:space="preserve"> </w:t>
      </w:r>
      <w:r>
        <w:rPr>
          <w:i/>
          <w:iCs/>
        </w:rPr>
        <w:t xml:space="preserve">Microcystis aeruginosa</w:t>
      </w:r>
      <w:r>
        <w:t xml:space="preserve">) under culture conditions. Applied and Environmental Microbiology 49, 1342–1344.</w:t>
      </w:r>
      <w:r>
        <w:t xml:space="preserve"> </w:t>
      </w:r>
      <w:hyperlink r:id="rId218">
        <w:r>
          <w:rPr>
            <w:rStyle w:val="Hyperlink"/>
          </w:rPr>
          <w:t xml:space="preserve">https://doi.org/10.1128/aem.49.5.1342-1344.1985</w:t>
        </w:r>
      </w:hyperlink>
    </w:p>
    <w:bookmarkEnd w:id="219"/>
    <w:bookmarkStart w:id="221" w:name="ref-westhuizen1985effect"/>
    <w:p>
      <w:pPr>
        <w:pStyle w:val="Bibliography"/>
      </w:pPr>
      <w:r>
        <w:t xml:space="preserve">Westhuizen, A.J. van der, Eloff, J.N., 1985. Effect of temperature and light on the toxicity and growth of the blue-green alga microcystis aeruginosa (</w:t>
      </w:r>
      <w:r>
        <w:t xml:space="preserve">UV</w:t>
      </w:r>
      <w:r>
        <w:t xml:space="preserve">-006). Planta 163, 55–59.</w:t>
      </w:r>
      <w:r>
        <w:t xml:space="preserve"> </w:t>
      </w:r>
      <w:hyperlink r:id="rId220">
        <w:r>
          <w:rPr>
            <w:rStyle w:val="Hyperlink"/>
          </w:rPr>
          <w:t xml:space="preserve">https://doi.org/10.1007/bf00395897</w:t>
        </w:r>
      </w:hyperlink>
    </w:p>
    <w:bookmarkEnd w:id="221"/>
    <w:bookmarkStart w:id="223" w:name="ref-wiedner2003effects"/>
    <w:p>
      <w:pPr>
        <w:pStyle w:val="Bibliography"/>
      </w:pPr>
      <w:r>
        <w:t xml:space="preserve">Wiedner, C., Visser, P.M., Fastner, J., Metcalf, J.S., Codd, G.A., Mur, L.R., 2003. Effects of light on the microcystin content of</w:t>
      </w:r>
      <w:r>
        <w:t xml:space="preserve"> </w:t>
      </w:r>
      <w:r>
        <w:rPr>
          <w:i/>
          <w:iCs/>
        </w:rPr>
        <w:t xml:space="preserve">Microcystis</w:t>
      </w:r>
      <w:r>
        <w:t xml:space="preserve"> </w:t>
      </w:r>
      <w:r>
        <w:t xml:space="preserve">strain</w:t>
      </w:r>
      <w:r>
        <w:t xml:space="preserve"> </w:t>
      </w:r>
      <w:r>
        <w:t xml:space="preserve">PCC</w:t>
      </w:r>
      <w:r>
        <w:t xml:space="preserve"> </w:t>
      </w:r>
      <w:r>
        <w:t xml:space="preserve">7806. Applied and Environmental Microbiology 69, 1475–1481.</w:t>
      </w:r>
      <w:r>
        <w:t xml:space="preserve"> </w:t>
      </w:r>
      <w:hyperlink r:id="rId222">
        <w:r>
          <w:rPr>
            <w:rStyle w:val="Hyperlink"/>
          </w:rPr>
          <w:t xml:space="preserve">https://doi.org/10.1128/aem.69.3.1475-1481.2003</w:t>
        </w:r>
      </w:hyperlink>
    </w:p>
    <w:bookmarkEnd w:id="223"/>
    <w:bookmarkStart w:id="225" w:name="ref-willis2016intraspecific"/>
    <w:p>
      <w:pPr>
        <w:pStyle w:val="Bibliography"/>
      </w:pPr>
      <w:r>
        <w:t xml:space="preserve">Willis, A., Chuang, A.W., Woodhouse, J.N., Neilan, B.A., Burford, M.A., 2016. Intraspecific variation in growth, morphology and toxin quotas for the cyanobacterium, cylindrospermopsis raciborskii. Toxicon 119, 307–310.</w:t>
      </w:r>
      <w:r>
        <w:t xml:space="preserve"> </w:t>
      </w:r>
      <w:hyperlink r:id="rId224">
        <w:r>
          <w:rPr>
            <w:rStyle w:val="Hyperlink"/>
          </w:rPr>
          <w:t xml:space="preserve">https://doi.org/10.1016/j.toxicon.2016.07.005</w:t>
        </w:r>
      </w:hyperlink>
    </w:p>
    <w:bookmarkEnd w:id="225"/>
    <w:bookmarkStart w:id="227" w:name="ref-wu2011phenotype"/>
    <w:p>
      <w:pPr>
        <w:pStyle w:val="Bibliography"/>
      </w:pPr>
      <w:r>
        <w:t xml:space="preserve">Wu, X., Wu, Z., Song, L., 2011. Phenotype and temperature affect the affinity for dissolved inorganic carbon in a cyanobacterium microcystis. Hydrobiologia 675, 175–186.</w:t>
      </w:r>
      <w:r>
        <w:t xml:space="preserve"> </w:t>
      </w:r>
      <w:hyperlink r:id="rId226">
        <w:r>
          <w:rPr>
            <w:rStyle w:val="Hyperlink"/>
          </w:rPr>
          <w:t xml:space="preserve">https://doi.org/10.1007/s10750-011-0815-0</w:t>
        </w:r>
      </w:hyperlink>
    </w:p>
    <w:bookmarkEnd w:id="227"/>
    <w:bookmarkStart w:id="229" w:name="ref-xiao2020are"/>
    <w:p>
      <w:pPr>
        <w:pStyle w:val="Bibliography"/>
      </w:pPr>
      <w:r>
        <w:t xml:space="preserve">Xiao, M., Hamilton, D.P., O’Brien, K.R., Adams, M.P., Willis, A., Burford, M.A., 2020. Are laboratory growth rate experiments relevant to explaining bloom-forming cyanobacteria distributions at global scale? Harmful Algae 92, 101732.</w:t>
      </w:r>
      <w:r>
        <w:t xml:space="preserve"> </w:t>
      </w:r>
      <w:hyperlink r:id="rId228">
        <w:r>
          <w:rPr>
            <w:rStyle w:val="Hyperlink"/>
          </w:rPr>
          <w:t xml:space="preserve">https://doi.org/10.1016/j.hal.2019.101732</w:t>
        </w:r>
      </w:hyperlink>
    </w:p>
    <w:bookmarkEnd w:id="229"/>
    <w:bookmarkStart w:id="231" w:name="ref-xiao2017differences"/>
    <w:p>
      <w:pPr>
        <w:pStyle w:val="Bibliography"/>
      </w:pPr>
      <w:r>
        <w:t xml:space="preserve">Xiao, M., Willis, A., Burford, M.A., 2017. Differences in cyanobacterial strain responses to light and temperature reflect species plasticity. Harmful Algae 62, 84–93.</w:t>
      </w:r>
      <w:r>
        <w:t xml:space="preserve"> </w:t>
      </w:r>
      <w:hyperlink r:id="rId230">
        <w:r>
          <w:rPr>
            <w:rStyle w:val="Hyperlink"/>
          </w:rPr>
          <w:t xml:space="preserve">https://doi.org/10.1016/j.hal.2016.12.008</w:t>
        </w:r>
      </w:hyperlink>
    </w:p>
    <w:bookmarkEnd w:id="231"/>
    <w:bookmarkStart w:id="233" w:name="ref-zhang2009effects"/>
    <w:p>
      <w:pPr>
        <w:pStyle w:val="Bibliography"/>
      </w:pPr>
      <w:r>
        <w:t xml:space="preserve">Zhang, T., Li, L., Song, L., Chen, W., 2009. Effects of temperature and light on the growth and geosmin production of</w:t>
      </w:r>
      <w:r>
        <w:t xml:space="preserve"> </w:t>
      </w:r>
      <w:r>
        <w:rPr>
          <w:i/>
          <w:iCs/>
        </w:rPr>
        <w:t xml:space="preserve">Lyngbya kuetzingii</w:t>
      </w:r>
      <w:r>
        <w:t xml:space="preserve"> </w:t>
      </w:r>
      <w:r>
        <w:t xml:space="preserve">(cyanophyta). Journal of Applied Phycology 21, 279–285.</w:t>
      </w:r>
      <w:r>
        <w:t xml:space="preserve"> </w:t>
      </w:r>
      <w:hyperlink r:id="rId232">
        <w:r>
          <w:rPr>
            <w:rStyle w:val="Hyperlink"/>
          </w:rPr>
          <w:t xml:space="preserve">https://doi.org/10.1007/s10811-008-9363-z</w:t>
        </w:r>
      </w:hyperlink>
    </w:p>
    <w:bookmarkEnd w:id="233"/>
    <w:bookmarkStart w:id="235" w:name="ref-zhang2016methylisoborneol"/>
    <w:p>
      <w:pPr>
        <w:pStyle w:val="Bibliography"/>
      </w:pPr>
      <w:r>
        <w:t xml:space="preserve">Zhang, T., Zheng, L., Li, L., Song, L., 2016. 2-methylisoborneol production characteristics of</w:t>
      </w:r>
      <w:r>
        <w:t xml:space="preserve"> </w:t>
      </w:r>
      <w:r>
        <w:rPr>
          <w:i/>
          <w:iCs/>
        </w:rPr>
        <w:t xml:space="preserve">Pseudanabaena</w:t>
      </w:r>
      <w:r>
        <w:t xml:space="preserve"> </w:t>
      </w:r>
      <w:r>
        <w:t xml:space="preserve">sp.</w:t>
      </w:r>
      <w:r>
        <w:t xml:space="preserve"> </w:t>
      </w:r>
      <w:r>
        <w:t xml:space="preserve">FACHB 1277</w:t>
      </w:r>
      <w:r>
        <w:t xml:space="preserve"> </w:t>
      </w:r>
      <w:r>
        <w:t xml:space="preserve">isolated from</w:t>
      </w:r>
      <w:r>
        <w:t xml:space="preserve"> </w:t>
      </w:r>
      <w:r>
        <w:t xml:space="preserve">Xionghe Reservoir</w:t>
      </w:r>
      <w:r>
        <w:t xml:space="preserve">,</w:t>
      </w:r>
      <w:r>
        <w:t xml:space="preserve"> </w:t>
      </w:r>
      <w:r>
        <w:t xml:space="preserve">China</w:t>
      </w:r>
      <w:r>
        <w:t xml:space="preserve">. Journal of Applied Phycology 1–10.</w:t>
      </w:r>
      <w:r>
        <w:t xml:space="preserve"> </w:t>
      </w:r>
      <w:hyperlink r:id="rId234">
        <w:r>
          <w:rPr>
            <w:rStyle w:val="Hyperlink"/>
          </w:rPr>
          <w:t xml:space="preserve">https://doi.org/10.1007/s10811-016-0864-x</w:t>
        </w:r>
      </w:hyperlink>
    </w:p>
    <w:bookmarkEnd w:id="235"/>
    <w:bookmarkEnd w:id="236"/>
    <w:bookmarkEnd w:id="237"/>
    <w:sectPr w:rsidR="00C83DEB" w:rsidRPr="009A350C" w:rsidSect="00D34A99">
      <w:type w:val="continuous"/>
      <w:pgSz w:h="16848" w:w="11952"/>
      <w:pgMar w:bottom="1440" w:footer="720" w:gutter="720" w:header="720" w:left="1440" w:right="1440" w:top="1440"/>
      <w:lnNumType w:countBy="1" w:restart="continuous"/>
      <w:cols w:space="720"/>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panose1 w:val="020B0604020202020204"/>
    <w:charset w:val="00"/>
    <w:family w:val="roman"/>
    <w:pitch w:val="default"/>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EA454B4C"/>
    <w:multiLevelType w:val="multilevel"/>
    <w:tmpl w:val="17A2F78A"/>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bullet"/>
      <w:lvlText w:val="–"/>
      <w:lvlJc w:val="left"/>
      <w:pPr>
        <w:tabs>
          <w:tab w:pos="5040" w:val="num"/>
        </w:tabs>
        <w:ind w:hanging="480" w:left="5520"/>
      </w:pPr>
    </w:lvl>
    <w:lvl w:ilvl="8">
      <w:numFmt w:val="bullet"/>
      <w:lvlText w:val="•"/>
      <w:lvlJc w:val="left"/>
      <w:pPr>
        <w:tabs>
          <w:tab w:pos="5760" w:val="num"/>
        </w:tabs>
        <w:ind w:hanging="480" w:left="6240"/>
      </w:pPr>
    </w:lvl>
  </w:abstractNum>
  <w:abstractNum w15:restartNumberingAfterBreak="0" w:abstractNumId="1">
    <w:nsid w:val="FFFFFF7C"/>
    <w:multiLevelType w:val="singleLevel"/>
    <w:tmpl w:val="35BCE13A"/>
    <w:lvl w:ilvl="0">
      <w:start w:val="1"/>
      <w:numFmt w:val="decimal"/>
      <w:lvlText w:val="%1."/>
      <w:lvlJc w:val="left"/>
      <w:pPr>
        <w:tabs>
          <w:tab w:pos="1492" w:val="num"/>
        </w:tabs>
        <w:ind w:hanging="360" w:left="1492"/>
      </w:pPr>
    </w:lvl>
  </w:abstractNum>
  <w:abstractNum w15:restartNumberingAfterBreak="0" w:abstractNumId="2">
    <w:nsid w:val="FFFFFF7D"/>
    <w:multiLevelType w:val="singleLevel"/>
    <w:tmpl w:val="17ACA35A"/>
    <w:lvl w:ilvl="0">
      <w:start w:val="1"/>
      <w:numFmt w:val="decimal"/>
      <w:lvlText w:val="%1."/>
      <w:lvlJc w:val="left"/>
      <w:pPr>
        <w:tabs>
          <w:tab w:pos="1209" w:val="num"/>
        </w:tabs>
        <w:ind w:hanging="360" w:left="1209"/>
      </w:pPr>
    </w:lvl>
  </w:abstractNum>
  <w:abstractNum w15:restartNumberingAfterBreak="0" w:abstractNumId="3">
    <w:nsid w:val="FFFFFF7E"/>
    <w:multiLevelType w:val="singleLevel"/>
    <w:tmpl w:val="305208BC"/>
    <w:lvl w:ilvl="0">
      <w:start w:val="1"/>
      <w:numFmt w:val="decimal"/>
      <w:lvlText w:val="%1."/>
      <w:lvlJc w:val="left"/>
      <w:pPr>
        <w:tabs>
          <w:tab w:pos="926" w:val="num"/>
        </w:tabs>
        <w:ind w:hanging="360" w:left="926"/>
      </w:pPr>
    </w:lvl>
  </w:abstractNum>
  <w:abstractNum w15:restartNumberingAfterBreak="0" w:abstractNumId="4">
    <w:nsid w:val="FFFFFF7F"/>
    <w:multiLevelType w:val="singleLevel"/>
    <w:tmpl w:val="538C7DB2"/>
    <w:lvl w:ilvl="0">
      <w:start w:val="1"/>
      <w:numFmt w:val="decimal"/>
      <w:lvlText w:val="%1."/>
      <w:lvlJc w:val="left"/>
      <w:pPr>
        <w:tabs>
          <w:tab w:pos="643" w:val="num"/>
        </w:tabs>
        <w:ind w:hanging="360" w:left="643"/>
      </w:pPr>
    </w:lvl>
  </w:abstractNum>
  <w:abstractNum w15:restartNumberingAfterBreak="0" w:abstractNumId="5">
    <w:nsid w:val="FFFFFF80"/>
    <w:multiLevelType w:val="singleLevel"/>
    <w:tmpl w:val="520CF04A"/>
    <w:lvl w:ilvl="0">
      <w:start w:val="1"/>
      <w:numFmt w:val="bullet"/>
      <w:lvlText w:val=""/>
      <w:lvlJc w:val="left"/>
      <w:pPr>
        <w:tabs>
          <w:tab w:pos="1492" w:val="num"/>
        </w:tabs>
        <w:ind w:hanging="360" w:left="1492"/>
      </w:pPr>
      <w:rPr>
        <w:rFonts w:ascii="Symbol" w:hAnsi="Symbol" w:hint="default"/>
      </w:rPr>
    </w:lvl>
  </w:abstractNum>
  <w:abstractNum w15:restartNumberingAfterBreak="0" w:abstractNumId="6">
    <w:nsid w:val="FFFFFF81"/>
    <w:multiLevelType w:val="singleLevel"/>
    <w:tmpl w:val="E05CA962"/>
    <w:lvl w:ilvl="0">
      <w:start w:val="1"/>
      <w:numFmt w:val="bullet"/>
      <w:lvlText w:val=""/>
      <w:lvlJc w:val="left"/>
      <w:pPr>
        <w:tabs>
          <w:tab w:pos="1209" w:val="num"/>
        </w:tabs>
        <w:ind w:hanging="360" w:left="1209"/>
      </w:pPr>
      <w:rPr>
        <w:rFonts w:ascii="Symbol" w:hAnsi="Symbol" w:hint="default"/>
      </w:rPr>
    </w:lvl>
  </w:abstractNum>
  <w:abstractNum w15:restartNumberingAfterBreak="0" w:abstractNumId="7">
    <w:nsid w:val="FFFFFF82"/>
    <w:multiLevelType w:val="singleLevel"/>
    <w:tmpl w:val="91027A62"/>
    <w:lvl w:ilvl="0">
      <w:start w:val="1"/>
      <w:numFmt w:val="bullet"/>
      <w:lvlText w:val=""/>
      <w:lvlJc w:val="left"/>
      <w:pPr>
        <w:tabs>
          <w:tab w:pos="926" w:val="num"/>
        </w:tabs>
        <w:ind w:hanging="360" w:left="926"/>
      </w:pPr>
      <w:rPr>
        <w:rFonts w:ascii="Symbol" w:hAnsi="Symbol" w:hint="default"/>
      </w:rPr>
    </w:lvl>
  </w:abstractNum>
  <w:abstractNum w15:restartNumberingAfterBreak="0" w:abstractNumId="8">
    <w:nsid w:val="FFFFFF83"/>
    <w:multiLevelType w:val="singleLevel"/>
    <w:tmpl w:val="6DB2BCF6"/>
    <w:lvl w:ilvl="0">
      <w:start w:val="1"/>
      <w:numFmt w:val="bullet"/>
      <w:lvlText w:val=""/>
      <w:lvlJc w:val="left"/>
      <w:pPr>
        <w:tabs>
          <w:tab w:pos="643" w:val="num"/>
        </w:tabs>
        <w:ind w:hanging="360" w:left="643"/>
      </w:pPr>
      <w:rPr>
        <w:rFonts w:ascii="Symbol" w:hAnsi="Symbol" w:hint="default"/>
      </w:rPr>
    </w:lvl>
  </w:abstractNum>
  <w:abstractNum w15:restartNumberingAfterBreak="0" w:abstractNumId="9">
    <w:nsid w:val="FFFFFF88"/>
    <w:multiLevelType w:val="singleLevel"/>
    <w:tmpl w:val="985C7762"/>
    <w:lvl w:ilvl="0">
      <w:start w:val="1"/>
      <w:numFmt w:val="decimal"/>
      <w:lvlText w:val="%1."/>
      <w:lvlJc w:val="left"/>
      <w:pPr>
        <w:tabs>
          <w:tab w:pos="360" w:val="num"/>
        </w:tabs>
        <w:ind w:hanging="360" w:left="360"/>
      </w:pPr>
    </w:lvl>
  </w:abstractNum>
  <w:abstractNum w15:restartNumberingAfterBreak="0" w:abstractNumId="10">
    <w:nsid w:val="FFFFFF89"/>
    <w:multiLevelType w:val="singleLevel"/>
    <w:tmpl w:val="D5CEBA96"/>
    <w:lvl w:ilvl="0">
      <w:start w:val="1"/>
      <w:numFmt w:val="bullet"/>
      <w:lvlText w:val=""/>
      <w:lvlJc w:val="left"/>
      <w:pPr>
        <w:tabs>
          <w:tab w:pos="360" w:val="num"/>
        </w:tabs>
        <w:ind w:hanging="360" w:left="360"/>
      </w:pPr>
      <w:rPr>
        <w:rFonts w:ascii="Symbol" w:hAnsi="Symbol" w:hint="default"/>
      </w:rPr>
    </w:lvl>
  </w:abstractNum>
  <w:abstractNum w15:restartNumberingAfterBreak="0" w:abstractNumId="11">
    <w:nsid w:val="0000A990"/>
    <w:multiLevelType w:val="multilevel"/>
    <w:tmpl w:val="ECD0910E"/>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2">
    <w:nsid w:val="00A99421"/>
    <w:multiLevelType w:val="multilevel"/>
    <w:tmpl w:val="3592AE20"/>
    <w:lvl w:ilvl="0">
      <w:start w:val="1"/>
      <w:numFmt w:val="decimal"/>
      <w:lvlText w:val="%1)"/>
      <w:lvlJc w:val="left"/>
      <w:pPr>
        <w:ind w:hanging="480" w:left="720"/>
      </w:p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3">
    <w:nsid w:val="2AAB1796"/>
    <w:multiLevelType w:val="multilevel"/>
    <w:tmpl w:val="F7E0EDFA"/>
    <w:lvl w:ilvl="0">
      <w:start w:val="1"/>
      <w:numFmt w:val="decimal"/>
      <w:pStyle w:val="Heading1"/>
      <w:lvlText w:val="%1"/>
      <w:lvlJc w:val="left"/>
      <w:pPr>
        <w:ind w:hanging="432" w:left="432"/>
      </w:pPr>
    </w:lvl>
    <w:lvl w:ilvl="1">
      <w:start w:val="1"/>
      <w:numFmt w:val="decimal"/>
      <w:pStyle w:val="Heading2"/>
      <w:lvlText w:val="%1.%2"/>
      <w:lvlJc w:val="left"/>
      <w:pPr>
        <w:ind w:hanging="576" w:left="576"/>
      </w:pPr>
    </w:lvl>
    <w:lvl w:ilvl="2">
      <w:start w:val="1"/>
      <w:numFmt w:val="decimal"/>
      <w:pStyle w:val="Heading3"/>
      <w:lvlText w:val="%1.%2.%3"/>
      <w:lvlJc w:val="left"/>
      <w:pPr>
        <w:ind w:hanging="720" w:left="720"/>
      </w:pPr>
    </w:lvl>
    <w:lvl w:ilvl="3">
      <w:start w:val="1"/>
      <w:numFmt w:val="decimal"/>
      <w:pStyle w:val="Heading4"/>
      <w:lvlText w:val="%1.%2.%3.%4"/>
      <w:lvlJc w:val="left"/>
      <w:pPr>
        <w:ind w:hanging="864" w:left="864"/>
      </w:pPr>
    </w:lvl>
    <w:lvl w:ilvl="4">
      <w:start w:val="1"/>
      <w:numFmt w:val="decimal"/>
      <w:pStyle w:val="Heading5"/>
      <w:lvlText w:val="%1.%2.%3.%4.%5"/>
      <w:lvlJc w:val="left"/>
      <w:pPr>
        <w:ind w:hanging="1008" w:left="1008"/>
      </w:pPr>
    </w:lvl>
    <w:lvl w:ilvl="5">
      <w:start w:val="1"/>
      <w:numFmt w:val="decimal"/>
      <w:pStyle w:val="Heading6"/>
      <w:lvlText w:val="%1.%2.%3.%4.%5.%6"/>
      <w:lvlJc w:val="left"/>
      <w:pPr>
        <w:ind w:hanging="1152" w:left="1152"/>
      </w:pPr>
    </w:lvl>
    <w:lvl w:ilvl="6">
      <w:start w:val="1"/>
      <w:numFmt w:val="decimal"/>
      <w:pStyle w:val="Heading7"/>
      <w:lvlText w:val="%1.%2.%3.%4.%5.%6.%7"/>
      <w:lvlJc w:val="left"/>
      <w:pPr>
        <w:ind w:hanging="1296" w:left="1296"/>
      </w:pPr>
    </w:lvl>
    <w:lvl w:ilvl="7">
      <w:start w:val="1"/>
      <w:numFmt w:val="decimal"/>
      <w:pStyle w:val="Heading8"/>
      <w:lvlText w:val="%1.%2.%3.%4.%5.%6.%7.%8"/>
      <w:lvlJc w:val="left"/>
      <w:pPr>
        <w:ind w:hanging="1440" w:left="1440"/>
      </w:pPr>
    </w:lvl>
    <w:lvl w:ilvl="8">
      <w:start w:val="1"/>
      <w:numFmt w:val="decimal"/>
      <w:pStyle w:val="Heading9"/>
      <w:lvlText w:val="%1.%2.%3.%4.%5.%6.%7.%8.%9"/>
      <w:lvlJc w:val="left"/>
      <w:pPr>
        <w:ind w:hanging="1584" w:left="1584"/>
      </w:pPr>
    </w:lvl>
  </w:abstractNum>
  <w:abstractNum w15:restartNumberingAfterBreak="0" w:abstractNumId="14">
    <w:nsid w:val="2C1AE401"/>
    <w:multiLevelType w:val="multilevel"/>
    <w:tmpl w:val="EB5024DC"/>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1647003809" w:numId="1">
    <w:abstractNumId w:val="14"/>
  </w:num>
  <w:num w16cid:durableId="1050769522" w:numId="2">
    <w:abstractNumId w:val="1"/>
  </w:num>
  <w:num w16cid:durableId="691146791" w:numId="3">
    <w:abstractNumId w:val="2"/>
  </w:num>
  <w:num w16cid:durableId="1840848626" w:numId="4">
    <w:abstractNumId w:val="3"/>
  </w:num>
  <w:num w16cid:durableId="979381040" w:numId="5">
    <w:abstractNumId w:val="4"/>
  </w:num>
  <w:num w16cid:durableId="1339770353" w:numId="6">
    <w:abstractNumId w:val="9"/>
  </w:num>
  <w:num w16cid:durableId="1869879009" w:numId="7">
    <w:abstractNumId w:val="5"/>
  </w:num>
  <w:num w16cid:durableId="958805246" w:numId="8">
    <w:abstractNumId w:val="6"/>
  </w:num>
  <w:num w16cid:durableId="1871726544" w:numId="9">
    <w:abstractNumId w:val="7"/>
  </w:num>
  <w:num w16cid:durableId="1443769426" w:numId="10">
    <w:abstractNumId w:val="8"/>
  </w:num>
  <w:num w16cid:durableId="2133476877" w:numId="11">
    <w:abstractNumId w:val="10"/>
  </w:num>
  <w:num w16cid:durableId="1658653764" w:numId="12">
    <w:abstractNumId w:val="13"/>
  </w:num>
  <w:num w16cid:durableId="1291326281" w:numId="13">
    <w:abstractNumId w:val="14"/>
  </w:num>
  <w:num w16cid:durableId="455566639" w:numId="14">
    <w:abstractNumId w:val="0"/>
  </w:num>
  <w:num w16cid:durableId="1123501441" w:numId="15">
    <w:abstractNumId w:val="0"/>
  </w:num>
  <w:num w16cid:durableId="1713111372" w:numId="16">
    <w:abstractNumId w:val="14"/>
  </w:num>
  <w:num w16cid:durableId="633413296" w:numId="17">
    <w:abstractNumId w:val="14"/>
  </w:num>
  <w:num w16cid:durableId="727605067" w:numId="18">
    <w:abstractNumId w:val="0"/>
  </w:num>
  <w:num w16cid:durableId="790052878" w:numId="19">
    <w:abstractNumId w:val="0"/>
  </w:num>
  <w:num w16cid:durableId="1687557063" w:numId="20">
    <w:abstractNumId w:val="0"/>
  </w:num>
  <w:num w16cid:durableId="1615483120" w:numId="21">
    <w:abstractNumId w:val="14"/>
  </w:num>
  <w:num w16cid:durableId="1942569766" w:numId="22">
    <w:abstractNumId w:val="14"/>
  </w:num>
  <w:num w16cid:durableId="1205798551" w:numId="23">
    <w:abstractNumId w:val="11"/>
  </w:num>
  <w:num w16cid:durableId="647243311"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364794324" w:numId="25">
    <w:abstractNumId w:val="11"/>
  </w:num>
  <w:num w16cid:durableId="1211453382" w:numId="26">
    <w:abstractNumId w:val="11"/>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15"/>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EB"/>
    <w:rsid w:val="009A350C"/>
    <w:rsid w:val="00BF0311"/>
    <w:rsid w:val="00C83DEB"/>
  </w:rsids>
  <w:themeFontLang w:eastAsia="zh-CN"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475C52"/>
    <w:pPr>
      <w:spacing w:after="240" w:before="120" w:line="480" w:lineRule="auto"/>
      <w:ind w:firstLine="397"/>
      <w:jc w:val="both"/>
    </w:pPr>
    <w:rPr>
      <w:rFonts w:ascii="Calibri" w:eastAsiaTheme="minorEastAsia" w:hAnsi="Calibri"/>
    </w:rPr>
  </w:style>
  <w:style w:styleId="Heading1" w:type="paragraph">
    <w:name w:val="heading 1"/>
    <w:basedOn w:val="Normal"/>
    <w:next w:val="BodyText"/>
    <w:uiPriority w:val="9"/>
    <w:qFormat/>
    <w:rsid w:val="009F1910"/>
    <w:pPr>
      <w:keepNext/>
      <w:keepLines/>
      <w:numPr>
        <w:numId w:val="12"/>
      </w:numPr>
      <w:spacing w:after="0" w:line="240" w:lineRule="auto"/>
      <w:ind w:firstLine="0" w:left="0"/>
      <w:outlineLvl w:val="0"/>
    </w:pPr>
    <w:rPr>
      <w:rFonts w:asciiTheme="majorHAnsi" w:cstheme="majorBidi" w:eastAsiaTheme="majorEastAsia" w:hAnsiTheme="majorHAnsi"/>
      <w:b/>
      <w:bCs/>
      <w:sz w:val="32"/>
      <w:szCs w:val="32"/>
    </w:rPr>
  </w:style>
  <w:style w:styleId="Heading2" w:type="paragraph">
    <w:name w:val="heading 2"/>
    <w:basedOn w:val="Normal"/>
    <w:next w:val="BodyText"/>
    <w:autoRedefine/>
    <w:uiPriority w:val="9"/>
    <w:unhideWhenUsed/>
    <w:qFormat/>
    <w:rsid w:val="009F1910"/>
    <w:pPr>
      <w:keepNext/>
      <w:keepLines/>
      <w:numPr>
        <w:ilvl w:val="1"/>
        <w:numId w:val="12"/>
      </w:numPr>
      <w:spacing w:after="120" w:line="240" w:lineRule="auto"/>
      <w:ind w:firstLine="0" w:left="0"/>
      <w:outlineLvl w:val="1"/>
    </w:pPr>
    <w:rPr>
      <w:rFonts w:asciiTheme="majorHAnsi" w:cstheme="majorBidi" w:eastAsiaTheme="majorEastAsia" w:hAnsiTheme="majorHAnsi"/>
      <w:b/>
      <w:bCs/>
      <w:sz w:val="28"/>
      <w:szCs w:val="28"/>
    </w:rPr>
  </w:style>
  <w:style w:styleId="Heading3" w:type="paragraph">
    <w:name w:val="heading 3"/>
    <w:basedOn w:val="Normal"/>
    <w:next w:val="BodyText"/>
    <w:uiPriority w:val="9"/>
    <w:unhideWhenUsed/>
    <w:qFormat/>
    <w:rsid w:val="00357B8B"/>
    <w:pPr>
      <w:keepNext/>
      <w:keepLines/>
      <w:numPr>
        <w:ilvl w:val="2"/>
        <w:numId w:val="12"/>
      </w:numPr>
      <w:spacing w:after="0" w:before="200"/>
      <w:outlineLvl w:val="2"/>
    </w:pPr>
    <w:rPr>
      <w:rFonts w:asciiTheme="majorHAnsi" w:cstheme="majorBidi" w:eastAsiaTheme="majorEastAsia" w:hAnsiTheme="majorHAnsi"/>
      <w:b/>
      <w:bCs/>
    </w:rPr>
  </w:style>
  <w:style w:styleId="Heading4" w:type="paragraph">
    <w:name w:val="heading 4"/>
    <w:basedOn w:val="Normal"/>
    <w:next w:val="BodyText"/>
    <w:uiPriority w:val="9"/>
    <w:unhideWhenUsed/>
    <w:qFormat/>
    <w:pPr>
      <w:keepNext/>
      <w:keepLines/>
      <w:numPr>
        <w:ilvl w:val="3"/>
        <w:numId w:val="12"/>
      </w:numPr>
      <w:spacing w:after="0" w:before="200"/>
      <w:outlineLvl w:val="3"/>
    </w:pPr>
    <w:rPr>
      <w:rFonts w:asciiTheme="majorHAnsi" w:cstheme="majorBidi" w:eastAsiaTheme="majorEastAsia" w:hAnsiTheme="majorHAnsi"/>
      <w:bCs/>
      <w:i/>
      <w:color w:themeColor="accent1" w:val="4F81BD"/>
    </w:rPr>
  </w:style>
  <w:style w:styleId="Heading5" w:type="paragraph">
    <w:name w:val="heading 5"/>
    <w:basedOn w:val="Normal"/>
    <w:next w:val="BodyText"/>
    <w:uiPriority w:val="9"/>
    <w:unhideWhenUsed/>
    <w:qFormat/>
    <w:pPr>
      <w:keepNext/>
      <w:keepLines/>
      <w:numPr>
        <w:ilvl w:val="4"/>
        <w:numId w:val="12"/>
      </w:numPr>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pPr>
      <w:keepNext/>
      <w:keepLines/>
      <w:numPr>
        <w:ilvl w:val="5"/>
        <w:numId w:val="12"/>
      </w:numPr>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numPr>
        <w:ilvl w:val="6"/>
        <w:numId w:val="12"/>
      </w:numPr>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numPr>
        <w:ilvl w:val="7"/>
        <w:numId w:val="12"/>
      </w:numPr>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numPr>
        <w:ilvl w:val="8"/>
        <w:numId w:val="12"/>
      </w:numPr>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autoRedefine/>
    <w:qFormat/>
    <w:rsid w:val="00475C52"/>
    <w:pPr>
      <w:spacing w:after="180" w:before="180"/>
    </w:pPr>
  </w:style>
  <w:style w:customStyle="1" w:styleId="FirstParagraph" w:type="paragraph">
    <w:name w:val="First Paragraph"/>
    <w:basedOn w:val="BodyText"/>
    <w:next w:val="BodyText"/>
    <w:autoRedefine/>
    <w:qFormat/>
    <w:rsid w:val="001D0787"/>
    <w:pPr>
      <w:spacing w:after="120" w:before="240"/>
    </w:pPr>
  </w:style>
  <w:style w:customStyle="1" w:styleId="Compact" w:type="paragraph">
    <w:name w:val="Compact"/>
    <w:basedOn w:val="BodyText"/>
    <w:autoRedefine/>
    <w:qFormat/>
    <w:rsid w:val="00684FFA"/>
    <w:pPr>
      <w:spacing w:after="0" w:before="0"/>
      <w:ind w:firstLine="0"/>
      <w:jc w:val="left"/>
    </w:pPr>
  </w:style>
  <w:style w:styleId="Title" w:type="paragraph">
    <w:name w:val="Title"/>
    <w:basedOn w:val="Normal"/>
    <w:next w:val="BodyText"/>
    <w:qFormat/>
    <w:rsid w:val="009F1910"/>
    <w:pPr>
      <w:keepNext/>
      <w:keepLines/>
      <w:spacing w:after="120" w:before="240" w:line="240" w:lineRule="auto"/>
      <w:ind w:firstLine="0"/>
      <w:jc w:val="center"/>
    </w:pPr>
    <w:rPr>
      <w:rFonts w:asciiTheme="majorHAnsi" w:cstheme="majorBidi" w:eastAsiaTheme="majorEastAsia" w:hAnsiTheme="majorHAnsi"/>
      <w:b/>
      <w:bCs/>
      <w:sz w:val="32"/>
      <w:szCs w:val="36"/>
    </w:rPr>
  </w:style>
  <w:style w:styleId="Subtitle" w:type="paragraph">
    <w:name w:val="Subtitle"/>
    <w:basedOn w:val="Title"/>
    <w:next w:val="BodyText"/>
    <w:qFormat/>
    <w:rsid w:val="004659FD"/>
    <w:pPr>
      <w:spacing w:after="240"/>
    </w:pPr>
    <w:rPr>
      <w:sz w:val="28"/>
      <w:szCs w:val="30"/>
    </w:rPr>
  </w:style>
  <w:style w:customStyle="1" w:styleId="Author" w:type="paragraph">
    <w:name w:val="Author"/>
    <w:next w:val="BodyText"/>
    <w:qFormat/>
    <w:rsid w:val="009F1910"/>
    <w:pPr>
      <w:keepNext/>
      <w:keepLines/>
      <w:jc w:val="center"/>
    </w:pPr>
    <w:rPr>
      <w:sz w:val="21"/>
    </w:rPr>
  </w:style>
  <w:style w:styleId="Date" w:type="paragraph">
    <w:name w:val="Date"/>
    <w:next w:val="BodyText"/>
    <w:qFormat/>
    <w:pPr>
      <w:keepNext/>
      <w:keepLines/>
      <w:jc w:val="center"/>
    </w:pPr>
  </w:style>
  <w:style w:customStyle="1" w:styleId="Abstract" w:type="paragraph">
    <w:name w:val="Abstract"/>
    <w:basedOn w:val="Normal"/>
    <w:next w:val="BodyText"/>
    <w:autoRedefine/>
    <w:qFormat/>
    <w:rsid w:val="00475C52"/>
    <w:rPr>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uiPriority w:val="9"/>
    <w:unhideWhenUsed/>
    <w:qFormat/>
  </w:style>
  <w:style w:customStyle="1" w:styleId="Table" w:type="table">
    <w:name w:val="Table"/>
    <w:basedOn w:val="TableNormal"/>
    <w:semiHidden/>
    <w:unhideWhenUsed/>
    <w:qFormat/>
    <w:rsid w:val="00556B80"/>
    <w:tblPr>
      <w:jc w:val="center"/>
      <w:tblBorders>
        <w:bottom w:color="auto" w:space="0" w:sz="4" w:val="single"/>
      </w:tblBorders>
    </w:tblPr>
    <w:trPr>
      <w:jc w:val="center"/>
    </w:trPr>
    <w:tblStylePr w:type="firstRow">
      <w:pPr>
        <w:jc w:val="center"/>
      </w:pPr>
      <w:rPr>
        <w:rFonts w:asciiTheme="minorHAnsi" w:hAnsiTheme="minorHAnsi"/>
        <w:b/>
        <w:color w:val="auto"/>
        <w:sz w:val="24"/>
        <w:u w:val="none"/>
      </w:rPr>
      <w:tblPr/>
      <w:tcPr>
        <w:tcBorders>
          <w:top w:color="auto" w:space="0" w:sz="4" w:val="single"/>
          <w:bottom w:color="auto" w:space="0" w:sz="4" w:val="single"/>
        </w:tcBorders>
        <w:shd w:color="auto" w:fill="BFBFBF" w:themeFill="background1" w:themeFillShade="BF" w:val="clear"/>
      </w:tcPr>
    </w:tblStylePr>
    <w:tblStylePr w:type="firstCol">
      <w:rPr>
        <w:b/>
      </w:r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autoRedefine/>
    <w:rsid w:val="00556B80"/>
    <w:pPr>
      <w:spacing w:after="120" w:before="0"/>
      <w:jc w:val="center"/>
    </w:pPr>
    <w:rPr>
      <w:i/>
    </w:rPr>
  </w:style>
  <w:style w:customStyle="1" w:styleId="TableCaption" w:type="paragraph">
    <w:name w:val="Table Caption"/>
    <w:basedOn w:val="Caption"/>
    <w:autoRedefine/>
    <w:rsid w:val="009F1910"/>
    <w:pPr>
      <w:keepNext/>
      <w:spacing w:before="240"/>
      <w:ind w:firstLine="0"/>
    </w:pPr>
  </w:style>
  <w:style w:customStyle="1" w:styleId="ImageCaption" w:type="paragraph">
    <w:name w:val="Image Caption"/>
    <w:basedOn w:val="Caption"/>
    <w:autoRedefine/>
    <w:qFormat/>
    <w:rsid w:val="009A350C"/>
    <w:pPr>
      <w:keepLines/>
      <w:spacing w:before="200"/>
      <w:ind w:firstLine="0"/>
      <w:jc w:val="both"/>
    </w:pPr>
  </w:style>
  <w:style w:customStyle="1" w:styleId="Figure" w:type="paragraph">
    <w:name w:val="Figure"/>
    <w:basedOn w:val="Normal"/>
    <w:autoRedefine/>
    <w:rsid w:val="001D0787"/>
    <w:pPr>
      <w:keepNext/>
      <w:spacing w:after="120" w:before="240" w:line="360" w:lineRule="auto"/>
      <w:ind w:firstLine="0"/>
      <w:jc w:val="center"/>
    </w:pPr>
    <w:rPr>
      <w:noProof/>
    </w:rPr>
  </w:style>
  <w:style w:customStyle="1" w:styleId="CaptionedFigure" w:type="paragraph">
    <w:name w:val="Captioned Figure"/>
    <w:basedOn w:val="Figure"/>
    <w:rsid w:val="00357B8B"/>
  </w:style>
  <w:style w:customStyle="1" w:styleId="CaptionChar" w:type="character">
    <w:name w:val="Caption Char"/>
    <w:basedOn w:val="DefaultParagraphFont"/>
    <w:link w:val="Caption"/>
    <w:rsid w:val="00556B80"/>
    <w:rPr>
      <w:i/>
    </w:rPr>
  </w:style>
  <w:style w:customStyle="1" w:styleId="VerbatimChar" w:type="character">
    <w:name w:val="Verbatim Char"/>
    <w:basedOn w:val="CaptionChar"/>
    <w:link w:val="SourceCode"/>
    <w:rsid w:val="00357B8B"/>
    <w:rPr>
      <w:i/>
      <w:shd w:color="auto" w:fill="F8F8F8" w:val="clear"/>
    </w:rPr>
  </w:style>
  <w:style w:styleId="FootnoteReference" w:type="character">
    <w:name w:val="footnote reference"/>
    <w:basedOn w:val="CaptionChar"/>
    <w:rPr>
      <w:i/>
      <w:vertAlign w:val="superscript"/>
    </w:rPr>
  </w:style>
  <w:style w:styleId="Hyperlink" w:type="character">
    <w:name w:val="Hyperlink"/>
    <w:basedOn w:val="CaptionChar"/>
    <w:rPr>
      <w:i/>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rsid w:val="00357B8B"/>
    <w:pPr>
      <w:framePr w:hAnchor="text" w:vAnchor="text" w:wrap="around" w:y="1"/>
      <w:shd w:color="auto" w:fill="F8F8F8" w:val="clear"/>
      <w:wordWrap w:val="0"/>
      <w:spacing w:after="0" w:before="0" w:line="240" w:lineRule="auto"/>
      <w:ind w:firstLine="0"/>
    </w:pPr>
  </w:style>
  <w:style w:customStyle="1" w:styleId="KeywordTok" w:type="character">
    <w:name w:val="KeywordTok"/>
    <w:basedOn w:val="VerbatimChar"/>
    <w:rPr>
      <w:b/>
      <w:i/>
      <w:color w:val="204A87"/>
      <w:shd w:color="auto" w:fill="F8F8F8" w:val="clear"/>
    </w:rPr>
  </w:style>
  <w:style w:customStyle="1" w:styleId="DataTypeTok" w:type="character">
    <w:name w:val="DataTypeTok"/>
    <w:basedOn w:val="VerbatimChar"/>
    <w:rPr>
      <w:i/>
      <w:color w:val="204A87"/>
      <w:shd w:color="auto" w:fill="F8F8F8" w:val="clear"/>
    </w:rPr>
  </w:style>
  <w:style w:customStyle="1" w:styleId="DecValTok" w:type="character">
    <w:name w:val="DecValTok"/>
    <w:basedOn w:val="VerbatimChar"/>
    <w:rPr>
      <w:i/>
      <w:color w:val="0000CF"/>
      <w:shd w:color="auto" w:fill="F8F8F8" w:val="clear"/>
    </w:rPr>
  </w:style>
  <w:style w:customStyle="1" w:styleId="BaseNTok" w:type="character">
    <w:name w:val="BaseNTok"/>
    <w:basedOn w:val="VerbatimChar"/>
    <w:rPr>
      <w:i/>
      <w:color w:val="0000CF"/>
      <w:shd w:color="auto" w:fill="F8F8F8" w:val="clear"/>
    </w:rPr>
  </w:style>
  <w:style w:customStyle="1" w:styleId="FloatTok" w:type="character">
    <w:name w:val="FloatTok"/>
    <w:basedOn w:val="VerbatimChar"/>
    <w:rPr>
      <w:i/>
      <w:color w:val="0000CF"/>
      <w:shd w:color="auto" w:fill="F8F8F8" w:val="clear"/>
    </w:rPr>
  </w:style>
  <w:style w:customStyle="1" w:styleId="ConstantTok" w:type="character">
    <w:name w:val="ConstantTok"/>
    <w:basedOn w:val="VerbatimChar"/>
    <w:rPr>
      <w:i/>
      <w:color w:val="000000"/>
      <w:shd w:color="auto" w:fill="F8F8F8" w:val="clear"/>
    </w:rPr>
  </w:style>
  <w:style w:customStyle="1" w:styleId="CharTok" w:type="character">
    <w:name w:val="CharTok"/>
    <w:basedOn w:val="VerbatimChar"/>
    <w:rPr>
      <w:i/>
      <w:color w:val="4E9A06"/>
      <w:shd w:color="auto" w:fill="F8F8F8" w:val="clear"/>
    </w:rPr>
  </w:style>
  <w:style w:customStyle="1" w:styleId="SpecialCharTok" w:type="character">
    <w:name w:val="SpecialCharTok"/>
    <w:basedOn w:val="VerbatimChar"/>
    <w:rPr>
      <w:i/>
      <w:color w:val="000000"/>
      <w:shd w:color="auto" w:fill="F8F8F8" w:val="clear"/>
    </w:rPr>
  </w:style>
  <w:style w:customStyle="1" w:styleId="StringTok" w:type="character">
    <w:name w:val="StringTok"/>
    <w:basedOn w:val="VerbatimChar"/>
    <w:rPr>
      <w:i/>
      <w:color w:val="4E9A06"/>
      <w:shd w:color="auto" w:fill="F8F8F8" w:val="clear"/>
    </w:rPr>
  </w:style>
  <w:style w:customStyle="1" w:styleId="VerbatimStringTok" w:type="character">
    <w:name w:val="VerbatimStringTok"/>
    <w:basedOn w:val="VerbatimChar"/>
    <w:rPr>
      <w:i/>
      <w:color w:val="4E9A06"/>
      <w:shd w:color="auto" w:fill="F8F8F8" w:val="clear"/>
    </w:rPr>
  </w:style>
  <w:style w:customStyle="1" w:styleId="SpecialStringTok" w:type="character">
    <w:name w:val="SpecialStringTok"/>
    <w:basedOn w:val="VerbatimChar"/>
    <w:rPr>
      <w:i/>
      <w:color w:val="4E9A06"/>
      <w:shd w:color="auto" w:fill="F8F8F8" w:val="clear"/>
    </w:rPr>
  </w:style>
  <w:style w:customStyle="1" w:styleId="ImportTok" w:type="character">
    <w:name w:val="ImportTok"/>
    <w:basedOn w:val="VerbatimChar"/>
    <w:rPr>
      <w:i/>
      <w:shd w:color="auto" w:fill="F8F8F8" w:val="clear"/>
    </w:rPr>
  </w:style>
  <w:style w:customStyle="1" w:styleId="CommentTok" w:type="character">
    <w:name w:val="CommentTok"/>
    <w:basedOn w:val="VerbatimChar"/>
    <w:rPr>
      <w:i w:val="0"/>
      <w:color w:val="8F5902"/>
      <w:shd w:color="auto" w:fill="F8F8F8" w:val="clear"/>
    </w:rPr>
  </w:style>
  <w:style w:customStyle="1" w:styleId="DocumentationTok" w:type="character">
    <w:name w:val="DocumentationTok"/>
    <w:basedOn w:val="VerbatimChar"/>
    <w:rPr>
      <w:b/>
      <w:i w:val="0"/>
      <w:color w:val="8F5902"/>
      <w:shd w:color="auto" w:fill="F8F8F8" w:val="clear"/>
    </w:rPr>
  </w:style>
  <w:style w:customStyle="1" w:styleId="AnnotationTok" w:type="character">
    <w:name w:val="AnnotationTok"/>
    <w:basedOn w:val="VerbatimChar"/>
    <w:rPr>
      <w:b/>
      <w:i w:val="0"/>
      <w:color w:val="8F5902"/>
      <w:shd w:color="auto" w:fill="F8F8F8" w:val="clear"/>
    </w:rPr>
  </w:style>
  <w:style w:customStyle="1" w:styleId="CommentVarTok" w:type="character">
    <w:name w:val="CommentVarTok"/>
    <w:basedOn w:val="VerbatimChar"/>
    <w:rPr>
      <w:b/>
      <w:i w:val="0"/>
      <w:color w:val="8F5902"/>
      <w:shd w:color="auto" w:fill="F8F8F8" w:val="clear"/>
    </w:rPr>
  </w:style>
  <w:style w:customStyle="1" w:styleId="OtherTok" w:type="character">
    <w:name w:val="OtherTok"/>
    <w:basedOn w:val="VerbatimChar"/>
    <w:rPr>
      <w:i/>
      <w:color w:val="8F5902"/>
      <w:shd w:color="auto" w:fill="F8F8F8" w:val="clear"/>
    </w:rPr>
  </w:style>
  <w:style w:customStyle="1" w:styleId="FunctionTok" w:type="character">
    <w:name w:val="FunctionTok"/>
    <w:basedOn w:val="VerbatimChar"/>
    <w:rPr>
      <w:i/>
      <w:color w:val="000000"/>
      <w:shd w:color="auto" w:fill="F8F8F8" w:val="clear"/>
    </w:rPr>
  </w:style>
  <w:style w:customStyle="1" w:styleId="VariableTok" w:type="character">
    <w:name w:val="VariableTok"/>
    <w:basedOn w:val="VerbatimChar"/>
    <w:rPr>
      <w:i/>
      <w:color w:val="000000"/>
      <w:shd w:color="auto" w:fill="F8F8F8" w:val="clear"/>
    </w:rPr>
  </w:style>
  <w:style w:customStyle="1" w:styleId="ControlFlowTok" w:type="character">
    <w:name w:val="ControlFlowTok"/>
    <w:basedOn w:val="VerbatimChar"/>
    <w:rPr>
      <w:b/>
      <w:i/>
      <w:color w:val="204A87"/>
      <w:shd w:color="auto" w:fill="F8F8F8" w:val="clear"/>
    </w:rPr>
  </w:style>
  <w:style w:customStyle="1" w:styleId="OperatorTok" w:type="character">
    <w:name w:val="OperatorTok"/>
    <w:basedOn w:val="VerbatimChar"/>
    <w:rPr>
      <w:b/>
      <w:i/>
      <w:color w:val="CE5C00"/>
      <w:shd w:color="auto" w:fill="F8F8F8" w:val="clear"/>
    </w:rPr>
  </w:style>
  <w:style w:customStyle="1" w:styleId="BuiltInTok" w:type="character">
    <w:name w:val="BuiltInTok"/>
    <w:basedOn w:val="VerbatimChar"/>
    <w:rPr>
      <w:i/>
      <w:shd w:color="auto" w:fill="F8F8F8" w:val="clear"/>
    </w:rPr>
  </w:style>
  <w:style w:customStyle="1" w:styleId="ExtensionTok" w:type="character">
    <w:name w:val="ExtensionTok"/>
    <w:basedOn w:val="VerbatimChar"/>
    <w:rPr>
      <w:i/>
      <w:shd w:color="auto" w:fill="F8F8F8" w:val="clear"/>
    </w:rPr>
  </w:style>
  <w:style w:customStyle="1" w:styleId="PreprocessorTok" w:type="character">
    <w:name w:val="PreprocessorTok"/>
    <w:basedOn w:val="VerbatimChar"/>
    <w:rPr>
      <w:i w:val="0"/>
      <w:color w:val="8F5902"/>
      <w:shd w:color="auto" w:fill="F8F8F8" w:val="clear"/>
    </w:rPr>
  </w:style>
  <w:style w:customStyle="1" w:styleId="AttributeTok" w:type="character">
    <w:name w:val="AttributeTok"/>
    <w:basedOn w:val="VerbatimChar"/>
    <w:rPr>
      <w:i/>
      <w:color w:val="C4A000"/>
      <w:shd w:color="auto" w:fill="F8F8F8" w:val="clear"/>
    </w:rPr>
  </w:style>
  <w:style w:customStyle="1" w:styleId="RegionMarkerTok" w:type="character">
    <w:name w:val="RegionMarkerTok"/>
    <w:basedOn w:val="VerbatimChar"/>
    <w:rPr>
      <w:i/>
      <w:shd w:color="auto" w:fill="F8F8F8" w:val="clear"/>
    </w:rPr>
  </w:style>
  <w:style w:customStyle="1" w:styleId="InformationTok" w:type="character">
    <w:name w:val="InformationTok"/>
    <w:basedOn w:val="VerbatimChar"/>
    <w:rPr>
      <w:b/>
      <w:i w:val="0"/>
      <w:color w:val="8F5902"/>
      <w:shd w:color="auto" w:fill="F8F8F8" w:val="clear"/>
    </w:rPr>
  </w:style>
  <w:style w:customStyle="1" w:styleId="WarningTok" w:type="character">
    <w:name w:val="WarningTok"/>
    <w:basedOn w:val="VerbatimChar"/>
    <w:rPr>
      <w:b/>
      <w:i w:val="0"/>
      <w:color w:val="8F5902"/>
      <w:shd w:color="auto" w:fill="F8F8F8" w:val="clear"/>
    </w:rPr>
  </w:style>
  <w:style w:customStyle="1" w:styleId="AlertTok" w:type="character">
    <w:name w:val="AlertTok"/>
    <w:basedOn w:val="VerbatimChar"/>
    <w:rPr>
      <w:i/>
      <w:color w:val="EF2929"/>
      <w:shd w:color="auto" w:fill="F8F8F8" w:val="clear"/>
    </w:rPr>
  </w:style>
  <w:style w:customStyle="1" w:styleId="ErrorTok" w:type="character">
    <w:name w:val="ErrorTok"/>
    <w:basedOn w:val="VerbatimChar"/>
    <w:rPr>
      <w:b/>
      <w:i/>
      <w:color w:val="A40000"/>
      <w:shd w:color="auto" w:fill="F8F8F8" w:val="clear"/>
    </w:rPr>
  </w:style>
  <w:style w:customStyle="1" w:styleId="NormalTok" w:type="character">
    <w:name w:val="NormalTok"/>
    <w:basedOn w:val="VerbatimChar"/>
    <w:rPr>
      <w:i/>
      <w:shd w:color="auto" w:fill="F8F8F8" w:val="clear"/>
    </w:rPr>
  </w:style>
  <w:style w:customStyle="1" w:styleId="BodyTextChar" w:type="character">
    <w:name w:val="Body Text Char"/>
    <w:basedOn w:val="DefaultParagraphFont"/>
    <w:link w:val="BodyText"/>
    <w:rsid w:val="00475C52"/>
    <w:rPr>
      <w:rFonts w:ascii="Calibri" w:eastAsiaTheme="minorEastAsia" w:hAnsi="Calibri"/>
    </w:rPr>
  </w:style>
  <w:style w:customStyle="1" w:styleId="Image" w:type="paragraph">
    <w:name w:val="Image"/>
    <w:qFormat/>
    <w:rsid w:val="009F1910"/>
    <w:pPr>
      <w:keepNext/>
      <w:spacing w:after="120" w:before="240"/>
      <w:jc w:val="center"/>
    </w:pPr>
    <w:rPr>
      <w:rFonts w:ascii="Calibri" w:hAnsi="Calibri"/>
      <w:noProof/>
    </w:rPr>
  </w:style>
  <w:style w:customStyle="1" w:styleId="TableScientific" w:type="table">
    <w:name w:val="Table Scientific"/>
    <w:basedOn w:val="TableNormal"/>
    <w:uiPriority w:val="99"/>
    <w:rsid w:val="0043749A"/>
    <w:pPr>
      <w:spacing w:after="100" w:afterAutospacing="1" w:before="100" w:beforeAutospacing="1" w:line="360" w:lineRule="auto"/>
    </w:pPr>
    <w:rPr>
      <w:rFonts w:ascii="Calibri" w:cs="Times New Roman (Body CS)" w:eastAsiaTheme="minorEastAsia" w:hAnsi="Calibri"/>
      <w:sz w:val="22"/>
    </w:rPr>
    <w:tblPr>
      <w:jc w:val="center"/>
      <w:tblBorders>
        <w:bottom w:color="auto" w:space="0" w:sz="4" w:val="single"/>
      </w:tblBorders>
    </w:tblPr>
    <w:trPr>
      <w:jc w:val="center"/>
    </w:trPr>
    <w:tcPr>
      <w:vAlign w:val="center"/>
    </w:tcPr>
    <w:tblStylePr w:type="firstRow">
      <w:pPr>
        <w:jc w:val="left"/>
      </w:pPr>
      <w:rPr>
        <w:b/>
      </w:rPr>
      <w:tblPr/>
      <w:tcPr>
        <w:tcBorders>
          <w:top w:color="auto" w:space="0" w:sz="4" w:val="single"/>
          <w:bottom w:color="auto" w:space="0" w:sz="4" w:val="single"/>
        </w:tcBorders>
        <w:shd w:color="auto" w:fill="F2F2F2" w:themeFill="background1" w:themeFillShade="F2" w:val="clear"/>
        <w:vAlign w:val="center"/>
      </w:tcPr>
    </w:tblStylePr>
    <w:tblStylePr w:type="lastRow">
      <w:rPr>
        <w:rFonts w:ascii="Calibri" w:hAnsi="Calibri"/>
      </w:rPr>
      <w:tblPr/>
      <w:tcPr>
        <w:tcBorders>
          <w:bottom w:color="auto" w:space="0" w:sz="4" w:val="single"/>
        </w:tcBorders>
      </w:tcPr>
    </w:tblStylePr>
    <w:tblStylePr w:type="lastCol">
      <w:pPr>
        <w:keepNext/>
        <w:wordWrap/>
        <w:spacing w:after="0" w:afterAutospacing="0" w:afterLines="0" w:before="0" w:beforeAutospacing="0" w:beforeLines="0" w:line="240" w:lineRule="auto"/>
        <w:ind w:firstLine="0" w:firstLineChars="0" w:left="0" w:leftChars="0" w:right="0" w:rightChars="0"/>
      </w:pPr>
      <w:rPr>
        <w:rFonts w:ascii="Calibri" w:eastAsia="SimSun" w:hAnsi="Calibri"/>
      </w:rPr>
      <w:tblPr/>
      <w:tcPr>
        <w:tcBorders>
          <w:bottom w:val="nil"/>
        </w:tcBorders>
      </w:tcPr>
    </w:tblStylePr>
  </w:style>
  <w:style w:styleId="PlainTable1" w:type="table">
    <w:name w:val="Plain Table 1"/>
    <w:basedOn w:val="TableNormal"/>
    <w:rsid w:val="00300D72"/>
    <w:pPr>
      <w:spacing w:after="0"/>
    </w:pPr>
    <w:tblPr>
      <w:tblStyleRowBandSize w:val="1"/>
      <w:tblStyleColBandSize w:val="1"/>
      <w:tblBorders>
        <w:top w:color="BFBFBF" w:space="0" w:sz="4" w:themeColor="background1" w:themeShade="BF" w:val="single"/>
        <w:left w:color="BFBFBF" w:space="0" w:sz="4" w:themeColor="background1" w:themeShade="BF" w:val="single"/>
        <w:bottom w:color="BFBFBF" w:space="0" w:sz="4" w:themeColor="background1" w:themeShade="BF" w:val="single"/>
        <w:right w:color="BFBFBF" w:space="0" w:sz="4" w:themeColor="background1" w:themeShade="BF" w:val="single"/>
        <w:insideH w:color="BFBFBF" w:space="0" w:sz="4" w:themeColor="background1" w:themeShade="BF" w:val="single"/>
        <w:insideV w:color="BFBFBF" w:space="0" w:sz="4" w:themeColor="background1" w:themeShade="BF" w:val="single"/>
      </w:tblBorders>
    </w:tblPr>
    <w:tblStylePr w:type="firstRow">
      <w:rPr>
        <w:b/>
        <w:bCs/>
      </w:rPr>
    </w:tblStylePr>
    <w:tblStylePr w:type="lastRow">
      <w:rPr>
        <w:b/>
        <w:bCs/>
      </w:rPr>
      <w:tblPr/>
      <w:tcPr>
        <w:tcBorders>
          <w:top w:color="BFBFBF" w:space="0" w:sz="4" w:themeColor="background1" w:themeShade="BF" w:val="double"/>
        </w:tcBorders>
      </w:tcPr>
    </w:tblStylePr>
    <w:tblStylePr w:type="firstCol">
      <w:rPr>
        <w:b/>
        <w:bCs/>
      </w:rPr>
    </w:tblStylePr>
    <w:tblStylePr w:type="lastCol">
      <w:rPr>
        <w:b/>
        <w:bCs/>
      </w:r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style>
  <w:style w:styleId="PlainTable3" w:type="table">
    <w:name w:val="Plain Table 3"/>
    <w:basedOn w:val="TableNormal"/>
    <w:rsid w:val="00300D72"/>
    <w:pPr>
      <w:spacing w:after="0"/>
    </w:pPr>
    <w:tblPr>
      <w:tblStyleRowBandSize w:val="1"/>
      <w:tblStyleColBandSize w:val="1"/>
    </w:tblPr>
    <w:tblStylePr w:type="firstRow">
      <w:rPr>
        <w:b/>
        <w:bCs/>
        <w:caps/>
      </w:rPr>
      <w:tblPr/>
      <w:tcPr>
        <w:tcBorders>
          <w:bottom w:color="7F7F7F" w:space="0" w:sz="4" w:themeColor="text1" w:themeTint="80" w:val="single"/>
        </w:tcBorders>
      </w:tcPr>
    </w:tblStylePr>
    <w:tblStylePr w:type="lastRow">
      <w:rPr>
        <w:b/>
        <w:bCs/>
        <w:caps/>
      </w:rPr>
      <w:tblPr/>
      <w:tcPr>
        <w:tcBorders>
          <w:top w:val="nil"/>
        </w:tcBorders>
      </w:tcPr>
    </w:tblStylePr>
    <w:tblStylePr w:type="firstCol">
      <w:rPr>
        <w:b/>
        <w:bCs/>
        <w:caps/>
      </w:rPr>
      <w:tblPr/>
      <w:tcPr>
        <w:tcBorders>
          <w:right w:color="7F7F7F" w:space="0" w:sz="4" w:themeColor="text1" w:themeTint="80" w:val="single"/>
        </w:tcBorders>
      </w:tcPr>
    </w:tblStylePr>
    <w:tblStylePr w:type="lastCol">
      <w:rPr>
        <w:b/>
        <w:bCs/>
        <w:caps/>
      </w:rPr>
      <w:tblPr/>
      <w:tcPr>
        <w:tcBorders>
          <w:left w:val="nil"/>
        </w:tcBorders>
      </w:tc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tblStylePr w:type="neCell">
      <w:tblPr/>
      <w:tcPr>
        <w:tcBorders>
          <w:left w:val="nil"/>
        </w:tcBorders>
      </w:tcPr>
    </w:tblStylePr>
    <w:tblStylePr w:type="nwCell">
      <w:tblPr/>
      <w:tcPr>
        <w:tcBorders>
          <w:right w:val="nil"/>
        </w:tcBorders>
      </w:tcPr>
    </w:tblStylePr>
  </w:style>
  <w:style w:customStyle="1" w:styleId="Table1" w:type="table">
    <w:name w:val="Table1"/>
    <w:basedOn w:val="TableNormal"/>
    <w:uiPriority w:val="99"/>
    <w:rsid w:val="0043749A"/>
    <w:pPr>
      <w:spacing w:after="0"/>
      <w:jc w:val="center"/>
    </w:pPr>
    <w:tblPr>
      <w:tblBorders>
        <w:top w:color="auto" w:space="0" w:sz="4" w:val="single"/>
        <w:bottom w:color="auto" w:space="0" w:sz="4" w:val="single"/>
      </w:tblBorders>
    </w:tblPr>
    <w:tcPr>
      <w:noWrap/>
      <w:vAlign w:val="center"/>
    </w:tcPr>
    <w:tblStylePr w:type="firstRow">
      <w:rPr>
        <w:b/>
      </w:rPr>
      <w:tblPr/>
      <w:tcPr>
        <w:tcBorders>
          <w:bottom w:color="auto" w:space="0" w:sz="4" w:val="single"/>
        </w:tcBorders>
      </w:tcPr>
    </w:tblStylePr>
    <w:tblStylePr w:type="firstCol">
      <w:pPr>
        <w:wordWrap/>
        <w:spacing w:after="0" w:afterAutospacing="0" w:afterLines="0" w:before="0" w:beforeAutospacing="0" w:beforeLines="0" w:line="240" w:lineRule="auto"/>
        <w:ind w:firstLine="0" w:firstLineChars="0" w:left="0" w:leftChars="0" w:right="0" w:rightChars="0"/>
        <w:jc w:val="left"/>
        <w:textboxTightWrap w:val="allLines"/>
        <w:outlineLvl w:val="9"/>
      </w:pPr>
      <w:rPr>
        <w:b/>
      </w:rPr>
    </w:tblStylePr>
  </w:style>
  <w:style w:styleId="LineNumber" w:type="character">
    <w:name w:val="line number"/>
    <w:basedOn w:val="DefaultParagraphFont"/>
    <w:semiHidden/>
    <w:unhideWhenUsed/>
    <w:rsid w:val="00D34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3" Target="media/rId33.png" /><Relationship Type="http://schemas.openxmlformats.org/officeDocument/2006/relationships/image" Id="rId41" Target="media/rId41.png" /><Relationship Type="http://schemas.openxmlformats.org/officeDocument/2006/relationships/image" Id="rId37" Target="media/rId37.png" /><Relationship Type="http://schemas.openxmlformats.org/officeDocument/2006/relationships/image" Id="rId45" Target="media/rId45.png" /><Relationship Type="http://schemas.openxmlformats.org/officeDocument/2006/relationships/image" Id="rId49" Target="media/rId49.png" /><Relationship Type="http://schemas.openxmlformats.org/officeDocument/2006/relationships/image" Id="rId29" Target="media/rId29.png" /><Relationship Type="http://schemas.openxmlformats.org/officeDocument/2006/relationships/image" Id="rId57" Target="media/rId57.png" /><Relationship Type="http://schemas.openxmlformats.org/officeDocument/2006/relationships/image" Id="rId53" Target="media/rId53.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hyperlink" Id="rId164" Target="http://aem.asm.org/content/63/6/2206.abstract" TargetMode="External" /><Relationship Type="http://schemas.openxmlformats.org/officeDocument/2006/relationships/hyperlink" Id="rId170" Target="https://doi.org/10.1002/(sici)1522-7278(199902)14:1&lt;179::aid-tox23&gt;3.0.co;2-g" TargetMode="External" /><Relationship Type="http://schemas.openxmlformats.org/officeDocument/2006/relationships/hyperlink" Id="rId160" Target="https://doi.org/10.1002/cjce.5450770116" TargetMode="External" /><Relationship Type="http://schemas.openxmlformats.org/officeDocument/2006/relationships/hyperlink" Id="rId152" Target="https://doi.org/10.1002/iroh.19830680304" TargetMode="External" /><Relationship Type="http://schemas.openxmlformats.org/officeDocument/2006/relationships/hyperlink" Id="rId146" Target="https://doi.org/10.1002/iroh.199900024" TargetMode="External" /><Relationship Type="http://schemas.openxmlformats.org/officeDocument/2006/relationships/hyperlink" Id="rId116" Target="https://doi.org/10.1002/j.1537-2197.1955.tb11120.x" TargetMode="External" /><Relationship Type="http://schemas.openxmlformats.org/officeDocument/2006/relationships/hyperlink" Id="rId86" Target="https://doi.org/10.1007/978-1-4020-6158-5_24" TargetMode="External" /><Relationship Type="http://schemas.openxmlformats.org/officeDocument/2006/relationships/hyperlink" Id="rId182" Target="https://doi.org/10.1007/bf00008195" TargetMode="External" /><Relationship Type="http://schemas.openxmlformats.org/officeDocument/2006/relationships/hyperlink" Id="rId220" Target="https://doi.org/10.1007/bf00395897" TargetMode="External" /><Relationship Type="http://schemas.openxmlformats.org/officeDocument/2006/relationships/hyperlink" Id="rId162" Target="https://doi.org/10.1007/bf02184637" TargetMode="External" /><Relationship Type="http://schemas.openxmlformats.org/officeDocument/2006/relationships/hyperlink" Id="rId174" Target="https://doi.org/10.1007/bf02187039" TargetMode="External" /><Relationship Type="http://schemas.openxmlformats.org/officeDocument/2006/relationships/hyperlink" Id="rId122" Target="https://doi.org/10.1007/s00248-003-1041-8" TargetMode="External" /><Relationship Type="http://schemas.openxmlformats.org/officeDocument/2006/relationships/hyperlink" Id="rId134" Target="https://doi.org/10.1007/s00248-013-0232-1" TargetMode="External" /><Relationship Type="http://schemas.openxmlformats.org/officeDocument/2006/relationships/hyperlink" Id="rId200" Target="https://doi.org/10.1007/s00248-015-0719-z" TargetMode="External" /><Relationship Type="http://schemas.openxmlformats.org/officeDocument/2006/relationships/hyperlink" Id="rId198" Target="https://doi.org/10.1007/s003740100402" TargetMode="External" /><Relationship Type="http://schemas.openxmlformats.org/officeDocument/2006/relationships/hyperlink" Id="rId144" Target="https://doi.org/10.1007/s102010170015" TargetMode="External" /><Relationship Type="http://schemas.openxmlformats.org/officeDocument/2006/relationships/hyperlink" Id="rId104" Target="https://doi.org/10.1007/s10661-017-5838-1" TargetMode="External" /><Relationship Type="http://schemas.openxmlformats.org/officeDocument/2006/relationships/hyperlink" Id="rId178" Target="https://doi.org/10.1007/s10750-007-0794-3" TargetMode="External" /><Relationship Type="http://schemas.openxmlformats.org/officeDocument/2006/relationships/hyperlink" Id="rId226" Target="https://doi.org/10.1007/s10750-011-0815-0" TargetMode="External" /><Relationship Type="http://schemas.openxmlformats.org/officeDocument/2006/relationships/hyperlink" Id="rId196" Target="https://doi.org/10.1007/s10750-015-2390-2" TargetMode="External" /><Relationship Type="http://schemas.openxmlformats.org/officeDocument/2006/relationships/hyperlink" Id="rId214" Target="https://doi.org/10.1007/s10811-006-9143-6" TargetMode="External" /><Relationship Type="http://schemas.openxmlformats.org/officeDocument/2006/relationships/hyperlink" Id="rId232" Target="https://doi.org/10.1007/s10811-008-9363-z" TargetMode="External" /><Relationship Type="http://schemas.openxmlformats.org/officeDocument/2006/relationships/hyperlink" Id="rId142" Target="https://doi.org/10.1007/s10811-015-0688-0" TargetMode="External" /><Relationship Type="http://schemas.openxmlformats.org/officeDocument/2006/relationships/hyperlink" Id="rId188" Target="https://doi.org/10.1007/s10811-015-0754-7" TargetMode="External" /><Relationship Type="http://schemas.openxmlformats.org/officeDocument/2006/relationships/hyperlink" Id="rId234" Target="https://doi.org/10.1007/s10811-016-0864-x" TargetMode="External" /><Relationship Type="http://schemas.openxmlformats.org/officeDocument/2006/relationships/hyperlink" Id="rId180" Target="https://doi.org/10.1007/s11356-020-10429-4" TargetMode="External" /><Relationship Type="http://schemas.openxmlformats.org/officeDocument/2006/relationships/hyperlink" Id="rId118" Target="https://doi.org/10.1007/s12665-016-6313-y" TargetMode="External" /><Relationship Type="http://schemas.openxmlformats.org/officeDocument/2006/relationships/hyperlink" Id="rId212" Target="https://doi.org/10.1016/0043-1354(79)90235-5" TargetMode="External" /><Relationship Type="http://schemas.openxmlformats.org/officeDocument/2006/relationships/hyperlink" Id="rId156" Target="https://doi.org/10.1016/0043-1354(85)90203-9" TargetMode="External" /><Relationship Type="http://schemas.openxmlformats.org/officeDocument/2006/relationships/hyperlink" Id="rId192" Target="https://doi.org/10.1016/0043-1354(91)90083-3" TargetMode="External" /><Relationship Type="http://schemas.openxmlformats.org/officeDocument/2006/relationships/hyperlink" Id="rId208" Target="https://doi.org/10.1016/0273-1223(95)00473-Z" TargetMode="External" /><Relationship Type="http://schemas.openxmlformats.org/officeDocument/2006/relationships/hyperlink" Id="rId216" Target="https://doi.org/10.1016/j.bse.2014.12.013" TargetMode="External" /><Relationship Type="http://schemas.openxmlformats.org/officeDocument/2006/relationships/hyperlink" Id="rId102" Target="https://doi.org/10.1016/j.ecss.2019.01.029" TargetMode="External" /><Relationship Type="http://schemas.openxmlformats.org/officeDocument/2006/relationships/hyperlink" Id="rId190" Target="https://doi.org/10.1016/j.envres.2021.112308" TargetMode="External" /><Relationship Type="http://schemas.openxmlformats.org/officeDocument/2006/relationships/hyperlink" Id="rId230" Target="https://doi.org/10.1016/j.hal.2016.12.008" TargetMode="External" /><Relationship Type="http://schemas.openxmlformats.org/officeDocument/2006/relationships/hyperlink" Id="rId84" Target="https://doi.org/10.1016/j.hal.2017.09.006" TargetMode="External" /><Relationship Type="http://schemas.openxmlformats.org/officeDocument/2006/relationships/hyperlink" Id="rId110" Target="https://doi.org/10.1016/j.hal.2019.101658" TargetMode="External" /><Relationship Type="http://schemas.openxmlformats.org/officeDocument/2006/relationships/hyperlink" Id="rId228" Target="https://doi.org/10.1016/j.hal.2019.101732" TargetMode="External" /><Relationship Type="http://schemas.openxmlformats.org/officeDocument/2006/relationships/hyperlink" Id="rId172" Target="https://doi.org/10.1016/j.mimet.2016.02.002" TargetMode="External" /><Relationship Type="http://schemas.openxmlformats.org/officeDocument/2006/relationships/hyperlink" Id="rId224" Target="https://doi.org/10.1016/j.toxicon.2016.07.005" TargetMode="External" /><Relationship Type="http://schemas.openxmlformats.org/officeDocument/2006/relationships/hyperlink" Id="rId126" Target="https://doi.org/10.1016/j.watres.2012.06.008" TargetMode="External" /><Relationship Type="http://schemas.openxmlformats.org/officeDocument/2006/relationships/hyperlink" Id="rId128" Target="https://doi.org/10.1016/s0967-0645(98)00073-3" TargetMode="External" /><Relationship Type="http://schemas.openxmlformats.org/officeDocument/2006/relationships/hyperlink" Id="rId88" Target="https://doi.org/10.1046/j.1529-8817.2000.98219.x" TargetMode="External" /><Relationship Type="http://schemas.openxmlformats.org/officeDocument/2006/relationships/hyperlink" Id="rId210" Target="https://doi.org/10.10520/EJC116052" TargetMode="External" /><Relationship Type="http://schemas.openxmlformats.org/officeDocument/2006/relationships/hyperlink" Id="rId92" Target="https://doi.org/10.1080/00071617600650181" TargetMode="External" /><Relationship Type="http://schemas.openxmlformats.org/officeDocument/2006/relationships/hyperlink" Id="rId166" Target="https://doi.org/10.1080/02757540903193130" TargetMode="External" /><Relationship Type="http://schemas.openxmlformats.org/officeDocument/2006/relationships/hyperlink" Id="rId94" Target="https://doi.org/10.1080/09593339409385455" TargetMode="External" /><Relationship Type="http://schemas.openxmlformats.org/officeDocument/2006/relationships/hyperlink" Id="rId140" Target="https://doi.org/10.1093/pcp/41.6.767" TargetMode="External" /><Relationship Type="http://schemas.openxmlformats.org/officeDocument/2006/relationships/hyperlink" Id="rId148" Target="https://doi.org/10.1093/plankt/20.1.105" TargetMode="External" /><Relationship Type="http://schemas.openxmlformats.org/officeDocument/2006/relationships/hyperlink" Id="rId132" Target="https://doi.org/10.1093/plankt/24.11.1173" TargetMode="External" /><Relationship Type="http://schemas.openxmlformats.org/officeDocument/2006/relationships/hyperlink" Id="rId206" Target="https://doi.org/10.1093/plankt/25.9.1059" TargetMode="External" /><Relationship Type="http://schemas.openxmlformats.org/officeDocument/2006/relationships/hyperlink" Id="rId154" Target="https://doi.org/10.1093/plankt/fbm099" TargetMode="External" /><Relationship Type="http://schemas.openxmlformats.org/officeDocument/2006/relationships/hyperlink" Id="rId108" Target="https://doi.org/10.1093/plankt/fbn110" TargetMode="External" /><Relationship Type="http://schemas.openxmlformats.org/officeDocument/2006/relationships/hyperlink" Id="rId136" Target="https://doi.org/10.1093/plankt/fbq033" TargetMode="External" /><Relationship Type="http://schemas.openxmlformats.org/officeDocument/2006/relationships/hyperlink" Id="rId184" Target="https://doi.org/10.1093/plankt/fbq042" TargetMode="External" /><Relationship Type="http://schemas.openxmlformats.org/officeDocument/2006/relationships/hyperlink" Id="rId138" Target="https://doi.org/10.1093/plankt/fbs056" TargetMode="External" /><Relationship Type="http://schemas.openxmlformats.org/officeDocument/2006/relationships/hyperlink" Id="rId74" Target="https://doi.org/10.1111/1574-6941.12025" TargetMode="External" /><Relationship Type="http://schemas.openxmlformats.org/officeDocument/2006/relationships/hyperlink" Id="rId112" Target="https://doi.org/10.1111/j.0022-3646.1996.00501.x" TargetMode="External" /><Relationship Type="http://schemas.openxmlformats.org/officeDocument/2006/relationships/hyperlink" Id="rId194" Target="https://doi.org/10.1111/j.0022-3646.1997.00171.x" TargetMode="External" /><Relationship Type="http://schemas.openxmlformats.org/officeDocument/2006/relationships/hyperlink" Id="rId130" Target="https://doi.org/10.1111/j.1365-2427.2012.02866.x" TargetMode="External" /><Relationship Type="http://schemas.openxmlformats.org/officeDocument/2006/relationships/hyperlink" Id="rId204" Target="https://doi.org/10.1111/j.1440-1835.2001.tb00257.x" TargetMode="External" /><Relationship Type="http://schemas.openxmlformats.org/officeDocument/2006/relationships/hyperlink" Id="rId82" Target="https://doi.org/10.1111/j.1529-8817.2004.03118.x" TargetMode="External" /><Relationship Type="http://schemas.openxmlformats.org/officeDocument/2006/relationships/hyperlink" Id="rId106" Target="https://doi.org/10.1111/j.1574-6941.2001.tb00851.x" TargetMode="External" /><Relationship Type="http://schemas.openxmlformats.org/officeDocument/2006/relationships/hyperlink" Id="rId76" Target="https://doi.org/10.1111/j.1574-6941.2011.01242.x" TargetMode="External" /><Relationship Type="http://schemas.openxmlformats.org/officeDocument/2006/relationships/hyperlink" Id="rId98" Target="https://doi.org/10.1111/rec.13048" TargetMode="External" /><Relationship Type="http://schemas.openxmlformats.org/officeDocument/2006/relationships/hyperlink" Id="rId114" Target="https://doi.org/10.1128/aem.36.4.572-576.1978" TargetMode="External" /><Relationship Type="http://schemas.openxmlformats.org/officeDocument/2006/relationships/hyperlink" Id="rId218" Target="https://doi.org/10.1128/aem.49.5.1342-1344.1985" TargetMode="External" /><Relationship Type="http://schemas.openxmlformats.org/officeDocument/2006/relationships/hyperlink" Id="rId120" Target="https://doi.org/10.1128/aem.63.5.1647-1656.1997" TargetMode="External" /><Relationship Type="http://schemas.openxmlformats.org/officeDocument/2006/relationships/hyperlink" Id="rId222" Target="https://doi.org/10.1128/aem.69.3.1475-1481.2003" TargetMode="External" /><Relationship Type="http://schemas.openxmlformats.org/officeDocument/2006/relationships/hyperlink" Id="rId80" Target="https://doi.org/10.1371/journal.pone.0029981" TargetMode="External" /><Relationship Type="http://schemas.openxmlformats.org/officeDocument/2006/relationships/hyperlink" Id="rId186" Target="https://doi.org/10.2216/06-04.1" TargetMode="External" /><Relationship Type="http://schemas.openxmlformats.org/officeDocument/2006/relationships/hyperlink" Id="rId168" Target="https://doi.org/10.2216/i0031-8884-39-4-349.1" TargetMode="External" /><Relationship Type="http://schemas.openxmlformats.org/officeDocument/2006/relationships/hyperlink" Id="rId100" Target="https://doi.org/10.3354/ame01279" TargetMode="External" /><Relationship Type="http://schemas.openxmlformats.org/officeDocument/2006/relationships/hyperlink" Id="rId72" Target="https://doi.org/10.3354/meps206097" TargetMode="External" /><Relationship Type="http://schemas.openxmlformats.org/officeDocument/2006/relationships/hyperlink" Id="rId90" Target="https://doi.org/10.3354/meps281027" TargetMode="External" /><Relationship Type="http://schemas.openxmlformats.org/officeDocument/2006/relationships/hyperlink" Id="rId96" Target="https://doi.org/10.3390/su10113936" TargetMode="External" /><Relationship Type="http://schemas.openxmlformats.org/officeDocument/2006/relationships/hyperlink" Id="rId202" Target="https://doi.org/10.3390/w13192686" TargetMode="External" /><Relationship Type="http://schemas.openxmlformats.org/officeDocument/2006/relationships/hyperlink" Id="rId158" Target="https://doi.org/10.3739/rikusui.52.255" TargetMode="External" /><Relationship Type="http://schemas.openxmlformats.org/officeDocument/2006/relationships/hyperlink" Id="rId176" Target="https://doi.org/10.4319/lo.2012.57.2.0541" TargetMode="External" /><Relationship Type="http://schemas.openxmlformats.org/officeDocument/2006/relationships/hyperlink" Id="rId124" Target="https://doi.org/10.5268/IW-4.4.710" TargetMode="External" /><Relationship Type="http://schemas.openxmlformats.org/officeDocument/2006/relationships/hyperlink" Id="rId78" Target="https://doi.org/10.7202/705437ar" TargetMode="External" /><Relationship Type="http://schemas.openxmlformats.org/officeDocument/2006/relationships/hyperlink" Id="rId150" Target="https://www.schweizerbart.de/papers/archiv_algolstud/detail/63/66818/The_interaction_of_irradiance_and_temperature_on_the_growth_rate_of_Limnothrix_redekei_and_its_mathematical_description" TargetMode="External" /><Relationship Type="http://schemas.openxmlformats.org/officeDocument/2006/relationships/hyperlink" Id="rId20" Target="mailto:yangmin@rcees.ac.cn" TargetMode="External" /></Relationships>
</file>

<file path=word/_rels/footnotes.xml.rels><?xml version="1.0" encoding="UTF-8"?><Relationships xmlns="http://schemas.openxmlformats.org/package/2006/relationships"><Relationship Type="http://schemas.openxmlformats.org/officeDocument/2006/relationships/hyperlink" Id="rId164" Target="http://aem.asm.org/content/63/6/2206.abstract" TargetMode="External" /><Relationship Type="http://schemas.openxmlformats.org/officeDocument/2006/relationships/hyperlink" Id="rId170" Target="https://doi.org/10.1002/(sici)1522-7278(199902)14:1&lt;179::aid-tox23&gt;3.0.co;2-g" TargetMode="External" /><Relationship Type="http://schemas.openxmlformats.org/officeDocument/2006/relationships/hyperlink" Id="rId160" Target="https://doi.org/10.1002/cjce.5450770116" TargetMode="External" /><Relationship Type="http://schemas.openxmlformats.org/officeDocument/2006/relationships/hyperlink" Id="rId152" Target="https://doi.org/10.1002/iroh.19830680304" TargetMode="External" /><Relationship Type="http://schemas.openxmlformats.org/officeDocument/2006/relationships/hyperlink" Id="rId146" Target="https://doi.org/10.1002/iroh.199900024" TargetMode="External" /><Relationship Type="http://schemas.openxmlformats.org/officeDocument/2006/relationships/hyperlink" Id="rId116" Target="https://doi.org/10.1002/j.1537-2197.1955.tb11120.x" TargetMode="External" /><Relationship Type="http://schemas.openxmlformats.org/officeDocument/2006/relationships/hyperlink" Id="rId86" Target="https://doi.org/10.1007/978-1-4020-6158-5_24" TargetMode="External" /><Relationship Type="http://schemas.openxmlformats.org/officeDocument/2006/relationships/hyperlink" Id="rId182" Target="https://doi.org/10.1007/bf00008195" TargetMode="External" /><Relationship Type="http://schemas.openxmlformats.org/officeDocument/2006/relationships/hyperlink" Id="rId220" Target="https://doi.org/10.1007/bf00395897" TargetMode="External" /><Relationship Type="http://schemas.openxmlformats.org/officeDocument/2006/relationships/hyperlink" Id="rId162" Target="https://doi.org/10.1007/bf02184637" TargetMode="External" /><Relationship Type="http://schemas.openxmlformats.org/officeDocument/2006/relationships/hyperlink" Id="rId174" Target="https://doi.org/10.1007/bf02187039" TargetMode="External" /><Relationship Type="http://schemas.openxmlformats.org/officeDocument/2006/relationships/hyperlink" Id="rId122" Target="https://doi.org/10.1007/s00248-003-1041-8" TargetMode="External" /><Relationship Type="http://schemas.openxmlformats.org/officeDocument/2006/relationships/hyperlink" Id="rId134" Target="https://doi.org/10.1007/s00248-013-0232-1" TargetMode="External" /><Relationship Type="http://schemas.openxmlformats.org/officeDocument/2006/relationships/hyperlink" Id="rId200" Target="https://doi.org/10.1007/s00248-015-0719-z" TargetMode="External" /><Relationship Type="http://schemas.openxmlformats.org/officeDocument/2006/relationships/hyperlink" Id="rId198" Target="https://doi.org/10.1007/s003740100402" TargetMode="External" /><Relationship Type="http://schemas.openxmlformats.org/officeDocument/2006/relationships/hyperlink" Id="rId144" Target="https://doi.org/10.1007/s102010170015" TargetMode="External" /><Relationship Type="http://schemas.openxmlformats.org/officeDocument/2006/relationships/hyperlink" Id="rId104" Target="https://doi.org/10.1007/s10661-017-5838-1" TargetMode="External" /><Relationship Type="http://schemas.openxmlformats.org/officeDocument/2006/relationships/hyperlink" Id="rId178" Target="https://doi.org/10.1007/s10750-007-0794-3" TargetMode="External" /><Relationship Type="http://schemas.openxmlformats.org/officeDocument/2006/relationships/hyperlink" Id="rId226" Target="https://doi.org/10.1007/s10750-011-0815-0" TargetMode="External" /><Relationship Type="http://schemas.openxmlformats.org/officeDocument/2006/relationships/hyperlink" Id="rId196" Target="https://doi.org/10.1007/s10750-015-2390-2" TargetMode="External" /><Relationship Type="http://schemas.openxmlformats.org/officeDocument/2006/relationships/hyperlink" Id="rId214" Target="https://doi.org/10.1007/s10811-006-9143-6" TargetMode="External" /><Relationship Type="http://schemas.openxmlformats.org/officeDocument/2006/relationships/hyperlink" Id="rId232" Target="https://doi.org/10.1007/s10811-008-9363-z" TargetMode="External" /><Relationship Type="http://schemas.openxmlformats.org/officeDocument/2006/relationships/hyperlink" Id="rId142" Target="https://doi.org/10.1007/s10811-015-0688-0" TargetMode="External" /><Relationship Type="http://schemas.openxmlformats.org/officeDocument/2006/relationships/hyperlink" Id="rId188" Target="https://doi.org/10.1007/s10811-015-0754-7" TargetMode="External" /><Relationship Type="http://schemas.openxmlformats.org/officeDocument/2006/relationships/hyperlink" Id="rId234" Target="https://doi.org/10.1007/s10811-016-0864-x" TargetMode="External" /><Relationship Type="http://schemas.openxmlformats.org/officeDocument/2006/relationships/hyperlink" Id="rId180" Target="https://doi.org/10.1007/s11356-020-10429-4" TargetMode="External" /><Relationship Type="http://schemas.openxmlformats.org/officeDocument/2006/relationships/hyperlink" Id="rId118" Target="https://doi.org/10.1007/s12665-016-6313-y" TargetMode="External" /><Relationship Type="http://schemas.openxmlformats.org/officeDocument/2006/relationships/hyperlink" Id="rId212" Target="https://doi.org/10.1016/0043-1354(79)90235-5" TargetMode="External" /><Relationship Type="http://schemas.openxmlformats.org/officeDocument/2006/relationships/hyperlink" Id="rId156" Target="https://doi.org/10.1016/0043-1354(85)90203-9" TargetMode="External" /><Relationship Type="http://schemas.openxmlformats.org/officeDocument/2006/relationships/hyperlink" Id="rId192" Target="https://doi.org/10.1016/0043-1354(91)90083-3" TargetMode="External" /><Relationship Type="http://schemas.openxmlformats.org/officeDocument/2006/relationships/hyperlink" Id="rId208" Target="https://doi.org/10.1016/0273-1223(95)00473-Z" TargetMode="External" /><Relationship Type="http://schemas.openxmlformats.org/officeDocument/2006/relationships/hyperlink" Id="rId216" Target="https://doi.org/10.1016/j.bse.2014.12.013" TargetMode="External" /><Relationship Type="http://schemas.openxmlformats.org/officeDocument/2006/relationships/hyperlink" Id="rId102" Target="https://doi.org/10.1016/j.ecss.2019.01.029" TargetMode="External" /><Relationship Type="http://schemas.openxmlformats.org/officeDocument/2006/relationships/hyperlink" Id="rId190" Target="https://doi.org/10.1016/j.envres.2021.112308" TargetMode="External" /><Relationship Type="http://schemas.openxmlformats.org/officeDocument/2006/relationships/hyperlink" Id="rId230" Target="https://doi.org/10.1016/j.hal.2016.12.008" TargetMode="External" /><Relationship Type="http://schemas.openxmlformats.org/officeDocument/2006/relationships/hyperlink" Id="rId84" Target="https://doi.org/10.1016/j.hal.2017.09.006" TargetMode="External" /><Relationship Type="http://schemas.openxmlformats.org/officeDocument/2006/relationships/hyperlink" Id="rId110" Target="https://doi.org/10.1016/j.hal.2019.101658" TargetMode="External" /><Relationship Type="http://schemas.openxmlformats.org/officeDocument/2006/relationships/hyperlink" Id="rId228" Target="https://doi.org/10.1016/j.hal.2019.101732" TargetMode="External" /><Relationship Type="http://schemas.openxmlformats.org/officeDocument/2006/relationships/hyperlink" Id="rId172" Target="https://doi.org/10.1016/j.mimet.2016.02.002" TargetMode="External" /><Relationship Type="http://schemas.openxmlformats.org/officeDocument/2006/relationships/hyperlink" Id="rId224" Target="https://doi.org/10.1016/j.toxicon.2016.07.005" TargetMode="External" /><Relationship Type="http://schemas.openxmlformats.org/officeDocument/2006/relationships/hyperlink" Id="rId126" Target="https://doi.org/10.1016/j.watres.2012.06.008" TargetMode="External" /><Relationship Type="http://schemas.openxmlformats.org/officeDocument/2006/relationships/hyperlink" Id="rId128" Target="https://doi.org/10.1016/s0967-0645(98)00073-3" TargetMode="External" /><Relationship Type="http://schemas.openxmlformats.org/officeDocument/2006/relationships/hyperlink" Id="rId88" Target="https://doi.org/10.1046/j.1529-8817.2000.98219.x" TargetMode="External" /><Relationship Type="http://schemas.openxmlformats.org/officeDocument/2006/relationships/hyperlink" Id="rId210" Target="https://doi.org/10.10520/EJC116052" TargetMode="External" /><Relationship Type="http://schemas.openxmlformats.org/officeDocument/2006/relationships/hyperlink" Id="rId92" Target="https://doi.org/10.1080/00071617600650181" TargetMode="External" /><Relationship Type="http://schemas.openxmlformats.org/officeDocument/2006/relationships/hyperlink" Id="rId166" Target="https://doi.org/10.1080/02757540903193130" TargetMode="External" /><Relationship Type="http://schemas.openxmlformats.org/officeDocument/2006/relationships/hyperlink" Id="rId94" Target="https://doi.org/10.1080/09593339409385455" TargetMode="External" /><Relationship Type="http://schemas.openxmlformats.org/officeDocument/2006/relationships/hyperlink" Id="rId140" Target="https://doi.org/10.1093/pcp/41.6.767" TargetMode="External" /><Relationship Type="http://schemas.openxmlformats.org/officeDocument/2006/relationships/hyperlink" Id="rId148" Target="https://doi.org/10.1093/plankt/20.1.105" TargetMode="External" /><Relationship Type="http://schemas.openxmlformats.org/officeDocument/2006/relationships/hyperlink" Id="rId132" Target="https://doi.org/10.1093/plankt/24.11.1173" TargetMode="External" /><Relationship Type="http://schemas.openxmlformats.org/officeDocument/2006/relationships/hyperlink" Id="rId206" Target="https://doi.org/10.1093/plankt/25.9.1059" TargetMode="External" /><Relationship Type="http://schemas.openxmlformats.org/officeDocument/2006/relationships/hyperlink" Id="rId154" Target="https://doi.org/10.1093/plankt/fbm099" TargetMode="External" /><Relationship Type="http://schemas.openxmlformats.org/officeDocument/2006/relationships/hyperlink" Id="rId108" Target="https://doi.org/10.1093/plankt/fbn110" TargetMode="External" /><Relationship Type="http://schemas.openxmlformats.org/officeDocument/2006/relationships/hyperlink" Id="rId136" Target="https://doi.org/10.1093/plankt/fbq033" TargetMode="External" /><Relationship Type="http://schemas.openxmlformats.org/officeDocument/2006/relationships/hyperlink" Id="rId184" Target="https://doi.org/10.1093/plankt/fbq042" TargetMode="External" /><Relationship Type="http://schemas.openxmlformats.org/officeDocument/2006/relationships/hyperlink" Id="rId138" Target="https://doi.org/10.1093/plankt/fbs056" TargetMode="External" /><Relationship Type="http://schemas.openxmlformats.org/officeDocument/2006/relationships/hyperlink" Id="rId74" Target="https://doi.org/10.1111/1574-6941.12025" TargetMode="External" /><Relationship Type="http://schemas.openxmlformats.org/officeDocument/2006/relationships/hyperlink" Id="rId112" Target="https://doi.org/10.1111/j.0022-3646.1996.00501.x" TargetMode="External" /><Relationship Type="http://schemas.openxmlformats.org/officeDocument/2006/relationships/hyperlink" Id="rId194" Target="https://doi.org/10.1111/j.0022-3646.1997.00171.x" TargetMode="External" /><Relationship Type="http://schemas.openxmlformats.org/officeDocument/2006/relationships/hyperlink" Id="rId130" Target="https://doi.org/10.1111/j.1365-2427.2012.02866.x" TargetMode="External" /><Relationship Type="http://schemas.openxmlformats.org/officeDocument/2006/relationships/hyperlink" Id="rId204" Target="https://doi.org/10.1111/j.1440-1835.2001.tb00257.x" TargetMode="External" /><Relationship Type="http://schemas.openxmlformats.org/officeDocument/2006/relationships/hyperlink" Id="rId82" Target="https://doi.org/10.1111/j.1529-8817.2004.03118.x" TargetMode="External" /><Relationship Type="http://schemas.openxmlformats.org/officeDocument/2006/relationships/hyperlink" Id="rId106" Target="https://doi.org/10.1111/j.1574-6941.2001.tb00851.x" TargetMode="External" /><Relationship Type="http://schemas.openxmlformats.org/officeDocument/2006/relationships/hyperlink" Id="rId76" Target="https://doi.org/10.1111/j.1574-6941.2011.01242.x" TargetMode="External" /><Relationship Type="http://schemas.openxmlformats.org/officeDocument/2006/relationships/hyperlink" Id="rId98" Target="https://doi.org/10.1111/rec.13048" TargetMode="External" /><Relationship Type="http://schemas.openxmlformats.org/officeDocument/2006/relationships/hyperlink" Id="rId114" Target="https://doi.org/10.1128/aem.36.4.572-576.1978" TargetMode="External" /><Relationship Type="http://schemas.openxmlformats.org/officeDocument/2006/relationships/hyperlink" Id="rId218" Target="https://doi.org/10.1128/aem.49.5.1342-1344.1985" TargetMode="External" /><Relationship Type="http://schemas.openxmlformats.org/officeDocument/2006/relationships/hyperlink" Id="rId120" Target="https://doi.org/10.1128/aem.63.5.1647-1656.1997" TargetMode="External" /><Relationship Type="http://schemas.openxmlformats.org/officeDocument/2006/relationships/hyperlink" Id="rId222" Target="https://doi.org/10.1128/aem.69.3.1475-1481.2003" TargetMode="External" /><Relationship Type="http://schemas.openxmlformats.org/officeDocument/2006/relationships/hyperlink" Id="rId80" Target="https://doi.org/10.1371/journal.pone.0029981" TargetMode="External" /><Relationship Type="http://schemas.openxmlformats.org/officeDocument/2006/relationships/hyperlink" Id="rId186" Target="https://doi.org/10.2216/06-04.1" TargetMode="External" /><Relationship Type="http://schemas.openxmlformats.org/officeDocument/2006/relationships/hyperlink" Id="rId168" Target="https://doi.org/10.2216/i0031-8884-39-4-349.1" TargetMode="External" /><Relationship Type="http://schemas.openxmlformats.org/officeDocument/2006/relationships/hyperlink" Id="rId100" Target="https://doi.org/10.3354/ame01279" TargetMode="External" /><Relationship Type="http://schemas.openxmlformats.org/officeDocument/2006/relationships/hyperlink" Id="rId72" Target="https://doi.org/10.3354/meps206097" TargetMode="External" /><Relationship Type="http://schemas.openxmlformats.org/officeDocument/2006/relationships/hyperlink" Id="rId90" Target="https://doi.org/10.3354/meps281027" TargetMode="External" /><Relationship Type="http://schemas.openxmlformats.org/officeDocument/2006/relationships/hyperlink" Id="rId96" Target="https://doi.org/10.3390/su10113936" TargetMode="External" /><Relationship Type="http://schemas.openxmlformats.org/officeDocument/2006/relationships/hyperlink" Id="rId202" Target="https://doi.org/10.3390/w13192686" TargetMode="External" /><Relationship Type="http://schemas.openxmlformats.org/officeDocument/2006/relationships/hyperlink" Id="rId158" Target="https://doi.org/10.3739/rikusui.52.255" TargetMode="External" /><Relationship Type="http://schemas.openxmlformats.org/officeDocument/2006/relationships/hyperlink" Id="rId176" Target="https://doi.org/10.4319/lo.2012.57.2.0541" TargetMode="External" /><Relationship Type="http://schemas.openxmlformats.org/officeDocument/2006/relationships/hyperlink" Id="rId124" Target="https://doi.org/10.5268/IW-4.4.710" TargetMode="External" /><Relationship Type="http://schemas.openxmlformats.org/officeDocument/2006/relationships/hyperlink" Id="rId78" Target="https://doi.org/10.7202/705437ar" TargetMode="External" /><Relationship Type="http://schemas.openxmlformats.org/officeDocument/2006/relationships/hyperlink" Id="rId150" Target="https://www.schweizerbart.de/papers/archiv_algolstud/detail/63/66818/The_interaction_of_irradiance_and_temperature_on_the_growth_rate_of_Limnothrix_redekei_and_its_mathematical_description" TargetMode="External" /><Relationship Type="http://schemas.openxmlformats.org/officeDocument/2006/relationships/hyperlink" Id="rId20" Target="mailto:yangmin@rcees.ac.c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Strategy for identification of MIB producers using routine data: a case study of an estuary drinking water reservoir</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MIB-derived odor management based upon hydraulic regulation in small drinking water reservoirs: principle and application</dc:title>
  <dc:creator/>
  <dc:language>en</dc:language>
  <cp:keywords/>
  <dcterms:created xsi:type="dcterms:W3CDTF">2024-12-18T17:09:05Z</dcterms:created>
  <dcterms:modified xsi:type="dcterms:W3CDTF">2024-12-18T17:09:05Z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quarto-vars">
    <vt:lpwstr/>
  </property>
  <property fmtid="{D5CDD505-2E9C-101B-9397-08002B2CF9AE}" pid="3" name="biblio-config">
    <vt:lpwstr>True</vt:lpwstr>
  </property>
  <property fmtid="{D5CDD505-2E9C-101B-9397-08002B2CF9AE}" pid="4" name="bibliography">
    <vt:lpwstr/>
  </property>
  <property fmtid="{D5CDD505-2E9C-101B-9397-08002B2CF9AE}" pid="5" name="commands">
    <vt:lpwstr/>
  </property>
  <property fmtid="{D5CDD505-2E9C-101B-9397-08002B2CF9AE}" pid="6" name="comments">
    <vt:lpwstr/>
  </property>
  <property fmtid="{D5CDD505-2E9C-101B-9397-08002B2CF9AE}" pid="7" name="crossref">
    <vt:lpwstr/>
  </property>
  <property fmtid="{D5CDD505-2E9C-101B-9397-08002B2CF9AE}" pid="8" name="csl">
    <vt:lpwstr>_extensions/inst/tex/elsevier-harvard.csl</vt:lpwstr>
  </property>
  <property fmtid="{D5CDD505-2E9C-101B-9397-08002B2CF9AE}" pid="9" name="date">
    <vt:lpwstr>2024-12-19</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ghtbox">
    <vt:lpwstr>auto</vt:lpwstr>
  </property>
  <property fmtid="{D5CDD505-2E9C-101B-9397-08002B2CF9AE}" pid="15" name="msname">
    <vt:lpwstr>MS</vt:lpwstr>
  </property>
  <property fmtid="{D5CDD505-2E9C-101B-9397-08002B2CF9AE}" pid="16" name="smname">
    <vt:lpwstr>SM</vt:lpwstr>
  </property>
  <property fmtid="{D5CDD505-2E9C-101B-9397-08002B2CF9AE}" pid="17" name="submitid">
    <vt:lpwstr>WR76881</vt:lpwstr>
  </property>
  <property fmtid="{D5CDD505-2E9C-101B-9397-08002B2CF9AE}" pid="18" name="submitjournal">
    <vt:lpwstr>Water Research</vt:lpwstr>
  </property>
  <property fmtid="{D5CDD505-2E9C-101B-9397-08002B2CF9AE}" pid="19" name="toc-title">
    <vt:lpwstr>Table of contents</vt:lpwstr>
  </property>
</Properties>
</file>