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Establishment of quantitative PCR methods for the quantification of geosmin-producing potential and Anabaena sp. in freshwater systems</w:t>
      </w:r>
    </w:p>
    <w:p>
      <w:pPr>
        <w:pStyle w:val="Subtitle"/>
      </w:pPr>
      <w:r>
        <w:t xml:space="preserve">Highlights</w:t>
      </w:r>
    </w:p>
    <w:p>
      <w:pPr>
        <w:pStyle w:val="Author"/>
      </w:pPr>
      <w:r>
        <w:t xml:space="preserve">Ming Su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</w:t>
      </w:r>
      <w:r>
        <w:t xml:space="preserve">, Virginie Gaget</w:t>
      </w:r>
      <w:r>
        <w:rPr>
          <w:vertAlign w:val="superscript"/>
        </w:rPr>
        <w:t xml:space="preserve">c,d</w:t>
      </w:r>
      <w:r>
        <w:t xml:space="preserve">, Steven Giglio</w:t>
      </w:r>
      <w:r>
        <w:rPr>
          <w:vertAlign w:val="superscript"/>
        </w:rPr>
        <w:t xml:space="preserve">c,e</w:t>
      </w:r>
      <w:r>
        <w:t xml:space="preserve">, Michael Burch</w:t>
      </w:r>
      <w:r>
        <w:rPr>
          <w:vertAlign w:val="superscript"/>
        </w:rPr>
        <w:t xml:space="preserve">c</w:t>
      </w:r>
      <w:r>
        <w:t xml:space="preserve">, Wei An</w:t>
      </w:r>
      <w:r>
        <w:rPr>
          <w:vertAlign w:val="superscript"/>
        </w:rPr>
        <w:t xml:space="preserve">a</w:t>
      </w:r>
      <w:r>
        <w:t xml:space="preserve">, and Min Yang</w:t>
      </w:r>
      <w:r>
        <w:rPr>
          <w:vertAlign w:val="superscript"/>
        </w:rPr>
        <w:t xml:space="preserve">a,b,*</w:t>
      </w:r>
    </w:p>
    <w:p>
      <w:pPr>
        <w:pStyle w:val="FirstParagraph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  <w:r>
        <w:br/>
      </w:r>
      <w:r>
        <w:rPr>
          <w:vertAlign w:val="superscript"/>
        </w:rPr>
        <w:t xml:space="preserve">c</w:t>
      </w:r>
      <w:r>
        <w:t xml:space="preserve"> </w:t>
      </w:r>
      <w:r>
        <w:t xml:space="preserve">South Australia Water Corporation, Australian Water Quality Centre, Adelaide, SA 5000, Australia.</w:t>
      </w:r>
      <w:r>
        <w:br/>
      </w:r>
      <w:r>
        <w:rPr>
          <w:vertAlign w:val="superscript"/>
        </w:rPr>
        <w:t xml:space="preserve">d</w:t>
      </w:r>
      <w:r>
        <w:t xml:space="preserve"> </w:t>
      </w:r>
      <w:r>
        <w:t xml:space="preserve">Ecology, Evolution and Landscape Sciences, School of Earth and Environment Sciences, Adelaide University, Adelaide nil, Australia.</w:t>
      </w:r>
      <w:r>
        <w:br/>
      </w:r>
      <w:r>
        <w:rPr>
          <w:vertAlign w:val="superscript"/>
        </w:rPr>
        <w:t xml:space="preserve">e</w:t>
      </w:r>
      <w:r>
        <w:t xml:space="preserve"> </w:t>
      </w:r>
      <w:r>
        <w:t xml:space="preserve">Healthscope Pathology SA, Adelaide, SA 5034, Australia.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Min Yang (yangmin@rcees.ac.cn)</w:t>
        </w:r>
      </w:hyperlink>
    </w:p>
    <w:bookmarkStart w:id="22" w:name="section"/>
    <w:p>
      <w:pPr>
        <w:pStyle w:val="Heading1"/>
      </w:pPr>
    </w:p>
    <w:p>
      <w:pPr>
        <w:pStyle w:val="Compact"/>
        <w:numPr>
          <w:ilvl w:val="0"/>
          <w:numId w:val="1001"/>
        </w:numPr>
      </w:pPr>
      <w:r>
        <w:t xml:space="preserve">Two qPCR assays were established to quantify</w:t>
      </w:r>
      <w:r>
        <w:t xml:space="preserve"> </w:t>
      </w:r>
      <w:r>
        <w:rPr>
          <w:i/>
          <w:iCs/>
        </w:rPr>
        <w:t xml:space="preserve">Anabaena</w:t>
      </w:r>
      <w:r>
        <w:t xml:space="preserve"> </w:t>
      </w:r>
      <w:r>
        <w:t xml:space="preserve">abundance and geosmin-producing potential.</w:t>
      </w:r>
    </w:p>
    <w:p>
      <w:pPr>
        <w:pStyle w:val="Compact"/>
        <w:numPr>
          <w:ilvl w:val="0"/>
          <w:numId w:val="1001"/>
        </w:numPr>
      </w:pPr>
      <w:r>
        <w:t xml:space="preserve">ARG copy number correlated with microscopic</w:t>
      </w:r>
      <w:r>
        <w:t xml:space="preserve"> </w:t>
      </w:r>
      <w:r>
        <w:rPr>
          <w:i/>
          <w:iCs/>
        </w:rPr>
        <w:t xml:space="preserve">Anabaena</w:t>
      </w:r>
      <w:r>
        <w:t xml:space="preserve"> </w:t>
      </w:r>
      <w:r>
        <w:t xml:space="preserve">counts across culture and field samples.</w:t>
      </w:r>
    </w:p>
    <w:p>
      <w:pPr>
        <w:pStyle w:val="Compact"/>
        <w:numPr>
          <w:ilvl w:val="0"/>
          <w:numId w:val="1001"/>
        </w:numPr>
      </w:pPr>
      <w:r>
        <w:t xml:space="preserve">GSG copy number correlated with intracellular geosmin measured by GC-MS.</w:t>
      </w:r>
    </w:p>
    <w:p>
      <w:pPr>
        <w:pStyle w:val="Compact"/>
        <w:numPr>
          <w:ilvl w:val="0"/>
          <w:numId w:val="1001"/>
        </w:numPr>
      </w:pPr>
      <w:r>
        <w:t xml:space="preserve">The assays reduced time to results from several days to a few hours in the historical workflow.</w:t>
      </w:r>
    </w:p>
    <w:bookmarkEnd w:id="22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orcid.org/0000000198211268" TargetMode="External" /><Relationship Type="http://schemas.openxmlformats.org/officeDocument/2006/relationships/hyperlink" Id="rId21" Target="mailto:yangmin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198211268" TargetMode="External" /><Relationship Type="http://schemas.openxmlformats.org/officeDocument/2006/relationships/hyperlink" Id="rId21" Target="mailto:yangmin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Establishment of quantitative PCR methods for the quantification of geosmin-producing potential and Anabaena sp. in freshwater systems</dc:title>
  <dc:creator>Ming Su ID,a,b,#, Virginie Gagetc,d, Steven Giglioc,e, Michael Burchc, Wei Ana, and Min Yanga,b,*</dc:creator>
  <dc:language>en</dc:language>
  <cp:keywords/>
  <dcterms:created xsi:type="dcterms:W3CDTF">2026-09-04T14:15:05Z</dcterms:created>
  <dcterms:modified xsi:type="dcterms:W3CDTF">2026-09-04T14:15:05Z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mmands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../_extensions/drwater/dwinst/elsevier-harvard.csl</vt:lpwstr>
  </property>
  <property fmtid="{D5CDD505-2E9C-101B-9397-08002B2CF9AE}" pid="13" name="header-includes">
    <vt:lpwstr/>
  </property>
  <property fmtid="{D5CDD505-2E9C-101B-9397-08002B2CF9AE}" pid="14" name="include-after">
    <vt:lpwstr/>
  </property>
  <property fmtid="{D5CDD505-2E9C-101B-9397-08002B2CF9AE}" pid="15" name="include-before">
    <vt:lpwstr/>
  </property>
  <property fmtid="{D5CDD505-2E9C-101B-9397-08002B2CF9AE}" pid="16" name="knitr">
    <vt:lpwstr/>
  </property>
  <property fmtid="{D5CDD505-2E9C-101B-9397-08002B2CF9AE}" pid="17" name="labels">
    <vt:lpwstr/>
  </property>
  <property fmtid="{D5CDD505-2E9C-101B-9397-08002B2CF9AE}" pid="18" name="lightbox">
    <vt:lpwstr>auto</vt:lpwstr>
  </property>
  <property fmtid="{D5CDD505-2E9C-101B-9397-08002B2CF9AE}" pid="19" name="revealjs-plugins">
    <vt:lpwstr/>
  </property>
  <property fmtid="{D5CDD505-2E9C-101B-9397-08002B2CF9AE}" pid="20" name="submitid">
    <vt:lpwstr/>
  </property>
  <property fmtid="{D5CDD505-2E9C-101B-9397-08002B2CF9AE}" pid="21" name="submitjournal">
    <vt:lpwstr>Water Research</vt:lpwstr>
  </property>
  <property fmtid="{D5CDD505-2E9C-101B-9397-08002B2CF9AE}" pid="22" name="subtitle">
    <vt:lpwstr>Highlights</vt:lpwstr>
  </property>
  <property fmtid="{D5CDD505-2E9C-101B-9397-08002B2CF9AE}" pid="23" name="toc-title">
    <vt:lpwstr>Table of contents</vt:lpwstr>
  </property>
  <property fmtid="{D5CDD505-2E9C-101B-9397-08002B2CF9AE}" pid="24" name="watermark">
    <vt:lpwstr/>
  </property>
</Properties>
</file>