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Establishment of quantitative PCR methods for the quantification of geosmin-producing potential and Anabaena sp. in freshwater systems</w:t>
      </w:r>
    </w:p>
    <w:p>
      <w:pPr>
        <w:pStyle w:val="Subtitle"/>
      </w:pPr>
      <w:r>
        <w:t xml:space="preserve">Revision Note</w:t>
      </w:r>
    </w:p>
    <w:p>
      <w:pPr>
        <w:pStyle w:val="Author"/>
      </w:pPr>
      <w:r>
        <w:t xml:space="preserve">Ming Su</w:t>
      </w:r>
      <w:r>
        <w:rPr>
          <w:vertAlign w:val="superscript"/>
        </w:rPr>
        <w:t xml:space="preserve"> </w:t>
      </w:r>
      <w:hyperlink r:id="rId20">
        <w:r>
          <w:rPr>
            <w:rStyle w:val="Hyperlink"/>
            <w:vertAlign w:val="superscript"/>
          </w:rPr>
          <w:t xml:space="preserve">ID</w:t>
        </w:r>
      </w:hyperlink>
      <w:r>
        <w:rPr>
          <w:vertAlign w:val="superscript"/>
        </w:rPr>
        <w:t xml:space="preserve">,a,b,#</w:t>
      </w:r>
      <w:r>
        <w:t xml:space="preserve">, Virginie Gaget</w:t>
      </w:r>
      <w:r>
        <w:rPr>
          <w:vertAlign w:val="superscript"/>
        </w:rPr>
        <w:t xml:space="preserve">c,d</w:t>
      </w:r>
      <w:r>
        <w:t xml:space="preserve">, Steven Giglio</w:t>
      </w:r>
      <w:r>
        <w:rPr>
          <w:vertAlign w:val="superscript"/>
        </w:rPr>
        <w:t xml:space="preserve">c,e</w:t>
      </w:r>
      <w:r>
        <w:t xml:space="preserve">, Michael Burch</w:t>
      </w:r>
      <w:r>
        <w:rPr>
          <w:vertAlign w:val="superscript"/>
        </w:rPr>
        <w:t xml:space="preserve">c</w:t>
      </w:r>
      <w:r>
        <w:t xml:space="preserve">, Wei An</w:t>
      </w:r>
      <w:r>
        <w:rPr>
          <w:vertAlign w:val="superscript"/>
        </w:rPr>
        <w:t xml:space="preserve">a</w:t>
      </w:r>
      <w:r>
        <w:t xml:space="preserve">, and Min Yang</w:t>
      </w:r>
      <w:r>
        <w:rPr>
          <w:vertAlign w:val="superscript"/>
        </w:rPr>
        <w:t xml:space="preserve">a,b,*</w:t>
      </w:r>
    </w:p>
    <w:p>
      <w:pPr>
        <w:pStyle w:val="Date"/>
      </w:pPr>
      <w:r>
        <w:t xml:space="preserve">2026-09-04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b</w:t>
      </w:r>
      <w:r>
        <w:t xml:space="preserve"> </w:t>
      </w:r>
      <w:r>
        <w:t xml:space="preserve">University of Chinese Academy of Sciences., Beijing 100049, China.</w:t>
      </w:r>
      <w:r>
        <w:br/>
      </w:r>
      <w:r>
        <w:rPr>
          <w:vertAlign w:val="superscript"/>
        </w:rPr>
        <w:t xml:space="preserve">c</w:t>
      </w:r>
      <w:r>
        <w:t xml:space="preserve"> </w:t>
      </w:r>
      <w:r>
        <w:t xml:space="preserve">South Australia Water Corporation, Australian Water Quality Centre, Adelaide, SA 5000, Australia.</w:t>
      </w:r>
      <w:r>
        <w:br/>
      </w:r>
      <w:r>
        <w:rPr>
          <w:vertAlign w:val="superscript"/>
        </w:rPr>
        <w:t xml:space="preserve">d</w:t>
      </w:r>
      <w:r>
        <w:t xml:space="preserve"> </w:t>
      </w:r>
      <w:r>
        <w:t xml:space="preserve">Ecology, Evolution and Landscape Sciences, School of Earth and Environment Sciences, Adelaide University, Adelaide nil, Australia.</w:t>
      </w:r>
      <w:r>
        <w:br/>
      </w:r>
      <w:r>
        <w:rPr>
          <w:vertAlign w:val="superscript"/>
        </w:rPr>
        <w:t xml:space="preserve">e</w:t>
      </w:r>
      <w:r>
        <w:t xml:space="preserve"> </w:t>
      </w:r>
      <w:r>
        <w:t xml:space="preserve">Healthscope Pathology SA, Adelaide, SA 5034, Australia.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 Yang (yangmin@rcees.ac.cn)</w:t>
        </w:r>
      </w:hyperlink>
    </w:p>
    <w:bookmarkStart w:id="23" w:name="response-to-editor"/>
    <w:p>
      <w:pPr>
        <w:pStyle w:val="Heading1"/>
      </w:pPr>
      <w:r>
        <w:t xml:space="preserve">Response to Editor</w:t>
      </w:r>
    </w:p>
    <w:p>
      <w:pPr>
        <w:pStyle w:val="FirstParagraph"/>
      </w:pPr>
      <w:r>
        <w:t xml:space="preserve">The historical response letter is preserved at</w:t>
      </w:r>
      <w:r>
        <w:t xml:space="preserve"> </w:t>
      </w:r>
      <w:hyperlink r:id="rId22">
        <w:r>
          <w:rPr>
            <w:rStyle w:val="VerbatimChar"/>
          </w:rPr>
          <w:t xml:space="preserve">input/legacy/lastsubmit/RevisionNote.tex</w:t>
        </w:r>
      </w:hyperlink>
      <w:r>
        <w:t xml:space="preserve">.</w:t>
      </w:r>
      <w:r>
        <w:t xml:space="preserve"> </w:t>
      </w:r>
      <w:r>
        <w:t xml:space="preserve">The response text below is retained from the template until a new reviewer</w:t>
      </w:r>
      <w:r>
        <w:t xml:space="preserve"> </w:t>
      </w:r>
      <w:r>
        <w:t xml:space="preserve">round is available; it must not be treated as a current response package.</w:t>
      </w:r>
    </w:p>
    <w:p>
      <w:pPr>
        <w:pStyle w:val="Compact"/>
        <w:numPr>
          <w:ilvl w:val="0"/>
          <w:numId w:val="1001"/>
        </w:numPr>
      </w:pPr>
      <w:r>
        <w:t xml:space="preserve">I very much regret to have to tell you that publication in our journal is not recommended. An explanation for this decision is given in the attached review reports (and on https://www.editorialmanager.com/wr/). I hope that the comments contained therein will be of use to you.</w:t>
      </w:r>
    </w:p>
    <w:p>
      <w:pPr>
        <w:pStyle w:val="FirstParagraph"/>
      </w:pPr>
      <w:r>
        <w:rPr>
          <w:b/>
          <w:bCs/>
        </w:rPr>
        <w:t xml:space="preserve">Response/Action:</w:t>
      </w:r>
    </w:p>
    <w:p>
      <w:pPr>
        <w:pStyle w:val="BodyText"/>
      </w:pPr>
      <w:r>
        <w:t xml:space="preserve">Thank you.</w:t>
      </w:r>
    </w:p>
    <w:bookmarkEnd w:id="23"/>
    <w:bookmarkStart w:id="24" w:name="reviewer-1"/>
    <w:p>
      <w:pPr>
        <w:pStyle w:val="Heading1"/>
      </w:pPr>
      <w:r>
        <w:t xml:space="preserve">Reviewer #1:</w:t>
      </w:r>
    </w:p>
    <w:p>
      <w:pPr>
        <w:pStyle w:val="Compact"/>
        <w:numPr>
          <w:ilvl w:val="0"/>
          <w:numId w:val="1002"/>
        </w:numPr>
      </w:pPr>
      <w:r>
        <w:t xml:space="preserve">COMMENT 0</w:t>
      </w:r>
    </w:p>
    <w:p>
      <w:pPr>
        <w:pStyle w:val="FirstParagraph"/>
      </w:pPr>
      <w:r>
        <w:rPr>
          <w:b/>
          <w:bCs/>
        </w:rPr>
        <w:t xml:space="preserve">Response/Action:</w:t>
      </w:r>
    </w:p>
    <w:p>
      <w:pPr>
        <w:pStyle w:val="BodyText"/>
      </w:pPr>
      <w:r>
        <w:t xml:space="preserve">Thank you very much for your revision. We made changes as shown below.</w:t>
      </w:r>
    </w:p>
    <w:p>
      <w:pPr>
        <w:pStyle w:val="Compact"/>
        <w:numPr>
          <w:ilvl w:val="0"/>
          <w:numId w:val="1003"/>
        </w:numPr>
      </w:pPr>
      <w:r>
        <w:t xml:space="preserve">COMMENT 1</w:t>
      </w:r>
    </w:p>
    <w:p>
      <w:pPr>
        <w:pStyle w:val="FirstParagraph"/>
      </w:pPr>
      <w:r>
        <w:rPr>
          <w:b/>
          <w:bCs/>
        </w:rPr>
        <w:t xml:space="preserve">Response/Action:</w:t>
      </w:r>
    </w:p>
    <w:p>
      <w:pPr>
        <w:pStyle w:val="BodyText"/>
      </w:pPr>
      <w:r>
        <w:t xml:space="preserve">Thank you very much for your revision. We added a figure like below.</w:t>
      </w:r>
    </w:p>
    <w:bookmarkEnd w:id="24"/>
    <w:bookmarkStart w:id="25" w:name="reviewer-2"/>
    <w:p>
      <w:pPr>
        <w:pStyle w:val="Heading1"/>
      </w:pPr>
      <w:r>
        <w:t xml:space="preserve">Reviewer #2</w:t>
      </w:r>
    </w:p>
    <w:p>
      <w:pPr>
        <w:pStyle w:val="Compact"/>
        <w:numPr>
          <w:ilvl w:val="0"/>
          <w:numId w:val="1004"/>
        </w:numPr>
      </w:pPr>
      <w:r>
        <w:t xml:space="preserve">COMMENT 1</w:t>
      </w:r>
    </w:p>
    <w:p>
      <w:pPr>
        <w:pStyle w:val="FirstParagraph"/>
      </w:pPr>
      <w:r>
        <w:rPr>
          <w:b/>
          <w:bCs/>
        </w:rPr>
        <w:t xml:space="preserve">Response/Action:</w:t>
      </w:r>
    </w:p>
    <w:p>
      <w:pPr>
        <w:pStyle w:val="BodyText"/>
      </w:pPr>
      <w:r>
        <w:t xml:space="preserve">Thank you very much for your revision. We made changes as shown below.</w:t>
      </w:r>
    </w:p>
    <w:bookmarkEnd w:id="25"/>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0">
    <w:nsid w:val="00A99410"/>
    <w:multiLevelType w:val="multilevel"/>
    <w:lvl w:ilvl="0">
      <w:start w:val="0"/>
      <w:numFmt w:val="decimal"/>
      <w:lvlText w:val="%1."/>
      <w:lvlJc w:val="left"/>
      <w:pPr>
        <w:ind w:left="720" w:hanging="360"/>
      </w:pPr>
    </w:lvl>
    <w:lvl w:ilvl="1">
      <w:start w:val="0"/>
      <w:numFmt w:val="decimal"/>
      <w:lvlText w:val="%2."/>
      <w:lvlJc w:val="left"/>
      <w:pPr>
        <w:ind w:left="1440" w:hanging="360"/>
      </w:pPr>
    </w:lvl>
    <w:lvl w:ilvl="2">
      <w:start w:val="0"/>
      <w:numFmt w:val="decimal"/>
      <w:lvlText w:val="%3."/>
      <w:lvlJc w:val="left"/>
      <w:pPr>
        <w:ind w:left="2160" w:hanging="360"/>
      </w:pPr>
    </w:lvl>
    <w:lvl w:ilvl="3">
      <w:start w:val="0"/>
      <w:numFmt w:val="decimal"/>
      <w:lvlText w:val="%4."/>
      <w:lvlJc w:val="left"/>
      <w:pPr>
        <w:ind w:left="2880" w:hanging="360"/>
      </w:pPr>
    </w:lvl>
    <w:lvl w:ilvl="4">
      <w:start w:val="0"/>
      <w:numFmt w:val="decimal"/>
      <w:lvlText w:val="%5."/>
      <w:lvlJc w:val="left"/>
      <w:pPr>
        <w:ind w:left="3600" w:hanging="360"/>
      </w:pPr>
    </w:lvl>
    <w:lvl w:ilvl="5">
      <w:start w:val="0"/>
      <w:numFmt w:val="decimal"/>
      <w:lvlText w:val="%6."/>
      <w:lvlJc w:val="left"/>
      <w:pPr>
        <w:ind w:left="4320" w:hanging="360"/>
      </w:pPr>
    </w:lvl>
    <w:lvl w:ilvl="6">
      <w:start w:val="0"/>
      <w:numFmt w:val="decimal"/>
      <w:lvlText w:val="%7."/>
      <w:lvlJc w:val="left"/>
      <w:pPr>
        <w:ind w:left="5040" w:hanging="360"/>
      </w:pPr>
    </w:lvl>
    <w:lvl w:ilvl="7">
      <w:start w:val="0"/>
      <w:numFmt w:val="decimal"/>
      <w:lvlText w:val="%8."/>
      <w:lvlJc w:val="left"/>
      <w:pPr>
        <w:ind w:left="5760" w:hanging="360"/>
      </w:pPr>
    </w:lvl>
    <w:lvl w:ilvl="8">
      <w:start w:val="0"/>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41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2">
    <w:abstractNumId w:val="9941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input/legacy/lastsubmit/RevisionNote.tex" TargetMode="External" /><Relationship Type="http://schemas.openxmlformats.org/officeDocument/2006/relationships/hyperlink" Id="rId20" Target="https://orcid.org/0000000198211268"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22" Target="../input/legacy/lastsubmit/RevisionNote.tex" TargetMode="External" /><Relationship Type="http://schemas.openxmlformats.org/officeDocument/2006/relationships/hyperlink" Id="rId20" Target="https://orcid.org/0000000198211268"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Establishment of quantitative PCR methods for the quantification of geosmin-producing potential and Anabaena sp. in freshwater systems</dc:title>
  <dc:creator>Ming Su ID,a,b,#, Virginie Gagetc,d, Steven Giglioc,e, Michael Burchc, Wei Ana, and Min Yanga,b,*</dc:creator>
  <dc:language>en</dc:language>
  <cp:keywords/>
  <dcterms:created xsi:type="dcterms:W3CDTF">2026-09-04T14:14:55Z</dcterms:created>
  <dcterms:modified xsi:type="dcterms:W3CDTF">2026-09-04T14:14:55Z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ents">
    <vt:lpwstr/>
  </property>
  <property fmtid="{D5CDD505-2E9C-101B-9397-08002B2CF9AE}" pid="10" name="crossref">
    <vt:lpwstr/>
  </property>
  <property fmtid="{D5CDD505-2E9C-101B-9397-08002B2CF9AE}" pid="11" name="csl">
    <vt:lpwstr>../_extensions/drwater/dwinst/elsevier-harvard.csl</vt:lpwstr>
  </property>
  <property fmtid="{D5CDD505-2E9C-101B-9397-08002B2CF9AE}" pid="12" name="date">
    <vt:lpwstr>2026-09-04</vt:lpwstr>
  </property>
  <property fmtid="{D5CDD505-2E9C-101B-9397-08002B2CF9AE}" pid="13" name="doublespacing">
    <vt:lpwstr>True</vt:lpwstr>
  </property>
  <property fmtid="{D5CDD505-2E9C-101B-9397-08002B2CF9AE}" pid="14" name="execute">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isRN">
    <vt:lpwstr>True</vt:lpwstr>
  </property>
  <property fmtid="{D5CDD505-2E9C-101B-9397-08002B2CF9AE}" pid="19" name="knitr">
    <vt:lpwstr/>
  </property>
  <property fmtid="{D5CDD505-2E9C-101B-9397-08002B2CF9AE}" pid="20" name="labels">
    <vt:lpwstr/>
  </property>
  <property fmtid="{D5CDD505-2E9C-101B-9397-08002B2CF9AE}" pid="21" name="lightbox">
    <vt:lpwstr>auto</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Water Research</vt:lpwstr>
  </property>
  <property fmtid="{D5CDD505-2E9C-101B-9397-08002B2CF9AE}" pid="27" name="subtitle">
    <vt:lpwstr>Revision Note</vt:lpwstr>
  </property>
  <property fmtid="{D5CDD505-2E9C-101B-9397-08002B2CF9AE}" pid="28" name="toc-title">
    <vt:lpwstr>Table of contents</vt:lpwstr>
  </property>
  <property fmtid="{D5CDD505-2E9C-101B-9397-08002B2CF9AE}" pid="29" name="watermark">
    <vt:lpwstr/>
  </property>
</Properties>
</file>