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png" ContentType="image/png"/>
  <Override PartName="/word/media/rId29.png" ContentType="image/png"/>
  <Override PartName="/word/media/rId33.png" ContentType="image/png"/>
  <Override PartName="/word/media/rId38.png" ContentType="image/png"/>
  <Override PartName="/word/media/rId53.png" ContentType="image/png"/>
  <Override PartName="/word/media/rId4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Establishment of quantitative PCR methods for the quantification of geosmin-producing potential and Anabaena sp. in freshwater systems</w:t>
      </w:r>
    </w:p>
    <w:p>
      <w:pPr>
        <w:pStyle w:val="Subtitle"/>
      </w:pPr>
      <w:r>
        <w:t xml:space="preserve">Supplementary Information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</w:t>
      </w:r>
      <w:r>
        <w:t xml:space="preserve">, Virginie Gaget</w:t>
      </w:r>
      <w:r>
        <w:rPr>
          <w:vertAlign w:val="superscript"/>
        </w:rPr>
        <w:t xml:space="preserve">c,d</w:t>
      </w:r>
      <w:r>
        <w:t xml:space="preserve">, Steven Giglio</w:t>
      </w:r>
      <w:r>
        <w:rPr>
          <w:vertAlign w:val="superscript"/>
        </w:rPr>
        <w:t xml:space="preserve">c,e</w:t>
      </w:r>
      <w:r>
        <w:t xml:space="preserve">, Michael Burch</w:t>
      </w:r>
      <w:r>
        <w:rPr>
          <w:vertAlign w:val="superscript"/>
        </w:rPr>
        <w:t xml:space="preserve">c</w:t>
      </w:r>
      <w:r>
        <w:t xml:space="preserve">, Wei An</w:t>
      </w:r>
      <w:r>
        <w:rPr>
          <w:vertAlign w:val="superscript"/>
        </w:rPr>
        <w:t xml:space="preserve">a</w:t>
      </w:r>
      <w:r>
        <w:t xml:space="preserve">, and Min Yang</w:t>
      </w:r>
      <w:r>
        <w:rPr>
          <w:vertAlign w:val="superscript"/>
        </w:rPr>
        <w:t xml:space="preserve">a,b,*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  <w:r>
        <w:br/>
      </w:r>
      <w:r>
        <w:rPr>
          <w:vertAlign w:val="superscript"/>
        </w:rPr>
        <w:t xml:space="preserve">c</w:t>
      </w:r>
      <w:r>
        <w:t xml:space="preserve"> </w:t>
      </w:r>
      <w:r>
        <w:t xml:space="preserve">South Australia Water Corporation, Australian Water Quality Centre, Adelaide, SA 5000, Australia.</w:t>
      </w:r>
      <w:r>
        <w:br/>
      </w:r>
      <w:r>
        <w:rPr>
          <w:vertAlign w:val="superscript"/>
        </w:rPr>
        <w:t xml:space="preserve">d</w:t>
      </w:r>
      <w:r>
        <w:t xml:space="preserve"> </w:t>
      </w:r>
      <w:r>
        <w:t xml:space="preserve">Ecology, Evolution and Landscape Sciences, School of Earth and Environment Sciences, Adelaide University, Adelaide nil, Australia.</w:t>
      </w:r>
      <w:r>
        <w:br/>
      </w:r>
      <w:r>
        <w:rPr>
          <w:vertAlign w:val="superscript"/>
        </w:rPr>
        <w:t xml:space="preserve">e</w:t>
      </w:r>
      <w:r>
        <w:t xml:space="preserve"> </w:t>
      </w:r>
      <w:r>
        <w:t xml:space="preserve">Healthscope Pathology SA, Adelaide, SA 5034, Australia.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Min Yang (yangmin@rcees.ac.cn)</w:t>
        </w:r>
      </w:hyperlink>
    </w:p>
    <w:p>
      <w:pPr>
        <w:pStyle w:val="BodyText"/>
      </w:pPr>
      <w:r>
        <w:t xml:space="preserve">Figures and tables below provide supplementary evidence for the main text.</w:t>
      </w:r>
    </w:p>
    <w:bookmarkStart w:id="26" w:name="sm-field-sites"/>
    <w:p>
      <w:pPr>
        <w:pStyle w:val="Heading1"/>
      </w:pPr>
      <w:r>
        <w:t xml:space="preserve">Field sites</w:t>
      </w:r>
    </w:p>
    <w:p>
      <w:pPr>
        <w:pStyle w:val="FirstParagraph"/>
      </w:pPr>
      <w:r>
        <w:t xml:space="preserve">Seven sites were chosen to evaluate the applicability of the two qPCR</w:t>
      </w:r>
      <w:r>
        <w:t xml:space="preserve"> </w:t>
      </w:r>
      <w:r>
        <w:t xml:space="preserve">assays. Five freshwater aquaculture ponds included Weiming Lake (</w:t>
      </w:r>
      <w:r>
        <w:rPr>
          <w:b/>
          <w:bCs/>
        </w:rPr>
        <w:t xml:space="preserve">WML</w:t>
      </w:r>
      <w:r>
        <w:t xml:space="preserve">),</w:t>
      </w:r>
      <w:r>
        <w:t xml:space="preserve"> </w:t>
      </w:r>
      <w:r>
        <w:t xml:space="preserve">Forest Park (</w:t>
      </w:r>
      <w:r>
        <w:rPr>
          <w:b/>
          <w:bCs/>
        </w:rPr>
        <w:t xml:space="preserve">FP</w:t>
      </w:r>
      <w:r>
        <w:t xml:space="preserve">), Yuyuantan (</w:t>
      </w:r>
      <w:r>
        <w:rPr>
          <w:b/>
          <w:bCs/>
        </w:rPr>
        <w:t xml:space="preserve">YYT</w:t>
      </w:r>
      <w:r>
        <w:t xml:space="preserve">), Houhai (</w:t>
      </w:r>
      <w:r>
        <w:rPr>
          <w:b/>
          <w:bCs/>
        </w:rPr>
        <w:t xml:space="preserve">HH</w:t>
      </w:r>
      <w:r>
        <w:t xml:space="preserve">) and Lotus Ponds</w:t>
      </w:r>
      <w:r>
        <w:t xml:space="preserve"> </w:t>
      </w:r>
      <w:r>
        <w:t xml:space="preserve">(</w:t>
      </w:r>
      <w:r>
        <w:rPr>
          <w:b/>
          <w:bCs/>
        </w:rPr>
        <w:t xml:space="preserve">LP</w:t>
      </w:r>
      <w:r>
        <w:t xml:space="preserve">), and two rivers were included: Wenyu River (</w:t>
      </w:r>
      <w:r>
        <w:rPr>
          <w:b/>
          <w:bCs/>
        </w:rPr>
        <w:t xml:space="preserve">WYR</w:t>
      </w:r>
      <w:r>
        <w:t xml:space="preserve">) and Qing River</w:t>
      </w:r>
      <w:r>
        <w:t xml:space="preserve"> </w:t>
      </w:r>
      <w:r>
        <w:t xml:space="preserve">(</w:t>
      </w:r>
      <w:r>
        <w:rPr>
          <w:b/>
          <w:bCs/>
        </w:rPr>
        <w:t xml:space="preserve">QR</w:t>
      </w:r>
      <w:r>
        <w:t xml:space="preserve">), spread over five districts in Beijing, China (</w:t>
      </w:r>
      <w:hyperlink w:anchor="fig-site">
        <w:r>
          <w:rPr>
            <w:rStyle w:val="Hyperlink"/>
          </w:rPr>
          <w:t xml:space="preserve">Fig. 1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fig-site"/>
          <w:p>
            <w:pPr>
              <w:pStyle w:val="Compact"/>
              <w:jc w:val="center"/>
            </w:pPr>
            <w:r>
              <w:drawing>
                <wp:inline>
                  <wp:extent cx="4027170" cy="3248606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../figures/samplingsi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170" cy="3248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Fig. 1: The location of field sampling sites.</w:t>
            </w:r>
          </w:p>
          <w:bookmarkEnd w:id="25"/>
        </w:tc>
      </w:tr>
    </w:tbl>
    <w:bookmarkEnd w:id="26"/>
    <w:bookmarkStart w:id="28" w:name="sm-geosmin-component"/>
    <w:p>
      <w:pPr>
        <w:pStyle w:val="Heading1"/>
      </w:pPr>
      <w:r>
        <w:t xml:space="preserve">Geosmin component</w:t>
      </w:r>
    </w:p>
    <w:p>
      <w:pPr>
        <w:pStyle w:val="FirstParagraph"/>
      </w:pPr>
      <w:r>
        <w:t xml:space="preserve">The geosmin concentration of all culture samples collected during the</w:t>
      </w:r>
      <w:r>
        <w:t xml:space="preserve"> </w:t>
      </w:r>
      <w:r>
        <w:t xml:space="preserve">simulated bloom was determined by GC-MS. Intracellular geosmin increased</w:t>
      </w:r>
      <w:r>
        <w:t xml:space="preserve"> </w:t>
      </w:r>
      <w:r>
        <w:t xml:space="preserve">along with the bloom stage and cell density, whereas extracellular geosmin</w:t>
      </w:r>
      <w:r>
        <w:t xml:space="preserve"> </w:t>
      </w:r>
      <w:r>
        <w:t xml:space="preserve">increased during the first seven weeks and then decreased to a low level.</w:t>
      </w:r>
      <w:r>
        <w:t xml:space="preserve"> </w:t>
      </w:r>
      <w:r>
        <w:t xml:space="preserve">Intracellular geosmin concentrations ranged from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5</m:t>
            </m:r>
          </m:sup>
        </m:sSup>
      </m:oMath>
      <w:r>
        <w:t xml:space="preserve"> </w:t>
      </w:r>
      <w:r>
        <w:t xml:space="preserve">ng L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Most geosmin (83%-100%) was intracellular</w:t>
      </w:r>
      <w:r>
        <w:t xml:space="preserve"> </w:t>
      </w:r>
      <w:r>
        <w:t xml:space="preserve">(</w:t>
      </w:r>
      <w:hyperlink w:anchor="tbl-geosportion">
        <w:r>
          <w:rPr>
            <w:rStyle w:val="Hyperlink"/>
          </w:rPr>
          <w:t xml:space="preserve">Table 1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tbl-geosportion"/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Table 1: The geosmin component in culture samples. Extra- and intra- denote</w:t>
            </w:r>
            <w:r>
              <w:t xml:space="preserve"> </w:t>
            </w:r>
            <w:r>
              <w:t xml:space="preserve">extracellular and intracellular geosmin concentration, respectively (ng</w:t>
            </w:r>
            <w:r>
              <w:t xml:space="preserve"> </w:t>
            </w:r>
            <w:r>
              <w:t xml:space="preserve">L</w:t>
            </w:r>
            <m:oMath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); intra-portion is the intracellular fraction of total geosmin.</w:t>
            </w:r>
            <w:r>
              <w:t xml:space="preserve"> 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131"/>
              <w:gridCol w:w="1131"/>
              <w:gridCol w:w="1131"/>
              <w:gridCol w:w="1131"/>
              <w:gridCol w:w="1131"/>
              <w:gridCol w:w="1131"/>
              <w:gridCol w:w="113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Date (day)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AE1 extra-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AE1 intra-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AE1 intra-portion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AE2 extra-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AE2 intra-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AE2 intra-portion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191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97.50%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15.3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906.4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98.34%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87.5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423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82.86%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73.1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2,150.7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96.71%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799.8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98.89%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4,200.9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99.40%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73.0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1,323.3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94.77%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232.5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8,955.7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97.47%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190.0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4,867.4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96.24%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294.6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31,874.4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99.08%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11,498.4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99.72%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237.3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30,616.3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99.23%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161.1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25,131.5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99.36%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1,312.4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42,078.8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96.98%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428.6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17,993.2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97.67%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2,043.3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18,556.4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90.08%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729.5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26,197.0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97.29%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2,783.0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18,643.0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87.01%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527.0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79,501.8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99.34%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2,416.2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73,727.4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96.83%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2,381.0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104,830.0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97.78%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1,365.1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88,458.5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98.48%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10,138.0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82,235.5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89.02%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5,493.8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69,928.2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92.72%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384.5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67,369.8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99.43%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6,235.7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77,520.6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92.55%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56.7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82,066.6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99.93%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248.2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37,136.9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99.34%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299.5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163,120.5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99.82%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582.6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111,916.5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99.48%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174,100.7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99.99%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69.2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116,592.6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99.94%</w:t>
                  </w:r>
                </w:p>
              </w:tc>
            </w:tr>
          </w:tbl>
          <w:bookmarkEnd w:id="27"/>
          <w:p/>
        </w:tc>
      </w:tr>
    </w:tbl>
    <w:bookmarkEnd w:id="28"/>
    <w:bookmarkStart w:id="37" w:name="sm-primer-specificity"/>
    <w:p>
      <w:pPr>
        <w:pStyle w:val="Heading1"/>
      </w:pPr>
      <w:r>
        <w:t xml:space="preserve">Primer specificity</w:t>
      </w:r>
    </w:p>
    <w:p>
      <w:pPr>
        <w:pStyle w:val="FirstParagraph"/>
      </w:pPr>
      <w:r>
        <w:t xml:space="preserve">Genomic DNA from 30</w:t>
      </w:r>
      <w:r>
        <w:t xml:space="preserve"> </w:t>
      </w:r>
      <w:r>
        <w:rPr>
          <w:i/>
          <w:iCs/>
        </w:rPr>
        <w:t xml:space="preserve">Anabaena</w:t>
      </w:r>
      <w:r>
        <w:t xml:space="preserve"> </w:t>
      </w:r>
      <w:r>
        <w:t xml:space="preserve">strains and 17 other strains was tested with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ARG</w:t>
      </w:r>
      <w:r>
        <w:t xml:space="preserve"> </w:t>
      </w:r>
      <w:r>
        <w:t xml:space="preserve">primers AN03/06 by conventional PCR and gel electrophoresis. The</w:t>
      </w:r>
      <w:r>
        <w:t xml:space="preserve"> </w:t>
      </w:r>
      <w:r>
        <w:t xml:space="preserve">available electrophoresis results are shown in</w:t>
      </w:r>
      <w:r>
        <w:t xml:space="preserve"> </w:t>
      </w:r>
      <w:hyperlink w:anchor="fig-gel">
        <w:r>
          <w:rPr>
            <w:rStyle w:val="Hyperlink"/>
          </w:rPr>
          <w:t xml:space="preserve">Fig. 2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fig-gel"/>
          <w:p>
            <w:pPr>
              <w:pStyle w:val="Compact"/>
              <w:jc w:val="center"/>
            </w:pPr>
            <w:r>
              <w:drawing>
                <wp:inline>
                  <wp:extent cx="4027170" cy="69076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../figures/Gel_ARG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170" cy="690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Fig. 2: Gel results of conventional PCR using ARG primers. Lanes: 1, FACHB-170; 2, FACHB-190; 3, FACHB-245; 4, FACHB-251; 5, FACHB-319; 6, FACHB-362; 7, FACHB-380; 8, FACHB-1096; 9, FACHB-1194; 10, FACHB-1199; 11, FACHB-1219; 12, FACHB-1239; 13, FACHB-1250; 14, FACHB-1255; 15, FACHB-1263; 16, FADC-0001; 17, FADC-0002; 18, nuclease-free water.</w:t>
            </w:r>
          </w:p>
          <w:bookmarkEnd w:id="32"/>
        </w:tc>
      </w:tr>
    </w:tbl>
    <w:p>
      <w:pPr>
        <w:pStyle w:val="BodyText"/>
      </w:pPr>
      <w:r>
        <w:t xml:space="preserve">The specificity of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primers 173AF/AR was tested using conventional PCR</w:t>
      </w:r>
      <w:r>
        <w:t xml:space="preserve"> </w:t>
      </w:r>
      <w:r>
        <w:t xml:space="preserve">with seven</w:t>
      </w:r>
      <w:r>
        <w:t xml:space="preserve"> </w:t>
      </w:r>
      <w:r>
        <w:rPr>
          <w:i/>
          <w:iCs/>
        </w:rPr>
        <w:t xml:space="preserve">Anabaena</w:t>
      </w:r>
      <w:r>
        <w:t xml:space="preserve"> </w:t>
      </w:r>
      <w:r>
        <w:t xml:space="preserve">strains and one</w:t>
      </w:r>
      <w:r>
        <w:t xml:space="preserve"> </w:t>
      </w:r>
      <w:r>
        <w:rPr>
          <w:i/>
          <w:iCs/>
        </w:rPr>
        <w:t xml:space="preserve">Microcystis</w:t>
      </w:r>
      <w:r>
        <w:t xml:space="preserve"> </w:t>
      </w:r>
      <w:r>
        <w:t xml:space="preserve">strain, coupled with gel</w:t>
      </w:r>
      <w:r>
        <w:t xml:space="preserve"> </w:t>
      </w:r>
      <w:r>
        <w:t xml:space="preserve">electrophoresis (</w:t>
      </w:r>
      <w:hyperlink w:anchor="fig-gelgsg">
        <w:r>
          <w:rPr>
            <w:rStyle w:val="Hyperlink"/>
          </w:rPr>
          <w:t xml:space="preserve">Fig. 3</w:t>
        </w:r>
      </w:hyperlink>
      <w:r>
        <w:t xml:space="preserve">). GC-MS comparisons indicated that the</w:t>
      </w:r>
      <w:r>
        <w:t xml:space="preserve"> </w:t>
      </w:r>
      <w:r>
        <w:t xml:space="preserve">primers amplified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in geosmin-producing</w:t>
      </w:r>
      <w:r>
        <w:t xml:space="preserve"> </w:t>
      </w:r>
      <w:r>
        <w:rPr>
          <w:i/>
          <w:iCs/>
        </w:rPr>
        <w:t xml:space="preserve">Anabaena</w:t>
      </w:r>
      <w:r>
        <w:t xml:space="preserve"> </w:t>
      </w:r>
      <w:r>
        <w:t xml:space="preserve">strains.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fig-gelgsg"/>
          <w:p>
            <w:pPr>
              <w:pStyle w:val="Compact"/>
              <w:jc w:val="center"/>
            </w:pPr>
            <w:r>
              <w:drawing>
                <wp:inline>
                  <wp:extent cx="2876550" cy="810192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../figures/Gel_GS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810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Fig. 3: Gel results of conventional PCR using GSG primers. Lanes: 1, FACHB-1199; 2, FACHB-1219; 3, FACHB-1239; 4, FACHB-1250; 5, FADC-0001; 6, FACHB-1255; 7, FACHB-1263; 8, FADC-0002.</w:t>
            </w:r>
          </w:p>
          <w:bookmarkEnd w:id="36"/>
        </w:tc>
      </w:tr>
    </w:tbl>
    <w:bookmarkEnd w:id="37"/>
    <w:bookmarkStart w:id="46" w:name="sm-field-validation"/>
    <w:p>
      <w:pPr>
        <w:pStyle w:val="Heading1"/>
      </w:pPr>
      <w:r>
        <w:t xml:space="preserve">Validation on field samples</w:t>
      </w:r>
    </w:p>
    <w:p>
      <w:pPr>
        <w:pStyle w:val="FirstParagraph"/>
      </w:pPr>
      <w:r>
        <w:t xml:space="preserve">The 63 field samples used to validate the two qPCR assays were spiked with</w:t>
      </w:r>
      <w:r>
        <w:t xml:space="preserve"> </w:t>
      </w:r>
      <w:r>
        <w:t xml:space="preserve">different concentrations of FADC-0001 (</w:t>
      </w:r>
      <w:r>
        <w:rPr>
          <w:i/>
          <w:iCs/>
        </w:rPr>
        <w:t xml:space="preserve">Anabaena spiroides</w:t>
      </w:r>
      <w:r>
        <w:t xml:space="preserve">) cells. Two</w:t>
      </w:r>
      <w:r>
        <w:t xml:space="preserve"> </w:t>
      </w:r>
      <w:r>
        <w:t xml:space="preserve">ANOVA tests evaluated the effects of background biomass. The logarithmic</w:t>
      </w:r>
      <w:r>
        <w:t xml:space="preserve"> </w:t>
      </w:r>
      <w:r>
        <w:rPr>
          <w:i/>
          <w:iCs/>
        </w:rPr>
        <w:t xml:space="preserve">ARG</w:t>
      </w:r>
      <w:r>
        <w:t xml:space="preserve"> </w:t>
      </w:r>
      <w:r>
        <w:t xml:space="preserve">copy density normalized by cell density ranged from 1.17 (</w:t>
      </w:r>
      <w:r>
        <w:rPr>
          <w:b/>
          <w:bCs/>
        </w:rPr>
        <w:t xml:space="preserve">FP</w:t>
      </w:r>
      <w:r>
        <w:t xml:space="preserve">) to</w:t>
      </w:r>
      <w:r>
        <w:t xml:space="preserve"> </w:t>
      </w:r>
      <w:r>
        <w:t xml:space="preserve">1.54 (</w:t>
      </w:r>
      <w:r>
        <w:rPr>
          <w:b/>
          <w:bCs/>
        </w:rPr>
        <w:t xml:space="preserve">QR</w:t>
      </w:r>
      <w:r>
        <w:t xml:space="preserve">) (</w:t>
      </w:r>
      <w:hyperlink w:anchor="fig-arganova">
        <w:r>
          <w:rPr>
            <w:rStyle w:val="Hyperlink"/>
          </w:rPr>
          <w:t xml:space="preserve">Fig. 4</w:t>
        </w:r>
      </w:hyperlink>
      <w:r>
        <w:t xml:space="preserve">). The site effect was not significant</w:t>
      </w:r>
      <w:r>
        <w:t xml:space="preserve"> </w:t>
      </w:r>
      <w:r>
        <w:t xml:space="preserve">(F=1.003, p=0.43). The logarithmic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copy density normalized by</w:t>
      </w:r>
      <w:r>
        <w:t xml:space="preserve"> </w:t>
      </w:r>
      <w:r>
        <w:t xml:space="preserve">intracellular geosmin ranged from 4.96 (</w:t>
      </w:r>
      <w:r>
        <w:rPr>
          <w:b/>
          <w:bCs/>
        </w:rPr>
        <w:t xml:space="preserve">QR</w:t>
      </w:r>
      <w:r>
        <w:t xml:space="preserve">) to 5.7 (</w:t>
      </w:r>
      <w:r>
        <w:rPr>
          <w:b/>
          <w:bCs/>
        </w:rPr>
        <w:t xml:space="preserve">WML</w:t>
      </w:r>
      <w:r>
        <w:t xml:space="preserve">)</w:t>
      </w:r>
      <w:r>
        <w:t xml:space="preserve"> </w:t>
      </w:r>
      <w:r>
        <w:t xml:space="preserve">(</w:t>
      </w:r>
      <w:hyperlink w:anchor="fig-gsganova">
        <w:r>
          <w:rPr>
            <w:rStyle w:val="Hyperlink"/>
          </w:rPr>
          <w:t xml:space="preserve">Fig. 5</w:t>
        </w:r>
      </w:hyperlink>
      <w:r>
        <w:t xml:space="preserve">), with no significant site effect (F=2.27, p=0.053).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arganova"/>
          <w:p>
            <w:pPr>
              <w:pStyle w:val="Compact"/>
              <w:jc w:val="center"/>
            </w:pPr>
            <w:r>
              <w:drawing>
                <wp:inline>
                  <wp:extent cx="4027170" cy="306832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../figures/arganova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170" cy="3068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Fig. 4: ANOVA test for the ARG qPCR assay evaluating the effect of background biomass.</w:t>
            </w:r>
          </w:p>
          <w:bookmarkEnd w:id="41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5" w:name="fig-gsganova"/>
          <w:p>
            <w:pPr>
              <w:pStyle w:val="Compact"/>
              <w:jc w:val="center"/>
            </w:pPr>
            <w:r>
              <w:drawing>
                <wp:inline>
                  <wp:extent cx="4027170" cy="306832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../figures/gsganova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170" cy="3068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Fig. 5: ANOVA test for the GSG qPCR assay evaluating the effect of background biomass.</w:t>
            </w:r>
          </w:p>
          <w:bookmarkEnd w:id="45"/>
        </w:tc>
      </w:tr>
    </w:tbl>
    <w:bookmarkEnd w:id="46"/>
    <w:bookmarkStart w:id="52" w:name="sm-extracellular-geosmin"/>
    <w:p>
      <w:pPr>
        <w:pStyle w:val="Heading1"/>
      </w:pPr>
      <w:r>
        <w:t xml:space="preserve">Extracellular geosmin and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density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density of 32 culture samples and 63 field samples was compared</w:t>
      </w:r>
      <w:r>
        <w:t xml:space="preserve"> </w:t>
      </w:r>
      <w:r>
        <w:t xml:space="preserve">with geosmin concentration measured by GC-MS. The intracellular geosmin</w:t>
      </w:r>
      <w:r>
        <w:t xml:space="preserve"> </w:t>
      </w:r>
      <w:r>
        <w:t xml:space="preserve">concentration was more closely related to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density than extracellular</w:t>
      </w:r>
      <w:r>
        <w:t xml:space="preserve"> </w:t>
      </w:r>
      <w:r>
        <w:t xml:space="preserve">geosmin.</w:t>
      </w:r>
      <w:r>
        <w:t xml:space="preserve"> </w:t>
      </w:r>
      <w:hyperlink w:anchor="fig-gsgoutcom">
        <w:r>
          <w:rPr>
            <w:rStyle w:val="Hyperlink"/>
          </w:rPr>
          <w:t xml:space="preserve">Fig. 6</w:t>
        </w:r>
      </w:hyperlink>
      <w:r>
        <w:t xml:space="preserve"> </w:t>
      </w:r>
      <w:r>
        <w:t xml:space="preserve">shows the comparison with extracellular</w:t>
      </w:r>
      <w:r>
        <w:t xml:space="preserve"> </w:t>
      </w:r>
      <w:r>
        <w:t xml:space="preserve">geosmin. The log-log regressions for culture and field samples were:</w:t>
      </w:r>
    </w:p>
    <w:p>
      <w:pPr>
        <w:pStyle w:val="BodyText"/>
      </w:pPr>
      <w:bookmarkStart w:id="47" w:name="eq-extra1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γ</m:t>
                    </m:r>
                  </m:e>
                  <m:sub>
                    <m:r>
                      <m:t>p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0.4214</m:t>
                </m:r>
                <m:sSub>
                  <m:e>
                    <m:r>
                      <m:t>γ</m:t>
                    </m:r>
                  </m:e>
                  <m:sub>
                    <m:r>
                      <m:t>g</m:t>
                    </m:r>
                    <m:r>
                      <m:rPr>
                        <m:sty m:val="p"/>
                      </m:rPr>
                      <m:t>′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1.114</m:t>
                </m:r>
                <m:r>
                  <m:t> 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r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0.253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t>p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0.01</m:t>
                    </m:r>
                  </m:e>
                </m:d>
              </m:e>
            </m:mr>
            <m:mr>
              <m:e>
                <m:sSub>
                  <m:e>
                    <m:r>
                      <m:t>γ</m:t>
                    </m:r>
                  </m:e>
                  <m:sub>
                    <m:r>
                      <m:t>p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0.4697</m:t>
                </m:r>
                <m:sSub>
                  <m:e>
                    <m:r>
                      <m:t>γ</m:t>
                    </m:r>
                  </m:e>
                  <m:sub>
                    <m:r>
                      <m:t>g</m:t>
                    </m:r>
                    <m:r>
                      <m:rPr>
                        <m:sty m:val="p"/>
                      </m:rPr>
                      <m:t>′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2.490</m:t>
                </m:r>
                <m:r>
                  <m:t> 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r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0.622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r>
                      <m:t>p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0.01</m:t>
                    </m:r>
                  </m:e>
                </m:d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</m:e>
          </m:d>
        </m:oMath>
      </m:oMathPara>
      <w:bookmarkEnd w:id="47"/>
    </w:p>
    <w:p>
      <w:pPr>
        <w:pStyle w:val="FirstParagraph"/>
      </w:pPr>
      <w:r>
        <w:t xml:space="preserve">Here,</w:t>
      </w:r>
      <w:r>
        <w:t xml:space="preserve"> </w:t>
      </w:r>
      <m:oMath>
        <m:sSub>
          <m:e>
            <m:r>
              <m:t>γ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copy number and</w:t>
      </w:r>
      <w:r>
        <w:t xml:space="preserve"> </w:t>
      </w:r>
      <m:oMath>
        <m:sSub>
          <m:e>
            <m:r>
              <m:t>γ</m:t>
            </m:r>
          </m:e>
          <m:sub>
            <m:r>
              <m:t>g</m:t>
            </m:r>
            <m:r>
              <m:rPr>
                <m:sty m:val="p"/>
              </m:rPr>
              <m:t>′</m:t>
            </m:r>
          </m:sub>
        </m:sSub>
      </m:oMath>
      <w:r>
        <w:t xml:space="preserve"> </w:t>
      </w:r>
      <w:r>
        <w:t xml:space="preserve">is extracellular</w:t>
      </w:r>
      <w:r>
        <w:t xml:space="preserve"> </w:t>
      </w:r>
      <w:r>
        <w:t xml:space="preserve">geosmin concentration. The two regression lines are shown in</w:t>
      </w:r>
      <w:r>
        <w:t xml:space="preserve"> </w:t>
      </w:r>
      <w:hyperlink w:anchor="fig-gsgoutcom">
        <w:r>
          <w:rPr>
            <w:rStyle w:val="Hyperlink"/>
          </w:rPr>
          <w:t xml:space="preserve">Fig. 6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1" w:name="fig-gsgoutcom"/>
          <w:p>
            <w:pPr>
              <w:pStyle w:val="Compact"/>
              <w:jc w:val="center"/>
            </w:pPr>
            <w:r>
              <w:drawing>
                <wp:inline>
                  <wp:extent cx="4027170" cy="306832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../figures/GSGCompare_OUT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170" cy="3068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Fig. 6: Quantification of GSG copy numbers by qPCR and their relationship with extracellular geosmin concentration measured by GC-MS. Points represent 32 culture samples and 63 spiked field samples; error bars show standard deviations. Lines show log-log regressions and 99% confidence intervals.</w:t>
            </w:r>
          </w:p>
          <w:bookmarkEnd w:id="51"/>
        </w:tc>
      </w:tr>
    </w:tbl>
    <w:bookmarkEnd w:id="52"/>
    <w:bookmarkStart w:id="57" w:name="sm-field-variance"/>
    <w:p>
      <w:pPr>
        <w:pStyle w:val="Heading1"/>
      </w:pPr>
      <w:r>
        <w:t xml:space="preserve">ARG and GSG density in field samples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ARG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GSG</w:t>
      </w:r>
      <w:r>
        <w:t xml:space="preserve"> </w:t>
      </w:r>
      <w:r>
        <w:t xml:space="preserve">densities showed high consistency in both culture and</w:t>
      </w:r>
      <w:r>
        <w:t xml:space="preserve"> </w:t>
      </w:r>
      <w:r>
        <w:t xml:space="preserve">field samples, although they were amplified separately (</w:t>
      </w:r>
      <w:hyperlink w:anchor="fig-fieldvar">
        <w:r>
          <w:rPr>
            <w:rStyle w:val="Hyperlink"/>
          </w:rPr>
          <w:t xml:space="preserve">Fig. 7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6" w:name="fig-fieldvar"/>
          <w:p>
            <w:pPr>
              <w:pStyle w:val="Compact"/>
              <w:jc w:val="center"/>
            </w:pPr>
            <w:r>
              <w:drawing>
                <wp:inline>
                  <wp:extent cx="4027170" cy="306832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../figures/fieldvar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170" cy="3068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Fig. 7: qPCR variance analysis comparing ARG and GSG copy numbers in field samples.</w:t>
            </w:r>
          </w:p>
          <w:bookmarkEnd w:id="56"/>
        </w:tc>
      </w:tr>
    </w:tbl>
    <w:bookmarkEnd w:id="57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8" Target="media/rId48.png" /><Relationship Type="http://schemas.openxmlformats.org/officeDocument/2006/relationships/image" Id="rId29" Target="media/rId29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image" Id="rId53" Target="media/rId53.png" /><Relationship Type="http://schemas.openxmlformats.org/officeDocument/2006/relationships/image" Id="rId42" Target="media/rId42.png" /><Relationship Type="http://schemas.openxmlformats.org/officeDocument/2006/relationships/image" Id="rId22" Target="media/rId22.png" /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Establishment of quantitative PCR methods for the quantification of geosmin-producing potential and Anabaena sp. in freshwater systems</dc:title>
  <dc:creator>Ming Su ID,a,b,#, Virginie Gagetc,d, Steven Giglioc,e, Michael Burchc, Wei Ana, and Min Yanga,b,*</dc:creator>
  <dc:language>en</dc:language>
  <cp:keywords/>
  <dcterms:created xsi:type="dcterms:W3CDTF">2026-09-04T14:14:29Z</dcterms:created>
  <dcterms:modified xsi:type="dcterms:W3CDTF">2026-09-04T14:14:29Z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>../BB/localRef.bib</vt:lpwstr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../_extensions/drwater/dwinst/elsevier-harvard.csl</vt:lpwstr>
  </property>
  <property fmtid="{D5CDD505-2E9C-101B-9397-08002B2CF9AE}" pid="13" name="doublespacing">
    <vt:lpwstr>True</vt:lpwstr>
  </property>
  <property fmtid="{D5CDD505-2E9C-101B-9397-08002B2CF9AE}" pid="14" name="header-includes">
    <vt:lpwstr/>
  </property>
  <property fmtid="{D5CDD505-2E9C-101B-9397-08002B2CF9AE}" pid="15" name="include-after">
    <vt:lpwstr/>
  </property>
  <property fmtid="{D5CDD505-2E9C-101B-9397-08002B2CF9AE}" pid="16" name="include-before">
    <vt:lpwstr/>
  </property>
  <property fmtid="{D5CDD505-2E9C-101B-9397-08002B2CF9AE}" pid="17" name="isSM">
    <vt:lpwstr>True</vt:lpwstr>
  </property>
  <property fmtid="{D5CDD505-2E9C-101B-9397-08002B2CF9AE}" pid="18" name="knitr">
    <vt:lpwstr/>
  </property>
  <property fmtid="{D5CDD505-2E9C-101B-9397-08002B2CF9AE}" pid="19" name="labels">
    <vt:lpwstr/>
  </property>
  <property fmtid="{D5CDD505-2E9C-101B-9397-08002B2CF9AE}" pid="20" name="lightbox">
    <vt:lpwstr>auto</vt:lpwstr>
  </property>
  <property fmtid="{D5CDD505-2E9C-101B-9397-08002B2CF9AE}" pid="21" name="linenumber">
    <vt:lpwstr>True</vt:lpwstr>
  </property>
  <property fmtid="{D5CDD505-2E9C-101B-9397-08002B2CF9AE}" pid="22" name="msname">
    <vt:lpwstr>MS</vt:lpwstr>
  </property>
  <property fmtid="{D5CDD505-2E9C-101B-9397-08002B2CF9AE}" pid="23" name="newpagesubsection">
    <vt:lpwstr>True</vt:lpwstr>
  </property>
  <property fmtid="{D5CDD505-2E9C-101B-9397-08002B2CF9AE}" pid="24" name="revealjs-plugins">
    <vt:lpwstr/>
  </property>
  <property fmtid="{D5CDD505-2E9C-101B-9397-08002B2CF9AE}" pid="25" name="smname">
    <vt:lpwstr>SM</vt:lpwstr>
  </property>
  <property fmtid="{D5CDD505-2E9C-101B-9397-08002B2CF9AE}" pid="26" name="submitid">
    <vt:lpwstr/>
  </property>
  <property fmtid="{D5CDD505-2E9C-101B-9397-08002B2CF9AE}" pid="27" name="submitjournal">
    <vt:lpwstr>Water Research</vt:lpwstr>
  </property>
  <property fmtid="{D5CDD505-2E9C-101B-9397-08002B2CF9AE}" pid="28" name="subtitle">
    <vt:lpwstr>Supplementary Information</vt:lpwstr>
  </property>
  <property fmtid="{D5CDD505-2E9C-101B-9397-08002B2CF9AE}" pid="29" name="toc-title">
    <vt:lpwstr>Table of contents</vt:lpwstr>
  </property>
  <property fmtid="{D5CDD505-2E9C-101B-9397-08002B2CF9AE}" pid="30" name="watermark">
    <vt:lpwstr/>
  </property>
</Properties>
</file>