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8.png" ContentType="image/png"/>
  <Override PartName="/word/media/rId57.png" ContentType="image/png"/>
  <Override PartName="/word/media/rId43.png" ContentType="image/png"/>
  <Override PartName="/word/media/rId64.png" ContentType="image/png"/>
  <Override PartName="/word/media/rId3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Establishment of quantitative PCR methods for the quantification of geosmin-producing potential and Anabaena sp. in freshwater systems</w:t>
      </w:r>
    </w:p>
    <w:p>
      <w:pPr>
        <w:pStyle w:val="Author"/>
      </w:pPr>
      <w:r>
        <w:t xml:space="preserve">Ming Su</w:t>
      </w:r>
      <w:r>
        <w:rPr>
          <w:vertAlign w:val="superscript"/>
        </w:rPr>
        <w:t xml:space="preserve"> </w:t>
      </w:r>
      <w:hyperlink r:id="rId20">
        <w:r>
          <w:rPr>
            <w:rStyle w:val="Hyperlink"/>
            <w:vertAlign w:val="superscript"/>
          </w:rPr>
          <w:t xml:space="preserve">ID</w:t>
        </w:r>
      </w:hyperlink>
      <w:r>
        <w:rPr>
          <w:vertAlign w:val="superscript"/>
        </w:rPr>
        <w:t xml:space="preserve">,a,b,#</w:t>
      </w:r>
      <w:r>
        <w:t xml:space="preserve">, Virginie Gaget</w:t>
      </w:r>
      <w:r>
        <w:rPr>
          <w:vertAlign w:val="superscript"/>
        </w:rPr>
        <w:t xml:space="preserve">c,d</w:t>
      </w:r>
      <w:r>
        <w:t xml:space="preserve">, Steven Giglio</w:t>
      </w:r>
      <w:r>
        <w:rPr>
          <w:vertAlign w:val="superscript"/>
        </w:rPr>
        <w:t xml:space="preserve">c,e</w:t>
      </w:r>
      <w:r>
        <w:t xml:space="preserve">, Michael Burch</w:t>
      </w:r>
      <w:r>
        <w:rPr>
          <w:vertAlign w:val="superscript"/>
        </w:rPr>
        <w:t xml:space="preserve">c</w:t>
      </w:r>
      <w:r>
        <w:t xml:space="preserve">, Wei An</w:t>
      </w:r>
      <w:r>
        <w:rPr>
          <w:vertAlign w:val="superscript"/>
        </w:rPr>
        <w:t xml:space="preserve">a</w:t>
      </w:r>
      <w:r>
        <w:t xml:space="preserve">, and Min Yang</w:t>
      </w:r>
      <w:r>
        <w:rPr>
          <w:vertAlign w:val="superscript"/>
        </w:rPr>
        <w:t xml:space="preserve">a,b,*</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b</w:t>
      </w:r>
      <w:r>
        <w:t xml:space="preserve"> </w:t>
      </w:r>
      <w:r>
        <w:t xml:space="preserve">University of Chinese Academy of Sciences., Beijing 100049, China.</w:t>
      </w:r>
      <w:r>
        <w:br/>
      </w:r>
      <w:r>
        <w:rPr>
          <w:vertAlign w:val="superscript"/>
        </w:rPr>
        <w:t xml:space="preserve">c</w:t>
      </w:r>
      <w:r>
        <w:t xml:space="preserve"> </w:t>
      </w:r>
      <w:r>
        <w:t xml:space="preserve">South Australia Water Corporation, Australian Water Quality Centre, Adelaide, SA 5000, Australia.</w:t>
      </w:r>
      <w:r>
        <w:br/>
      </w:r>
      <w:r>
        <w:rPr>
          <w:vertAlign w:val="superscript"/>
        </w:rPr>
        <w:t xml:space="preserve">d</w:t>
      </w:r>
      <w:r>
        <w:t xml:space="preserve"> </w:t>
      </w:r>
      <w:r>
        <w:t xml:space="preserve">Ecology, Evolution and Landscape Sciences, School of Earth and Environment Sciences, Adelaide University, Adelaide nil, Australia.</w:t>
      </w:r>
      <w:r>
        <w:br/>
      </w:r>
      <w:r>
        <w:rPr>
          <w:vertAlign w:val="superscript"/>
        </w:rPr>
        <w:t xml:space="preserve">e</w:t>
      </w:r>
      <w:r>
        <w:t xml:space="preserve"> </w:t>
      </w:r>
      <w:r>
        <w:t xml:space="preserve">Healthscope Pathology SA, Adelaide, SA 5034, Australia.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 Yang (yangmin@rcees.ac.cn)</w:t>
        </w:r>
      </w:hyperlink>
    </w:p>
    <w:p>
      <w:r>
        <w:br w:type="page"/>
      </w:r>
    </w:p>
    <w:bookmarkStart w:id="22" w:name="abstract"/>
    <w:p>
      <w:pPr>
        <w:pStyle w:val="Heading1"/>
      </w:pPr>
      <w:r>
        <w:t xml:space="preserve">Abstract</w:t>
      </w:r>
    </w:p>
    <w:p>
      <w:pPr>
        <w:pStyle w:val="BodyText"/>
      </w:pPr>
      <w:r>
        <w:t xml:space="preserve">Geosmin has often been associated with off-flavor problems in drinking water, with</w:t>
      </w:r>
      <w:r>
        <w:t xml:space="preserve"> </w:t>
      </w:r>
      <w:r>
        <w:rPr>
          <w:i/>
          <w:iCs/>
        </w:rPr>
        <w:t xml:space="preserve">Anabaena</w:t>
      </w:r>
      <w:r>
        <w:t xml:space="preserve"> </w:t>
      </w:r>
      <w:r>
        <w:t xml:space="preserve">sp. as the major producer. Rapid on-site detection of geosmin producers as well as geosmin is important for timely management responses to potential off-flavor events. In this study, quantitative polymerase chain reaction (qPCR) methods were developed to detect</w:t>
      </w:r>
      <w:r>
        <w:t xml:space="preserve"> </w:t>
      </w:r>
      <w:r>
        <w:rPr>
          <w:i/>
          <w:iCs/>
        </w:rPr>
        <w:t xml:space="preserve">Anabaena</w:t>
      </w:r>
      <w:r>
        <w:t xml:space="preserve"> </w:t>
      </w:r>
      <w:r>
        <w:t xml:space="preserve">sp. and geosmin production potential by designing two primer sets targeting the</w:t>
      </w:r>
      <w:r>
        <w:t xml:space="preserve"> </w:t>
      </w:r>
      <w:r>
        <w:rPr>
          <w:i/>
          <w:iCs/>
        </w:rPr>
        <w:t xml:space="preserve">rpoC</w:t>
      </w:r>
      <w:r>
        <w:rPr>
          <w:vertAlign w:val="subscript"/>
        </w:rPr>
        <w:t xml:space="preserve">1</w:t>
      </w:r>
      <w:r>
        <w:t xml:space="preserve"> </w:t>
      </w:r>
      <w:r>
        <w:t xml:space="preserve">gene (ARG) and</w:t>
      </w:r>
      <w:r>
        <w:t xml:space="preserve"> </w:t>
      </w:r>
      <w:r>
        <w:rPr>
          <w:i/>
          <w:iCs/>
        </w:rPr>
        <w:t xml:space="preserve">geosmin synthase</w:t>
      </w:r>
      <w:r>
        <w:t xml:space="preserve"> </w:t>
      </w:r>
      <w:r>
        <w:t xml:space="preserve">gene (GSG) in freshwater systems. ARG density determined by qPCR was highly related to microscopic cell counts (</w:t>
      </w:r>
      <m:oMath>
        <m:sSup>
          <m:e>
            <m:r>
              <m:t>r</m:t>
            </m:r>
          </m:e>
          <m:sup>
            <m:r>
              <m:t>2</m:t>
            </m:r>
          </m:sup>
        </m:sSup>
        <m:r>
          <m:rPr>
            <m:sty m:val="p"/>
          </m:rPr>
          <m:t>=</m:t>
        </m:r>
        <m:r>
          <m:t>0.726</m:t>
        </m:r>
      </m:oMath>
      <w:r>
        <w:t xml:space="preserve">,</w:t>
      </w:r>
      <w:r>
        <w:t xml:space="preserve"> </w:t>
      </w:r>
      <m:oMath>
        <m:r>
          <m:t>p</m:t>
        </m:r>
        <m:r>
          <m:rPr>
            <m:sty m:val="p"/>
          </m:rPr>
          <m:t>&lt;</m:t>
        </m:r>
        <m:r>
          <m:t>0.001</m:t>
        </m:r>
      </m:oMath>
      <w:r>
        <w:t xml:space="preserve">), with limits of detection and quantification of 0.02 and 0.2 pg DNA, respectively. The relationship between geosmin concentrations measured by gas chromatography-mass spectrometry and GSG copy number was also established (</w:t>
      </w:r>
      <m:oMath>
        <m:sSup>
          <m:e>
            <m:r>
              <m:t>r</m:t>
            </m:r>
          </m:e>
          <m:sup>
            <m:r>
              <m:t>2</m:t>
            </m:r>
          </m:sup>
        </m:sSup>
        <m:r>
          <m:rPr>
            <m:sty m:val="p"/>
          </m:rPr>
          <m:t>=</m:t>
        </m:r>
        <m:r>
          <m:t>0.742</m:t>
        </m:r>
      </m:oMath>
      <w:r>
        <w:t xml:space="preserve">,</w:t>
      </w:r>
      <w:r>
        <w:t xml:space="preserve"> </w:t>
      </w:r>
      <m:oMath>
        <m:r>
          <m:t>p</m:t>
        </m:r>
        <m:r>
          <m:rPr>
            <m:sty m:val="p"/>
          </m:rPr>
          <m:t>&lt;</m:t>
        </m:r>
        <m:r>
          <m:t>0.001</m:t>
        </m:r>
      </m:oMath>
      <w:r>
        <w:t xml:space="preserve">), with similar detection limits. The two protocols measured different levels of ARG and GSG copies across freshwater systems with diverse ecological conditions, showing their potential for environmental monitoring. Compared with microscopy and GC-MS, qPCR reduced time to results from several days to a few hours and required less taxonomic expertise.</w:t>
      </w:r>
    </w:p>
    <w:p>
      <w:r>
        <w:br w:type="page"/>
      </w:r>
    </w:p>
    <w:bookmarkEnd w:id="22"/>
    <w:bookmarkStart w:id="23" w:name="intro"/>
    <w:p>
      <w:pPr>
        <w:pStyle w:val="Heading1"/>
      </w:pPr>
      <w:r>
        <w:t xml:space="preserve">Introduction</w:t>
      </w:r>
    </w:p>
    <w:p>
      <w:pPr>
        <w:pStyle w:val="BodyText"/>
      </w:pPr>
      <w:r>
        <w:t xml:space="preserve">Cyanobacterial blooms occur frequently in lakes and reservoirs over the</w:t>
      </w:r>
      <w:r>
        <w:t xml:space="preserve"> </w:t>
      </w:r>
      <w:r>
        <w:t xml:space="preserve">world and have exerted a serious impact on aquatic ecosystems, human</w:t>
      </w:r>
      <w:r>
        <w:t xml:space="preserve"> </w:t>
      </w:r>
      <w:r>
        <w:t xml:space="preserve">health, and a large range of human activities</w:t>
      </w:r>
      <w:r>
        <w:t xml:space="preserve"> </w:t>
      </w:r>
      <w:r>
        <w:t xml:space="preserve">(Battocchi et al., 2010)</w:t>
      </w:r>
      <w:r>
        <w:t xml:space="preserve">. Such</w:t>
      </w:r>
      <w:r>
        <w:t xml:space="preserve"> </w:t>
      </w:r>
      <w:r>
        <w:t xml:space="preserve">blooms are often accompanied with the occurrence of taste and odor</w:t>
      </w:r>
      <w:r>
        <w:t xml:space="preserve"> </w:t>
      </w:r>
      <w:r>
        <w:t xml:space="preserve">problems caused by cyanobacterial metabolites such as geosmin</w:t>
      </w:r>
      <w:r>
        <w:t xml:space="preserve"> </w:t>
      </w:r>
      <w:r>
        <w:t xml:space="preserve">(trans-1,10-dimethyl-trans-9-decalol) and MIB (2-methylisoborneol or</w:t>
      </w:r>
      <w:r>
        <w:t xml:space="preserve"> </w:t>
      </w:r>
      <w:r>
        <w:t xml:space="preserve">1,2,7,7-tetramethyl-exo-bicyclo-[2,2,1]-heptan-2-ol)</w:t>
      </w:r>
      <w:r>
        <w:t xml:space="preserve"> </w:t>
      </w:r>
      <w:r>
        <w:t xml:space="preserve">(Saadoun et al., 2001)</w:t>
      </w:r>
      <w:r>
        <w:t xml:space="preserve">.</w:t>
      </w:r>
      <w:r>
        <w:t xml:space="preserve"> </w:t>
      </w:r>
      <w:r>
        <w:rPr>
          <w:i/>
          <w:iCs/>
        </w:rPr>
        <w:t xml:space="preserve">Anabaena</w:t>
      </w:r>
      <w:r>
        <w:t xml:space="preserve">, a well-known bloom-forming cyanobacterial genus, has been</w:t>
      </w:r>
      <w:r>
        <w:t xml:space="preserve"> </w:t>
      </w:r>
      <w:r>
        <w:t xml:space="preserve">reported to be responsible for 46% of geosmin-related taste and odor</w:t>
      </w:r>
      <w:r>
        <w:t xml:space="preserve"> </w:t>
      </w:r>
      <w:r>
        <w:t xml:space="preserve">events</w:t>
      </w:r>
      <w:r>
        <w:t xml:space="preserve"> </w:t>
      </w:r>
      <w:r>
        <w:t xml:space="preserve">(Krienitz et al., 2002; Kuosa, 1991; Sabour et al., 2005; Sotero-santos et al., 2008)</w:t>
      </w:r>
      <w:r>
        <w:t xml:space="preserve">.</w:t>
      </w:r>
      <w:r>
        <w:t xml:space="preserve"> </w:t>
      </w:r>
      <w:r>
        <w:t xml:space="preserve">In 2007, a severe</w:t>
      </w:r>
      <w:r>
        <w:t xml:space="preserve"> </w:t>
      </w:r>
      <w:r>
        <w:rPr>
          <w:i/>
          <w:iCs/>
        </w:rPr>
        <w:t xml:space="preserve">Anabaena</w:t>
      </w:r>
      <w:r>
        <w:t xml:space="preserve"> </w:t>
      </w:r>
      <w:r>
        <w:t xml:space="preserve">bloom occurred in Yanghe Reservoir in north</w:t>
      </w:r>
      <w:r>
        <w:t xml:space="preserve"> </w:t>
      </w:r>
      <w:r>
        <w:t xml:space="preserve">China, resulting in a serious water supply crisis due to the production</w:t>
      </w:r>
      <w:r>
        <w:t xml:space="preserve"> </w:t>
      </w:r>
      <w:r>
        <w:t xml:space="preserve">of high concentration of geosmin</w:t>
      </w:r>
      <w:r>
        <w:t xml:space="preserve"> </w:t>
      </w:r>
      <w:r>
        <w:t xml:space="preserve">(Li et al., 2010)</w:t>
      </w:r>
      <w:r>
        <w:t xml:space="preserve">. Cyanobacteria grow</w:t>
      </w:r>
      <w:r>
        <w:t xml:space="preserve"> </w:t>
      </w:r>
      <w:r>
        <w:t xml:space="preserve">exponentially forming blooms and forming large visible biomass within a</w:t>
      </w:r>
      <w:r>
        <w:t xml:space="preserve"> </w:t>
      </w:r>
      <w:r>
        <w:t xml:space="preserve">short period of time. Moreover, cyanobacterial metabolites like geosmin</w:t>
      </w:r>
      <w:r>
        <w:t xml:space="preserve"> </w:t>
      </w:r>
      <w:r>
        <w:t xml:space="preserve">are volatile and susceptible to biodegradation in water</w:t>
      </w:r>
      <w:r>
        <w:t xml:space="preserve"> </w:t>
      </w:r>
      <w:r>
        <w:t xml:space="preserve">(Ho et al., 2007)</w:t>
      </w:r>
      <w:r>
        <w:t xml:space="preserve">.</w:t>
      </w:r>
      <w:r>
        <w:t xml:space="preserve"> </w:t>
      </w:r>
      <w:r>
        <w:t xml:space="preserve">Therefore a quick or even on-site detection method would be desirable</w:t>
      </w:r>
      <w:r>
        <w:t xml:space="preserve"> </w:t>
      </w:r>
      <w:r>
        <w:t xml:space="preserve">during a taste and odor event, especially in the case of an extensive</w:t>
      </w:r>
      <w:r>
        <w:t xml:space="preserve"> </w:t>
      </w:r>
      <w:r>
        <w:t xml:space="preserve">sampling</w:t>
      </w:r>
      <w:r>
        <w:t xml:space="preserve"> </w:t>
      </w:r>
      <w:r>
        <w:t xml:space="preserve">(Battocchi et al., 2010)</w:t>
      </w:r>
      <w:r>
        <w:t xml:space="preserve">. Microscopic count, which has long been the</w:t>
      </w:r>
      <w:r>
        <w:t xml:space="preserve"> </w:t>
      </w:r>
      <w:r>
        <w:t xml:space="preserve">major approach used for the monitoring of algae in lakes and reservoirs</w:t>
      </w:r>
      <w:r>
        <w:t xml:space="preserve"> </w:t>
      </w:r>
      <w:r>
        <w:t xml:space="preserve">(Hotzel and Croome, 1994)</w:t>
      </w:r>
      <w:r>
        <w:t xml:space="preserve">, is very time-consuming</w:t>
      </w:r>
      <w:r>
        <w:t xml:space="preserve"> </w:t>
      </w:r>
      <w:r>
        <w:t xml:space="preserve">(Rodenacker et al., 2001)</w:t>
      </w:r>
      <w:r>
        <w:t xml:space="preserve">. In</w:t>
      </w:r>
      <w:r>
        <w:t xml:space="preserve"> </w:t>
      </w:r>
      <w:r>
        <w:t xml:space="preserve">addition, the limitation of morphological identification criteria has</w:t>
      </w:r>
      <w:r>
        <w:t xml:space="preserve"> </w:t>
      </w:r>
      <w:r>
        <w:t xml:space="preserve">sometimes rendered it difficult to assign cyanobacteria to a certain</w:t>
      </w:r>
      <w:r>
        <w:t xml:space="preserve"> </w:t>
      </w:r>
      <w:r>
        <w:t xml:space="preserve">genus or species</w:t>
      </w:r>
      <w:r>
        <w:t xml:space="preserve"> </w:t>
      </w:r>
      <w:r>
        <w:t xml:space="preserve">(Humbert et al., 2010)</w:t>
      </w:r>
      <w:r>
        <w:t xml:space="preserve">, and the reliability of data depends</w:t>
      </w:r>
      <w:r>
        <w:t xml:space="preserve"> </w:t>
      </w:r>
      <w:r>
        <w:t xml:space="preserve">largely on the skill and taxonomic expertise of the operators</w:t>
      </w:r>
      <w:r>
        <w:t xml:space="preserve"> </w:t>
      </w:r>
      <w:r>
        <w:t xml:space="preserve">(Christensen et al., 2009)</w:t>
      </w:r>
      <w:r>
        <w:t xml:space="preserve">. On the other hand, on-site detection of the odor</w:t>
      </w:r>
      <w:r>
        <w:t xml:space="preserve"> </w:t>
      </w:r>
      <w:r>
        <w:t xml:space="preserve">compounds is generally not practicable as the equipment (usually gas</w:t>
      </w:r>
      <w:r>
        <w:t xml:space="preserve"> </w:t>
      </w:r>
      <w:r>
        <w:t xml:space="preserve">chromatography-mass spectrophotometry (GC-MS)) used for this purpose are</w:t>
      </w:r>
      <w:r>
        <w:t xml:space="preserve"> </w:t>
      </w:r>
      <w:r>
        <w:t xml:space="preserve">large machines and not transportable in the field</w:t>
      </w:r>
      <w:r>
        <w:t xml:space="preserve"> </w:t>
      </w:r>
      <w:r>
        <w:t xml:space="preserve">(Deng et al., 2011)</w:t>
      </w:r>
      <w:r>
        <w:t xml:space="preserve">.</w:t>
      </w:r>
    </w:p>
    <w:p>
      <w:pPr>
        <w:pStyle w:val="BodyText"/>
      </w:pPr>
      <w:r>
        <w:t xml:space="preserve">Quantitative polymerase chain reaction (qPCR) has been proven to be</w:t>
      </w:r>
      <w:r>
        <w:t xml:space="preserve"> </w:t>
      </w:r>
      <w:r>
        <w:t xml:space="preserve">reliable, robust, sensitive and fast</w:t>
      </w:r>
      <w:r>
        <w:t xml:space="preserve"> </w:t>
      </w:r>
      <w:r>
        <w:t xml:space="preserve">(Rasmussen et al., 2008b; Rinta-kanto et al., 2005)</w:t>
      </w:r>
      <w:r>
        <w:t xml:space="preserve">,</w:t>
      </w:r>
      <w:r>
        <w:t xml:space="preserve"> </w:t>
      </w:r>
      <w:r>
        <w:t xml:space="preserve">which may be suitable for the on-site survey of cyanobacterial blooms.</w:t>
      </w:r>
      <w:r>
        <w:t xml:space="preserve"> </w:t>
      </w:r>
      <w:r>
        <w:t xml:space="preserve">In comparison with the</w:t>
      </w:r>
      <w:r>
        <w:t xml:space="preserve"> </w:t>
      </w:r>
      <w:r>
        <w:rPr>
          <w:i/>
          <w:iCs/>
        </w:rPr>
        <w:t xml:space="preserve">16S rRNA</w:t>
      </w:r>
      <w:r>
        <w:t xml:space="preserve"> </w:t>
      </w:r>
      <w:r>
        <w:t xml:space="preserve">genes, which has been used extensively</w:t>
      </w:r>
      <w:r>
        <w:t xml:space="preserve"> </w:t>
      </w:r>
      <w:r>
        <w:t xml:space="preserve">for the design of primers for cyanobacterial detection</w:t>
      </w:r>
      <w:r>
        <w:t xml:space="preserve"> </w:t>
      </w:r>
      <w:r>
        <w:t xml:space="preserve">(Matsunaga et al., 2001; Rocap et al., 2002; Steindler et al., 2005)</w:t>
      </w:r>
      <w:r>
        <w:t xml:space="preserve">, the gamma-unit of the DNA-dependent RNA</w:t>
      </w:r>
      <w:r>
        <w:t xml:space="preserve"> </w:t>
      </w:r>
      <w:r>
        <w:t xml:space="preserve">polymerase (</w:t>
      </w:r>
      <m:oMath>
        <m:r>
          <m:t>r</m:t>
        </m:r>
        <m:r>
          <m:t>p</m:t>
        </m:r>
        <m:r>
          <m:t>o</m:t>
        </m:r>
        <m:sSub>
          <m:e>
            <m:r>
              <m:t>C</m:t>
            </m:r>
          </m:e>
          <m:sub>
            <m:r>
              <m:t>1</m:t>
            </m:r>
          </m:sub>
        </m:sSub>
      </m:oMath>
      <w:r>
        <w:t xml:space="preserve">) gene could be a more discriminatory marker to</w:t>
      </w:r>
      <w:r>
        <w:t xml:space="preserve"> </w:t>
      </w:r>
      <w:r>
        <w:t xml:space="preserve">assign cyanobacterial cultures/isolates at the genus or even the species</w:t>
      </w:r>
      <w:r>
        <w:t xml:space="preserve"> </w:t>
      </w:r>
      <w:r>
        <w:t xml:space="preserve">levels</w:t>
      </w:r>
      <w:r>
        <w:t xml:space="preserve"> </w:t>
      </w:r>
      <w:r>
        <w:t xml:space="preserve">(Bergsland and Haselkorn, 1991; Fergusson and Saint, 2000; Innok et al., 2005; Palenik and Haselkorn, 1992)</w:t>
      </w:r>
      <w:r>
        <w:t xml:space="preserve">.</w:t>
      </w:r>
      <w:r>
        <w:t xml:space="preserve"> </w:t>
      </w:r>
      <w:r>
        <w:t xml:space="preserve">This gene has been employed for rapid on-site monitoring of</w:t>
      </w:r>
      <w:r>
        <w:t xml:space="preserve"> </w:t>
      </w:r>
      <w:r>
        <w:rPr>
          <w:i/>
          <w:iCs/>
        </w:rPr>
        <w:t xml:space="preserve">Cylindrospermopsis raciborskii</w:t>
      </w:r>
      <w:r>
        <w:t xml:space="preserve"> </w:t>
      </w:r>
      <w:r>
        <w:t xml:space="preserve">by using qPCR in reservoirs</w:t>
      </w:r>
      <w:r>
        <w:t xml:space="preserve"> </w:t>
      </w:r>
      <w:r>
        <w:t xml:space="preserve">(Marbun et al., 2012)</w:t>
      </w:r>
      <w:r>
        <w:t xml:space="preserve">. With regard to geosmin, the</w:t>
      </w:r>
      <w:r>
        <w:t xml:space="preserve"> </w:t>
      </w:r>
      <w:r>
        <w:rPr>
          <w:i/>
          <w:iCs/>
        </w:rPr>
        <w:t xml:space="preserve">geosmin synthase</w:t>
      </w:r>
      <w:r>
        <w:t xml:space="preserve"> </w:t>
      </w:r>
      <w:r>
        <w:t xml:space="preserve">gene has been discovered recently, which is responsible for biosynthesis</w:t>
      </w:r>
      <w:r>
        <w:t xml:space="preserve"> </w:t>
      </w:r>
      <w:r>
        <w:t xml:space="preserve">of geosmin in cyanobacteria. It has provided the fundamental knowledge</w:t>
      </w:r>
      <w:r>
        <w:t xml:space="preserve"> </w:t>
      </w:r>
      <w:r>
        <w:t xml:space="preserve">to investigate into the relationship between geosmin production</w:t>
      </w:r>
      <w:r>
        <w:t xml:space="preserve"> </w:t>
      </w:r>
      <w:r>
        <w:t xml:space="preserve">potential and</w:t>
      </w:r>
      <w:r>
        <w:t xml:space="preserve"> </w:t>
      </w:r>
      <w:r>
        <w:rPr>
          <w:i/>
          <w:iCs/>
        </w:rPr>
        <w:t xml:space="preserve">geosmin synthase</w:t>
      </w:r>
      <w:r>
        <w:t xml:space="preserve"> </w:t>
      </w:r>
      <w:r>
        <w:t xml:space="preserve">gene (</w:t>
      </w:r>
      <w:r>
        <w:rPr>
          <w:i/>
          <w:iCs/>
        </w:rPr>
        <w:t xml:space="preserve">GSG</w:t>
      </w:r>
      <w:r>
        <w:t xml:space="preserve">) expression</w:t>
      </w:r>
      <w:r>
        <w:t xml:space="preserve"> </w:t>
      </w:r>
      <w:r>
        <w:t xml:space="preserve">(Cane et al., 2006; Cane and Watt, 2003; Giglio et al., 2008; Gust et al., 2003; Jiang et al., 2007, 2006)</w:t>
      </w:r>
      <w:r>
        <w:t xml:space="preserve">.</w:t>
      </w:r>
      <w:r>
        <w:t xml:space="preserve"> </w:t>
      </w:r>
      <w:r>
        <w:t xml:space="preserve">Moreover, the growth conditions affecting the expression of</w:t>
      </w:r>
      <w:r>
        <w:t xml:space="preserve"> </w:t>
      </w:r>
      <w:r>
        <w:rPr>
          <w:i/>
          <w:iCs/>
        </w:rPr>
        <w:t xml:space="preserve">GSG</w:t>
      </w:r>
      <w:r>
        <w:t xml:space="preserve"> </w:t>
      </w:r>
      <w:r>
        <w:t xml:space="preserve">in</w:t>
      </w:r>
      <w:r>
        <w:t xml:space="preserve"> </w:t>
      </w:r>
      <w:r>
        <w:rPr>
          <w:i/>
          <w:iCs/>
        </w:rPr>
        <w:t xml:space="preserve">A. circinalis</w:t>
      </w:r>
      <w:r>
        <w:t xml:space="preserve"> </w:t>
      </w:r>
      <w:r>
        <w:t xml:space="preserve">have been examined</w:t>
      </w:r>
      <w:r>
        <w:t xml:space="preserve"> </w:t>
      </w:r>
      <w:r>
        <w:t xml:space="preserve">(Giglio et al., 2011)</w:t>
      </w:r>
      <w:r>
        <w:t xml:space="preserve">. These two genes</w:t>
      </w:r>
      <w:r>
        <w:t xml:space="preserve"> </w:t>
      </w:r>
      <w:r>
        <w:t xml:space="preserve">would be good candidates for the development of specific PCR assays for</w:t>
      </w:r>
      <w:r>
        <w:t xml:space="preserve"> </w:t>
      </w:r>
      <w:r>
        <w:t xml:space="preserve">the detection of</w:t>
      </w:r>
      <w:r>
        <w:t xml:space="preserve"> </w:t>
      </w:r>
      <w:r>
        <w:rPr>
          <w:i/>
          <w:iCs/>
        </w:rPr>
        <w:t xml:space="preserve">Anabaena</w:t>
      </w:r>
      <w:r>
        <w:t xml:space="preserve"> </w:t>
      </w:r>
      <w:r>
        <w:t xml:space="preserve">sp. and also other potential geosmin</w:t>
      </w:r>
      <w:r>
        <w:t xml:space="preserve"> </w:t>
      </w:r>
      <w:r>
        <w:t xml:space="preserve">producers in the environment.</w:t>
      </w:r>
    </w:p>
    <w:p>
      <w:pPr>
        <w:pStyle w:val="BodyText"/>
      </w:pPr>
      <w:r>
        <w:t xml:space="preserve">In this study, two PCR primer sets were designed to amplify a fragment</w:t>
      </w:r>
      <w:r>
        <w:t xml:space="preserve"> </w:t>
      </w:r>
      <w:r>
        <w:t xml:space="preserve">of the</w:t>
      </w:r>
      <w:r>
        <w:t xml:space="preserve"> </w:t>
      </w:r>
      <w:r>
        <w:rPr>
          <w:i/>
          <w:iCs/>
        </w:rPr>
        <w:t xml:space="preserve">Anabaena</w:t>
      </w:r>
      <w:r>
        <w:t xml:space="preserve"> </w:t>
      </w:r>
      <m:oMath>
        <m:r>
          <m:t>r</m:t>
        </m:r>
        <m:r>
          <m:t>p</m:t>
        </m:r>
        <m:r>
          <m:t>o</m:t>
        </m:r>
        <m:sSub>
          <m:e>
            <m:r>
              <m:t>C</m:t>
            </m:r>
          </m:e>
          <m:sub>
            <m:r>
              <m:t>1</m:t>
            </m:r>
          </m:sub>
        </m:sSub>
      </m:oMath>
      <w:r>
        <w:t xml:space="preserve"> </w:t>
      </w:r>
      <w:r>
        <w:t xml:space="preserve">gene (</w:t>
      </w:r>
      <w:r>
        <w:rPr>
          <w:i/>
          <w:iCs/>
        </w:rPr>
        <w:t xml:space="preserve">ARG</w:t>
      </w:r>
      <w:r>
        <w:t xml:space="preserve">) and</w:t>
      </w:r>
      <w:r>
        <w:t xml:space="preserve"> </w:t>
      </w:r>
      <w:r>
        <w:rPr>
          <w:i/>
          <w:iCs/>
        </w:rPr>
        <w:t xml:space="preserve">GSG</w:t>
      </w:r>
      <w:r>
        <w:t xml:space="preserve"> </w:t>
      </w:r>
      <w:r>
        <w:t xml:space="preserve">homologs,</w:t>
      </w:r>
      <w:r>
        <w:t xml:space="preserve"> </w:t>
      </w:r>
      <w:r>
        <w:t xml:space="preserve">respectively. The specificities of the</w:t>
      </w:r>
      <w:r>
        <w:t xml:space="preserve"> </w:t>
      </w:r>
      <m:oMath>
        <m:r>
          <m:t>r</m:t>
        </m:r>
        <m:r>
          <m:t>p</m:t>
        </m:r>
        <m:r>
          <m:t>o</m:t>
        </m:r>
        <m:sSub>
          <m:e>
            <m:r>
              <m:t>C</m:t>
            </m:r>
          </m:e>
          <m:sub>
            <m:r>
              <m:t>1</m:t>
            </m:r>
          </m:sub>
        </m:sSub>
      </m:oMath>
      <w:r>
        <w:t xml:space="preserve">-based primer set (</w:t>
      </w:r>
      <w:r>
        <w:rPr>
          <w:i/>
          <w:iCs/>
        </w:rPr>
        <w:t xml:space="preserve">ARG</w:t>
      </w:r>
      <w:r>
        <w:t xml:space="preserve"> </w:t>
      </w:r>
      <w:r>
        <w:t xml:space="preserve">primers) and</w:t>
      </w:r>
      <w:r>
        <w:t xml:space="preserve"> </w:t>
      </w:r>
      <w:r>
        <w:rPr>
          <w:i/>
          <w:iCs/>
        </w:rPr>
        <w:t xml:space="preserve">geosmin synthase</w:t>
      </w:r>
      <w:r>
        <w:t xml:space="preserve"> </w:t>
      </w:r>
      <w:r>
        <w:t xml:space="preserve">gene based primer set (</w:t>
      </w:r>
      <w:r>
        <w:rPr>
          <w:i/>
          <w:iCs/>
        </w:rPr>
        <w:t xml:space="preserve">GSG</w:t>
      </w:r>
      <w:r>
        <w:t xml:space="preserve"> </w:t>
      </w:r>
      <w:r>
        <w:t xml:space="preserve">primers)</w:t>
      </w:r>
      <w:r>
        <w:t xml:space="preserve"> </w:t>
      </w:r>
      <w:r>
        <w:t xml:space="preserve">were verified by testing 47 and 11 cyanobacterial cultures,</w:t>
      </w:r>
      <w:r>
        <w:t xml:space="preserve"> </w:t>
      </w:r>
      <w:r>
        <w:t xml:space="preserve">respectively. Both PCR assays were validated with a culture-based</w:t>
      </w:r>
      <w:r>
        <w:t xml:space="preserve"> </w:t>
      </w:r>
      <w:r>
        <w:t xml:space="preserve">experiment using a geosmin-producing strain (</w:t>
      </w:r>
      <w:r>
        <w:rPr>
          <w:i/>
          <w:iCs/>
        </w:rPr>
        <w:t xml:space="preserve">A. circinalis</w:t>
      </w:r>
      <w:r>
        <w:t xml:space="preserve"> </w:t>
      </w:r>
      <w:r>
        <w:t xml:space="preserve">AWQC-ANA318) over a period of 72 days, as well as 63 field samples (7</w:t>
      </w:r>
      <w:r>
        <w:t xml:space="preserve"> </w:t>
      </w:r>
      <w:r>
        <w:t xml:space="preserve">sites</w:t>
      </w:r>
      <w:r>
        <w:t xml:space="preserve"> </w:t>
      </w:r>
      <m:oMath>
        <m:r>
          <m:rPr>
            <m:sty m:val="p"/>
          </m:rPr>
          <m:t>×</m:t>
        </m:r>
      </m:oMath>
      <w:r>
        <w:t xml:space="preserve"> </w:t>
      </w:r>
      <w:r>
        <w:t xml:space="preserve">3 repeats</w:t>
      </w:r>
      <w:r>
        <w:t xml:space="preserve"> </w:t>
      </w:r>
      <m:oMath>
        <m:r>
          <m:rPr>
            <m:sty m:val="p"/>
          </m:rPr>
          <m:t>×</m:t>
        </m:r>
      </m:oMath>
      <w:r>
        <w:t xml:space="preserve"> </w:t>
      </w:r>
      <w:r>
        <w:t xml:space="preserve">3 levels) spiked with different levels</w:t>
      </w:r>
      <w:r>
        <w:t xml:space="preserve"> </w:t>
      </w:r>
      <w:r>
        <w:t xml:space="preserve">of</w:t>
      </w:r>
      <w:r>
        <w:t xml:space="preserve"> </w:t>
      </w:r>
      <w:r>
        <w:rPr>
          <w:i/>
          <w:iCs/>
        </w:rPr>
        <w:t xml:space="preserve">Anabaena</w:t>
      </w:r>
      <w:r>
        <w:t xml:space="preserve"> </w:t>
      </w:r>
      <w:r>
        <w:t xml:space="preserve">(</w:t>
      </w:r>
      <w:r>
        <w:rPr>
          <w:i/>
          <w:iCs/>
        </w:rPr>
        <w:t xml:space="preserve">A. spiroides</w:t>
      </w:r>
      <w:r>
        <w:t xml:space="preserve"> </w:t>
      </w:r>
      <w:r>
        <w:t xml:space="preserve">FADC-0001). This study provides a valuable</w:t>
      </w:r>
      <w:r>
        <w:t xml:space="preserve"> </w:t>
      </w:r>
      <w:r>
        <w:t xml:space="preserve">on-site technique for the early monitoring of geosmin-producing</w:t>
      </w:r>
      <w:r>
        <w:t xml:space="preserve"> </w:t>
      </w:r>
      <w:r>
        <w:rPr>
          <w:i/>
          <w:iCs/>
        </w:rPr>
        <w:t xml:space="preserve">Anabaena</w:t>
      </w:r>
      <w:r>
        <w:t xml:space="preserve">.</w:t>
      </w:r>
    </w:p>
    <w:bookmarkEnd w:id="23"/>
    <w:bookmarkStart w:id="33" w:name="method"/>
    <w:p>
      <w:pPr>
        <w:pStyle w:val="Heading1"/>
      </w:pPr>
      <w:r>
        <w:t xml:space="preserve">Materials and methods</w:t>
      </w:r>
    </w:p>
    <w:bookmarkStart w:id="25" w:name="method:cul"/>
    <w:p>
      <w:pPr>
        <w:pStyle w:val="Heading2"/>
      </w:pPr>
      <w:r>
        <w:t xml:space="preserve">Cyanobacterial cultures</w:t>
      </w:r>
    </w:p>
    <w:p>
      <w:pPr>
        <w:pStyle w:val="BodyText"/>
      </w:pPr>
      <w:r>
        <w:t xml:space="preserve">Thirty</w:t>
      </w:r>
      <w:r>
        <w:t xml:space="preserve"> </w:t>
      </w:r>
      <w:r>
        <w:rPr>
          <w:i/>
          <w:iCs/>
        </w:rPr>
        <w:t xml:space="preserve">Anabaena</w:t>
      </w:r>
      <w:r>
        <w:t xml:space="preserve"> </w:t>
      </w:r>
      <w:r>
        <w:t xml:space="preserve">strains, fifteen</w:t>
      </w:r>
      <w:r>
        <w:t xml:space="preserve"> </w:t>
      </w:r>
      <w:r>
        <w:rPr>
          <w:i/>
          <w:iCs/>
        </w:rPr>
        <w:t xml:space="preserve">Microcystis</w:t>
      </w:r>
      <w:r>
        <w:t xml:space="preserve"> </w:t>
      </w:r>
      <w:r>
        <w:t xml:space="preserve">strains and two</w:t>
      </w:r>
      <w:r>
        <w:t xml:space="preserve"> </w:t>
      </w:r>
      <w:r>
        <w:rPr>
          <w:i/>
          <w:iCs/>
        </w:rPr>
        <w:t xml:space="preserve">Cylindrospermopsis</w:t>
      </w:r>
      <w:r>
        <w:t xml:space="preserve"> </w:t>
      </w:r>
      <w:r>
        <w:t xml:space="preserve">strains obtained from Australian Water Quality</w:t>
      </w:r>
      <w:r>
        <w:t xml:space="preserve"> </w:t>
      </w:r>
      <w:r>
        <w:t xml:space="preserve">Centre (AWQC), Freshwater Algae Culture Collection of the Institute of</w:t>
      </w:r>
      <w:r>
        <w:t xml:space="preserve"> </w:t>
      </w:r>
      <w:r>
        <w:t xml:space="preserve">Hydrobiology (FACHB) and Chinese Research Academy of Environmental</w:t>
      </w:r>
      <w:r>
        <w:t xml:space="preserve"> </w:t>
      </w:r>
      <w:r>
        <w:t xml:space="preserve">Sciences (CRAES) were used to test the specificity of</w:t>
      </w:r>
      <w:r>
        <w:t xml:space="preserve"> </w:t>
      </w:r>
      <w:r>
        <w:rPr>
          <w:i/>
          <w:iCs/>
        </w:rPr>
        <w:t xml:space="preserve">ARG</w:t>
      </w:r>
      <w:r>
        <w:t xml:space="preserve"> </w:t>
      </w:r>
      <w:r>
        <w:t xml:space="preserve">primers</w:t>
      </w:r>
      <w:r>
        <w:t xml:space="preserve"> </w:t>
      </w:r>
      <w:r>
        <w:t xml:space="preserve">(</w:t>
      </w:r>
      <w:hyperlink w:anchor="tbl-anaprimer">
        <w:r>
          <w:rPr>
            <w:rStyle w:val="Hyperlink"/>
          </w:rPr>
          <w:t xml:space="preserve">Table 1</w:t>
        </w:r>
      </w:hyperlink>
      <w:r>
        <w:t xml:space="preserve">, the AWQC-strains were performed in AWQC in</w:t>
      </w:r>
      <w:r>
        <w:t xml:space="preserve"> </w:t>
      </w:r>
      <w:r>
        <w:t xml:space="preserve">2009, while the FACHB/FADC-strains were performed in Beijing in 2012);</w:t>
      </w:r>
      <w:r>
        <w:t xml:space="preserve"> </w:t>
      </w:r>
      <w:r>
        <w:t xml:space="preserve">on the other hand, eleven</w:t>
      </w:r>
      <w:r>
        <w:t xml:space="preserve"> </w:t>
      </w:r>
      <w:r>
        <w:rPr>
          <w:i/>
          <w:iCs/>
        </w:rPr>
        <w:t xml:space="preserve">Anabaena</w:t>
      </w:r>
      <w:r>
        <w:t xml:space="preserve"> </w:t>
      </w:r>
      <w:r>
        <w:t xml:space="preserve">strains were used to test the</w:t>
      </w:r>
      <w:r>
        <w:t xml:space="preserve"> </w:t>
      </w:r>
      <w:r>
        <w:t xml:space="preserve">specificity of</w:t>
      </w:r>
      <w:r>
        <w:t xml:space="preserve"> </w:t>
      </w:r>
      <w:r>
        <w:rPr>
          <w:i/>
          <w:iCs/>
        </w:rPr>
        <w:t xml:space="preserve">GSG</w:t>
      </w:r>
      <w:r>
        <w:t xml:space="preserve"> </w:t>
      </w:r>
      <w:r>
        <w:t xml:space="preserve">primers (</w:t>
      </w:r>
      <w:hyperlink w:anchor="tbl-geosprimer">
        <w:r>
          <w:rPr>
            <w:rStyle w:val="Hyperlink"/>
          </w:rPr>
          <w:t xml:space="preserve">Table 2</w:t>
        </w:r>
      </w:hyperlink>
      <w:r>
        <w:t xml:space="preserve">).</w:t>
      </w:r>
      <w:r>
        <w:t xml:space="preserve"> </w:t>
      </w:r>
      <w:r>
        <w:rPr>
          <w:i/>
          <w:iCs/>
        </w:rPr>
        <w:t xml:space="preserve">A. circinalis</w:t>
      </w:r>
      <w:r>
        <w:t xml:space="preserve"> </w:t>
      </w:r>
      <w:r>
        <w:t xml:space="preserve">strain AWQC-ANA318 was used to simulate a cyanobacterial</w:t>
      </w:r>
      <w:r>
        <w:t xml:space="preserve"> </w:t>
      </w:r>
      <w:r>
        <w:t xml:space="preserve">bloom in a laboratory culture system. The strain was isolated at the</w:t>
      </w:r>
      <w:r>
        <w:t xml:space="preserve"> </w:t>
      </w:r>
      <w:r>
        <w:t xml:space="preserve">AWQC in 1995 from a sample sourced from Pejar Dam in Goulburn, NSW,</w:t>
      </w:r>
      <w:r>
        <w:t xml:space="preserve"> </w:t>
      </w:r>
      <w:r>
        <w:t xml:space="preserve">Australia, during a taste and odor episode</w:t>
      </w:r>
      <w:r>
        <w:t xml:space="preserve"> </w:t>
      </w:r>
      <w:r>
        <w:t xml:space="preserve">(Giglio et al., 2011)</w:t>
      </w:r>
      <w:r>
        <w:t xml:space="preserve">; In addition,</w:t>
      </w:r>
      <w:r>
        <w:t xml:space="preserve"> </w:t>
      </w:r>
      <w:r>
        <w:rPr>
          <w:i/>
          <w:iCs/>
        </w:rPr>
        <w:t xml:space="preserve">A. spiroides</w:t>
      </w:r>
      <w:r>
        <w:t xml:space="preserve"> </w:t>
      </w:r>
      <w:r>
        <w:t xml:space="preserve">strain FADC-0001 was used to validate the qPCR methods on</w:t>
      </w:r>
      <w:r>
        <w:t xml:space="preserve"> </w:t>
      </w:r>
      <w:r>
        <w:t xml:space="preserve">field samples with</w:t>
      </w:r>
      <w:r>
        <w:t xml:space="preserve"> </w:t>
      </w:r>
      <w:r>
        <w:rPr>
          <w:i/>
          <w:iCs/>
        </w:rPr>
        <w:t xml:space="preserve">A. spiroides</w:t>
      </w:r>
      <w:r>
        <w:t xml:space="preserve"> </w:t>
      </w:r>
      <w:r>
        <w:t xml:space="preserve">supplemented. This strain was isolated</w:t>
      </w:r>
      <w:r>
        <w:t xml:space="preserve"> </w:t>
      </w:r>
      <w:r>
        <w:t xml:space="preserve">at Chinese Research Academy of Environmental Sciences (CRAES) from</w:t>
      </w:r>
      <w:r>
        <w:t xml:space="preserve"> </w:t>
      </w:r>
      <w:r>
        <w:t xml:space="preserve">Yanghe Reservoir in north China, during a cyanobacterial bloom in 2007.</w:t>
      </w:r>
      <w:r>
        <w:t xml:space="preserve"> </w:t>
      </w:r>
      <w:r>
        <w:t xml:space="preserve">The reason for choosing these two strains was that they belong to the</w:t>
      </w:r>
      <w:r>
        <w:t xml:space="preserve"> </w:t>
      </w:r>
      <w:r>
        <w:t xml:space="preserve">two major bloom-forming species in South Australia (SA)</w:t>
      </w:r>
      <w:r>
        <w:t xml:space="preserve"> </w:t>
      </w:r>
      <w:r>
        <w:t xml:space="preserve">(Llewellyn et al., 2001)</w:t>
      </w:r>
      <w:r>
        <w:t xml:space="preserve"> </w:t>
      </w:r>
      <w:r>
        <w:t xml:space="preserve">and China, respectively</w:t>
      </w:r>
      <w:r>
        <w:t xml:space="preserve"> </w:t>
      </w:r>
      <w:r>
        <w:t xml:space="preserve">(Li et al., 2010; Pan et al., 2009)</w:t>
      </w:r>
      <w:r>
        <w:t xml:space="preserve">.</w:t>
      </w:r>
    </w:p>
    <w:p>
      <w:pPr>
        <w:pStyle w:val="BodyText"/>
      </w:pPr>
      <w:r>
        <w:t xml:space="preserve">The AWQC-ANA318 strain was grown under continuous illumination (2500</w:t>
      </w:r>
      <w:r>
        <w:t xml:space="preserve"> </w:t>
      </w:r>
      <w:r>
        <w:t xml:space="preserve">lux) for 72 days at 25</w:t>
      </w:r>
      <w:r>
        <w:t xml:space="preserve"> </w:t>
      </w:r>
      <m:oMath>
        <m:sSup>
          <m:e>
            <m:r>
              <m:rPr>
                <m:sty m:val="p"/>
              </m:rPr>
              <m:t>​</m:t>
            </m:r>
          </m:e>
          <m:sup>
            <m:r>
              <m:rPr>
                <m:sty m:val="p"/>
              </m:rPr>
              <m:t>∘</m:t>
            </m:r>
          </m:sup>
        </m:sSup>
        <m:r>
          <m:rPr>
            <m:sty m:val="p"/>
          </m:rPr>
          <m:t>C</m:t>
        </m:r>
      </m:oMath>
      <w:r>
        <w:t xml:space="preserve"> </w:t>
      </w:r>
      <w:r>
        <w:t xml:space="preserve">without agitation in two</w:t>
      </w:r>
      <w:r>
        <w:t xml:space="preserve"> </w:t>
      </w:r>
      <w:r>
        <w:t xml:space="preserve">crystal plastic containers 10 L, Nalgene) in ASM-1 medium</w:t>
      </w:r>
      <w:r>
        <w:t xml:space="preserve"> </w:t>
      </w:r>
      <w:r>
        <w:t xml:space="preserve">(Provasoli et al., 1957)</w:t>
      </w:r>
      <w:r>
        <w:t xml:space="preserve">, and the initial cell density of the two cultures</w:t>
      </w:r>
      <w:r>
        <w:t xml:space="preserve"> </w:t>
      </w:r>
      <w:r>
        <w:t xml:space="preserve">were at 1277 and 6436 cells mL</w:t>
      </w:r>
      <m:oMath>
        <m:sSup>
          <m:e>
            <m:r>
              <m:t>​</m:t>
            </m:r>
          </m:e>
          <m:sup>
            <m:r>
              <m:rPr>
                <m:sty m:val="p"/>
              </m:rPr>
              <m:t>−</m:t>
            </m:r>
            <m:r>
              <m:t>1</m:t>
            </m:r>
          </m:sup>
        </m:sSup>
      </m:oMath>
      <w:r>
        <w:t xml:space="preserve">, respectively. The cultures were</w:t>
      </w:r>
      <w:r>
        <w:t xml:space="preserve"> </w:t>
      </w:r>
      <w:r>
        <w:t xml:space="preserve">sampled every 2 to 8 days for cell enumeration under light microscopy,</w:t>
      </w:r>
      <w:r>
        <w:t xml:space="preserve"> </w:t>
      </w:r>
      <w:r>
        <w:t xml:space="preserve">geosmin analysis by GC-MS and DNA extraction for qPCR assays (the</w:t>
      </w:r>
      <w:r>
        <w:t xml:space="preserve"> </w:t>
      </w:r>
      <w:r>
        <w:t xml:space="preserve">sampling was performed every 2 or 3 days in the lag phase and log phase,</w:t>
      </w:r>
      <w:r>
        <w:t xml:space="preserve"> </w:t>
      </w:r>
      <w:r>
        <w:t xml:space="preserve">and the frequency decreased in the other phases; the longest interval</w:t>
      </w:r>
      <w:r>
        <w:t xml:space="preserve"> </w:t>
      </w:r>
      <w:r>
        <w:t xml:space="preserve">was 8 days). On the other hand, the FADC-0001 strain was initially grown</w:t>
      </w:r>
      <w:r>
        <w:t xml:space="preserve"> </w:t>
      </w:r>
      <w:r>
        <w:t xml:space="preserve">in BG-11 medium under continuous illumination for one week</w:t>
      </w:r>
      <w:r>
        <w:t xml:space="preserve"> </w:t>
      </w:r>
      <w:r>
        <w:t xml:space="preserve">(Rippka et al., 1979)</w:t>
      </w:r>
      <w:r>
        <w:t xml:space="preserve">, and subsequently added to the field samples</w:t>
      </w:r>
      <w:r>
        <w:t xml:space="preserve"> </w:t>
      </w:r>
      <w:r>
        <w:t xml:space="preserve">collected from 5 freshwater ponds and 2 rivers in Beijing for qPCR</w:t>
      </w:r>
      <w:r>
        <w:t xml:space="preserve"> </w:t>
      </w:r>
      <w:r>
        <w:t xml:space="preserve">applicability validation.</w:t>
      </w:r>
    </w:p>
    <w:tbl>
      <w:tblPr>
        <w:tblStyle w:val="Table"/>
        <w:tblW w:type="pct" w:w="5000"/>
        <w:tblLayout w:type="fixed"/>
        <w:tblLook w:firstRow="0" w:lastRow="0" w:firstColumn="0" w:lastColumn="0" w:noHBand="0" w:noVBand="0" w:val="0000"/>
      </w:tblPr>
      <w:tblGrid>
        <w:gridCol w:w="7920"/>
      </w:tblGrid>
      <w:tr>
        <w:tc>
          <w:tcPr/>
          <w:bookmarkStart w:id="24" w:name="tbl-anaprimer"/>
          <w:p>
            <w:pPr>
              <w:jc w:val="center"/>
            </w:pPr>
            <w:pPr>
              <w:jc w:val="start"/>
              <w:spacing w:before="200"/>
              <w:pStyle w:val="ImageCaption"/>
            </w:pPr>
            <w:r>
              <w:t xml:space="preserve">Table 1: Specificity of</w:t>
            </w:r>
            <w:r>
              <w:t xml:space="preserve"> </w:t>
            </w:r>
            <w:r>
              <w:rPr>
                <w:i/>
                <w:iCs/>
              </w:rPr>
              <w:t xml:space="preserve">ARG</w:t>
            </w:r>
            <w:r>
              <w:t xml:space="preserve"> </w:t>
            </w:r>
            <w:r>
              <w:t xml:space="preserve">primers (AN03/06)</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left"/>
                    <w:jc w:val="center"/>
                  </w:pPr>
                  <w:r>
                    <w:rPr>
                      <w:b/>
                      <w:bCs/>
                    </w:rPr>
                    <w:t xml:space="preserve">Strain</w:t>
                  </w:r>
                </w:p>
              </w:tc>
              <w:tc>
                <w:tcPr/>
                <w:p>
                  <w:pPr>
                    <w:pStyle w:val="Compact"/>
                    <w:jc w:val="left"/>
                    <w:jc w:val="center"/>
                  </w:pPr>
                  <w:r>
                    <w:rPr>
                      <w:b/>
                      <w:bCs/>
                    </w:rPr>
                    <w:t xml:space="preserve">Genus/species</w:t>
                  </w:r>
                </w:p>
              </w:tc>
              <w:tc>
                <w:tcPr/>
                <w:p>
                  <w:pPr>
                    <w:pStyle w:val="Compact"/>
                    <w:jc w:val="center"/>
                    <w:jc w:val="center"/>
                  </w:pPr>
                  <w:r>
                    <w:rPr>
                      <w:b/>
                      <w:bCs/>
                    </w:rPr>
                    <w:t xml:space="preserve">Sig.</w:t>
                  </w:r>
                </w:p>
              </w:tc>
              <w:tc>
                <w:tcPr/>
                <w:p>
                  <w:pPr>
                    <w:pStyle w:val="Compact"/>
                    <w:jc w:val="center"/>
                    <w:jc w:val="center"/>
                  </w:pPr>
                  <w:r>
                    <w:rPr>
                      <w:b/>
                      <w:bCs/>
                    </w:rPr>
                    <w:t xml:space="preserve">Source</w:t>
                  </w:r>
                </w:p>
              </w:tc>
            </w:tr>
            <w:tr>
              <w:tc>
                <w:tcPr/>
                <w:p>
                  <w:pPr>
                    <w:pStyle w:val="Compact"/>
                    <w:jc w:val="left"/>
                    <w:jc w:val="center"/>
                  </w:pPr>
                  <w:r>
                    <w:t xml:space="preserve">FACHB-170</w:t>
                  </w:r>
                </w:p>
              </w:tc>
              <w:tc>
                <w:tcPr/>
                <w:p>
                  <w:pPr>
                    <w:pStyle w:val="Compact"/>
                    <w:jc w:val="left"/>
                    <w:jc w:val="center"/>
                  </w:pPr>
                  <w:r>
                    <w:rPr>
                      <w:i/>
                      <w:iCs/>
                    </w:rPr>
                    <w:t xml:space="preserve">Anabaena cylindrica</w:t>
                  </w:r>
                </w:p>
              </w:tc>
              <w:tc>
                <w:tcPr/>
                <w:p>
                  <w:pPr>
                    <w:pStyle w:val="Compact"/>
                    <w:jc w:val="center"/>
                    <w:jc w:val="center"/>
                  </w:pPr>
                  <w:r>
                    <w:t xml:space="preserve">++</w:t>
                  </w:r>
                </w:p>
              </w:tc>
              <w:tc>
                <w:tcPr/>
                <w:p>
                  <w:pPr>
                    <w:pStyle w:val="Compact"/>
                    <w:jc w:val="center"/>
                    <w:jc w:val="center"/>
                  </w:pPr>
                  <w:r>
                    <w:t xml:space="preserve">FACHB</w:t>
                  </w:r>
                </w:p>
              </w:tc>
            </w:tr>
            <w:tr>
              <w:tc>
                <w:tcPr/>
                <w:p>
                  <w:pPr>
                    <w:pStyle w:val="Compact"/>
                    <w:jc w:val="left"/>
                    <w:jc w:val="center"/>
                  </w:pPr>
                  <w:r>
                    <w:t xml:space="preserve">FACHB-190</w:t>
                  </w:r>
                </w:p>
              </w:tc>
              <w:tc>
                <w:tcPr/>
                <w:p>
                  <w:pPr>
                    <w:pStyle w:val="Compact"/>
                    <w:jc w:val="left"/>
                    <w:jc w:val="center"/>
                  </w:pPr>
                  <w:r>
                    <w:rPr>
                      <w:i/>
                      <w:iCs/>
                    </w:rPr>
                    <w:t xml:space="preserve">Anabaena azollae</w:t>
                  </w:r>
                </w:p>
              </w:tc>
              <w:tc>
                <w:tcPr/>
                <w:p>
                  <w:pPr>
                    <w:pStyle w:val="Compact"/>
                    <w:jc w:val="center"/>
                    <w:jc w:val="center"/>
                  </w:pPr>
                  <w:r>
                    <w:t xml:space="preserve">-</w:t>
                  </w:r>
                </w:p>
              </w:tc>
              <w:tc>
                <w:tcPr/>
                <w:p>
                  <w:pPr>
                    <w:pStyle w:val="Compact"/>
                    <w:jc w:val="center"/>
                    <w:jc w:val="center"/>
                  </w:pPr>
                  <w:r>
                    <w:t xml:space="preserve">FACHB</w:t>
                  </w:r>
                </w:p>
              </w:tc>
            </w:tr>
            <w:tr>
              <w:tc>
                <w:tcPr/>
                <w:p>
                  <w:pPr>
                    <w:pStyle w:val="Compact"/>
                    <w:jc w:val="left"/>
                    <w:jc w:val="center"/>
                  </w:pPr>
                  <w:r>
                    <w:t xml:space="preserve">FACHB-245</w:t>
                  </w:r>
                </w:p>
              </w:tc>
              <w:tc>
                <w:tcPr/>
                <w:p>
                  <w:pPr>
                    <w:pStyle w:val="Compact"/>
                    <w:jc w:val="left"/>
                    <w:jc w:val="center"/>
                  </w:pPr>
                  <w:r>
                    <w:rPr>
                      <w:i/>
                      <w:iCs/>
                    </w:rPr>
                    <w:t xml:space="preserve">Anabaena flos-aquae</w:t>
                  </w:r>
                </w:p>
              </w:tc>
              <w:tc>
                <w:tcPr/>
                <w:p>
                  <w:pPr>
                    <w:pStyle w:val="Compact"/>
                    <w:jc w:val="center"/>
                    <w:jc w:val="center"/>
                  </w:pPr>
                  <w:r>
                    <w:t xml:space="preserve">++</w:t>
                  </w:r>
                </w:p>
              </w:tc>
              <w:tc>
                <w:tcPr/>
                <w:p>
                  <w:pPr>
                    <w:pStyle w:val="Compact"/>
                    <w:jc w:val="center"/>
                    <w:jc w:val="center"/>
                  </w:pPr>
                  <w:r>
                    <w:t xml:space="preserve">FACHB</w:t>
                  </w:r>
                </w:p>
              </w:tc>
            </w:tr>
            <w:tr>
              <w:tc>
                <w:tcPr/>
                <w:p>
                  <w:pPr>
                    <w:pStyle w:val="Compact"/>
                    <w:jc w:val="left"/>
                    <w:jc w:val="center"/>
                  </w:pPr>
                  <w:r>
                    <w:t xml:space="preserve">FACHB-251</w:t>
                  </w:r>
                </w:p>
              </w:tc>
              <w:tc>
                <w:tcPr/>
                <w:p>
                  <w:pPr>
                    <w:pStyle w:val="Compact"/>
                    <w:jc w:val="left"/>
                    <w:jc w:val="center"/>
                  </w:pPr>
                  <w:r>
                    <w:rPr>
                      <w:i/>
                      <w:iCs/>
                    </w:rPr>
                    <w:t xml:space="preserve">Anabaena sphaerica</w:t>
                  </w:r>
                </w:p>
              </w:tc>
              <w:tc>
                <w:tcPr/>
                <w:p>
                  <w:pPr>
                    <w:pStyle w:val="Compact"/>
                    <w:jc w:val="center"/>
                    <w:jc w:val="center"/>
                  </w:pPr>
                  <w:r>
                    <w:t xml:space="preserve">+</w:t>
                  </w:r>
                </w:p>
              </w:tc>
              <w:tc>
                <w:tcPr/>
                <w:p>
                  <w:pPr>
                    <w:pStyle w:val="Compact"/>
                    <w:jc w:val="center"/>
                    <w:jc w:val="center"/>
                  </w:pPr>
                  <w:r>
                    <w:t xml:space="preserve">FACHB</w:t>
                  </w:r>
                </w:p>
              </w:tc>
            </w:tr>
            <w:tr>
              <w:tc>
                <w:tcPr/>
                <w:p>
                  <w:pPr>
                    <w:pStyle w:val="Compact"/>
                    <w:jc w:val="left"/>
                    <w:jc w:val="center"/>
                  </w:pPr>
                  <w:r>
                    <w:t xml:space="preserve">FACHB-319</w:t>
                  </w:r>
                </w:p>
              </w:tc>
              <w:tc>
                <w:tcPr/>
                <w:p>
                  <w:pPr>
                    <w:pStyle w:val="Compact"/>
                    <w:jc w:val="left"/>
                    <w:jc w:val="center"/>
                  </w:pPr>
                  <w:r>
                    <w:rPr>
                      <w:i/>
                      <w:iCs/>
                    </w:rPr>
                    <w:t xml:space="preserve">Anabaena variabilis</w:t>
                  </w:r>
                </w:p>
              </w:tc>
              <w:tc>
                <w:tcPr/>
                <w:p>
                  <w:pPr>
                    <w:pStyle w:val="Compact"/>
                    <w:jc w:val="center"/>
                    <w:jc w:val="center"/>
                  </w:pPr>
                  <w:r>
                    <w:t xml:space="preserve">-</w:t>
                  </w:r>
                </w:p>
              </w:tc>
              <w:tc>
                <w:tcPr/>
                <w:p>
                  <w:pPr>
                    <w:pStyle w:val="Compact"/>
                    <w:jc w:val="center"/>
                    <w:jc w:val="center"/>
                  </w:pPr>
                  <w:r>
                    <w:t xml:space="preserve">FACHB</w:t>
                  </w:r>
                </w:p>
              </w:tc>
            </w:tr>
            <w:tr>
              <w:tc>
                <w:tcPr/>
                <w:p>
                  <w:pPr>
                    <w:pStyle w:val="Compact"/>
                    <w:jc w:val="left"/>
                    <w:jc w:val="center"/>
                  </w:pPr>
                  <w:r>
                    <w:t xml:space="preserve">FACHB-362</w:t>
                  </w:r>
                </w:p>
              </w:tc>
              <w:tc>
                <w:tcPr/>
                <w:p>
                  <w:pPr>
                    <w:pStyle w:val="Compact"/>
                    <w:jc w:val="left"/>
                    <w:jc w:val="center"/>
                  </w:pPr>
                  <w:r>
                    <w:rPr>
                      <w:i/>
                      <w:iCs/>
                    </w:rPr>
                    <w:t xml:space="preserve">Anabaena catenula</w:t>
                  </w:r>
                </w:p>
              </w:tc>
              <w:tc>
                <w:tcPr/>
                <w:p>
                  <w:pPr>
                    <w:pStyle w:val="Compact"/>
                    <w:jc w:val="center"/>
                    <w:jc w:val="center"/>
                  </w:pPr>
                  <m:oMath>
                    <m:sSup>
                      <m:e>
                        <m:r>
                          <m:rPr>
                            <m:sty m:val="p"/>
                          </m:rPr>
                          <m:t>+</m:t>
                        </m:r>
                      </m:e>
                      <m:sup>
                        <m:r>
                          <m:rPr>
                            <m:sty m:val="p"/>
                          </m:rPr>
                          <m:t>*</m:t>
                        </m:r>
                      </m:sup>
                    </m:sSup>
                  </m:oMath>
                </w:p>
              </w:tc>
              <w:tc>
                <w:tcPr/>
                <w:p>
                  <w:pPr>
                    <w:pStyle w:val="Compact"/>
                    <w:jc w:val="center"/>
                    <w:jc w:val="center"/>
                  </w:pPr>
                  <w:r>
                    <w:t xml:space="preserve">FACHB</w:t>
                  </w:r>
                </w:p>
              </w:tc>
            </w:tr>
            <w:tr>
              <w:tc>
                <w:tcPr/>
                <w:p>
                  <w:pPr>
                    <w:pStyle w:val="Compact"/>
                    <w:jc w:val="left"/>
                    <w:jc w:val="center"/>
                  </w:pPr>
                  <w:r>
                    <w:t xml:space="preserve">FACHB-380</w:t>
                  </w:r>
                </w:p>
              </w:tc>
              <w:tc>
                <w:tcPr/>
                <w:p>
                  <w:pPr>
                    <w:pStyle w:val="Compact"/>
                    <w:jc w:val="left"/>
                    <w:jc w:val="center"/>
                  </w:pPr>
                  <w:r>
                    <w:rPr>
                      <w:i/>
                      <w:iCs/>
                    </w:rPr>
                    <w:t xml:space="preserve">Anabaena inaequalis</w:t>
                  </w:r>
                </w:p>
              </w:tc>
              <w:tc>
                <w:tcPr/>
                <w:p>
                  <w:pPr>
                    <w:pStyle w:val="Compact"/>
                    <w:jc w:val="center"/>
                    <w:jc w:val="center"/>
                  </w:pPr>
                  <m:oMath>
                    <m:sSup>
                      <m:e>
                        <m:r>
                          <m:rPr>
                            <m:sty m:val="p"/>
                          </m:rPr>
                          <m:t>+</m:t>
                        </m:r>
                      </m:e>
                      <m:sup>
                        <m:r>
                          <m:rPr>
                            <m:sty m:val="p"/>
                          </m:rPr>
                          <m:t>*</m:t>
                        </m:r>
                      </m:sup>
                    </m:sSup>
                  </m:oMath>
                </w:p>
              </w:tc>
              <w:tc>
                <w:tcPr/>
                <w:p>
                  <w:pPr>
                    <w:pStyle w:val="Compact"/>
                    <w:jc w:val="center"/>
                    <w:jc w:val="center"/>
                  </w:pPr>
                  <w:r>
                    <w:t xml:space="preserve">FACHB</w:t>
                  </w:r>
                </w:p>
              </w:tc>
            </w:tr>
            <w:tr>
              <w:tc>
                <w:tcPr/>
                <w:p>
                  <w:pPr>
                    <w:pStyle w:val="Compact"/>
                    <w:jc w:val="left"/>
                    <w:jc w:val="center"/>
                  </w:pPr>
                  <w:r>
                    <w:t xml:space="preserve">FACHB-1096</w:t>
                  </w:r>
                </w:p>
              </w:tc>
              <w:tc>
                <w:tcPr/>
                <w:p>
                  <w:pPr>
                    <w:pStyle w:val="Compact"/>
                    <w:jc w:val="left"/>
                    <w:jc w:val="center"/>
                  </w:pPr>
                  <w:r>
                    <w:rPr>
                      <w:i/>
                      <w:iCs/>
                    </w:rPr>
                    <w:t xml:space="preserve">Cylindrospermopsis</w:t>
                  </w:r>
                  <w:r>
                    <w:t xml:space="preserve"> </w:t>
                  </w:r>
                  <w:r>
                    <w:t xml:space="preserve">sp.</w:t>
                  </w:r>
                </w:p>
              </w:tc>
              <w:tc>
                <w:tcPr/>
                <w:p>
                  <w:pPr>
                    <w:pStyle w:val="Compact"/>
                    <w:jc w:val="center"/>
                    <w:jc w:val="center"/>
                  </w:pPr>
                  <w:r>
                    <w:t xml:space="preserve">-</w:t>
                  </w:r>
                </w:p>
              </w:tc>
              <w:tc>
                <w:tcPr/>
                <w:p>
                  <w:pPr>
                    <w:pStyle w:val="Compact"/>
                    <w:jc w:val="center"/>
                    <w:jc w:val="center"/>
                  </w:pPr>
                  <w:r>
                    <w:t xml:space="preserve">FACHB</w:t>
                  </w:r>
                </w:p>
              </w:tc>
            </w:tr>
            <w:tr>
              <w:tc>
                <w:tcPr/>
                <w:p>
                  <w:pPr>
                    <w:pStyle w:val="Compact"/>
                    <w:jc w:val="left"/>
                    <w:jc w:val="center"/>
                  </w:pPr>
                  <w:r>
                    <w:t xml:space="preserve">FACHB-1194</w:t>
                  </w:r>
                </w:p>
              </w:tc>
              <w:tc>
                <w:tcPr/>
                <w:p>
                  <w:pPr>
                    <w:pStyle w:val="Compact"/>
                    <w:jc w:val="left"/>
                    <w:jc w:val="center"/>
                  </w:pPr>
                  <w:r>
                    <w:rPr>
                      <w:i/>
                      <w:iCs/>
                    </w:rPr>
                    <w:t xml:space="preserve">Anabaena eucompacta</w:t>
                  </w:r>
                </w:p>
              </w:tc>
              <w:tc>
                <w:tcPr/>
                <w:p>
                  <w:pPr>
                    <w:pStyle w:val="Compact"/>
                    <w:jc w:val="center"/>
                    <w:jc w:val="center"/>
                  </w:pPr>
                  <m:oMath>
                    <m:sSup>
                      <m:e>
                        <m:r>
                          <m:rPr>
                            <m:sty m:val="p"/>
                          </m:rPr>
                          <m:t>+</m:t>
                        </m:r>
                      </m:e>
                      <m:sup>
                        <m:r>
                          <m:rPr>
                            <m:sty m:val="p"/>
                          </m:rPr>
                          <m:t>*</m:t>
                        </m:r>
                      </m:sup>
                    </m:sSup>
                  </m:oMath>
                </w:p>
              </w:tc>
              <w:tc>
                <w:tcPr/>
                <w:p>
                  <w:pPr>
                    <w:pStyle w:val="Compact"/>
                    <w:jc w:val="center"/>
                    <w:jc w:val="center"/>
                  </w:pPr>
                  <w:r>
                    <w:t xml:space="preserve">FACHB</w:t>
                  </w:r>
                </w:p>
              </w:tc>
            </w:tr>
            <w:tr>
              <w:tc>
                <w:tcPr/>
                <w:p>
                  <w:pPr>
                    <w:pStyle w:val="Compact"/>
                    <w:jc w:val="left"/>
                    <w:jc w:val="center"/>
                  </w:pPr>
                  <w:r>
                    <w:t xml:space="preserve">FACHB-1199</w:t>
                  </w:r>
                </w:p>
              </w:tc>
              <w:tc>
                <w:tcPr/>
                <w:p>
                  <w:pPr>
                    <w:pStyle w:val="Compact"/>
                    <w:jc w:val="left"/>
                    <w:jc w:val="center"/>
                  </w:pPr>
                  <w:r>
                    <w:rPr>
                      <w:i/>
                      <w:iCs/>
                    </w:rPr>
                    <w:t xml:space="preserve">Anabaena eucompacta</w:t>
                  </w:r>
                </w:p>
              </w:tc>
              <w:tc>
                <w:tcPr/>
                <w:p>
                  <w:pPr>
                    <w:pStyle w:val="Compact"/>
                    <w:jc w:val="center"/>
                    <w:jc w:val="center"/>
                  </w:pPr>
                  <w:r>
                    <w:t xml:space="preserve">-</w:t>
                  </w:r>
                </w:p>
              </w:tc>
              <w:tc>
                <w:tcPr/>
                <w:p>
                  <w:pPr>
                    <w:pStyle w:val="Compact"/>
                    <w:jc w:val="center"/>
                    <w:jc w:val="center"/>
                  </w:pPr>
                  <w:r>
                    <w:t xml:space="preserve">FACHB</w:t>
                  </w:r>
                </w:p>
              </w:tc>
            </w:tr>
            <w:tr>
              <w:tc>
                <w:tcPr/>
                <w:p>
                  <w:pPr>
                    <w:pStyle w:val="Compact"/>
                    <w:jc w:val="left"/>
                    <w:jc w:val="center"/>
                  </w:pPr>
                  <w:r>
                    <w:t xml:space="preserve">FACHB-1219</w:t>
                  </w:r>
                </w:p>
              </w:tc>
              <w:tc>
                <w:tcPr/>
                <w:p>
                  <w:pPr>
                    <w:pStyle w:val="Compact"/>
                    <w:jc w:val="left"/>
                    <w:jc w:val="center"/>
                  </w:pPr>
                  <w:r>
                    <w:rPr>
                      <w:i/>
                      <w:iCs/>
                    </w:rPr>
                    <w:t xml:space="preserve">Anabaena</w:t>
                  </w:r>
                  <w:r>
                    <w:t xml:space="preserve"> </w:t>
                  </w:r>
                  <w:r>
                    <w:t xml:space="preserve">sp.</w:t>
                  </w:r>
                </w:p>
              </w:tc>
              <w:tc>
                <w:tcPr/>
                <w:p>
                  <w:pPr>
                    <w:pStyle w:val="Compact"/>
                    <w:jc w:val="center"/>
                    <w:jc w:val="center"/>
                  </w:pPr>
                  <m:oMath>
                    <m:sSup>
                      <m:e>
                        <m:r>
                          <m:rPr>
                            <m:sty m:val="p"/>
                          </m:rPr>
                          <m:t>+</m:t>
                        </m:r>
                      </m:e>
                      <m:sup>
                        <m:r>
                          <m:rPr>
                            <m:sty m:val="p"/>
                          </m:rPr>
                          <m:t>*</m:t>
                        </m:r>
                      </m:sup>
                    </m:sSup>
                  </m:oMath>
                </w:p>
              </w:tc>
              <w:tc>
                <w:tcPr/>
                <w:p>
                  <w:pPr>
                    <w:pStyle w:val="Compact"/>
                    <w:jc w:val="center"/>
                    <w:jc w:val="center"/>
                  </w:pPr>
                  <w:r>
                    <w:t xml:space="preserve">FACHB</w:t>
                  </w:r>
                </w:p>
              </w:tc>
            </w:tr>
            <w:tr>
              <w:tc>
                <w:tcPr/>
                <w:p>
                  <w:pPr>
                    <w:pStyle w:val="Compact"/>
                    <w:jc w:val="left"/>
                    <w:jc w:val="center"/>
                  </w:pPr>
                  <w:r>
                    <w:t xml:space="preserve">FACHB-1239</w:t>
                  </w:r>
                </w:p>
              </w:tc>
              <w:tc>
                <w:tcPr/>
                <w:p>
                  <w:pPr>
                    <w:pStyle w:val="Compact"/>
                    <w:jc w:val="left"/>
                    <w:jc w:val="center"/>
                  </w:pPr>
                  <w:r>
                    <w:rPr>
                      <w:i/>
                      <w:iCs/>
                    </w:rPr>
                    <w:t xml:space="preserve">Anabaena</w:t>
                  </w:r>
                  <w:r>
                    <w:t xml:space="preserve"> </w:t>
                  </w:r>
                  <w:r>
                    <w:t xml:space="preserve">sp.</w:t>
                  </w:r>
                </w:p>
              </w:tc>
              <w:tc>
                <w:tcPr/>
                <w:p>
                  <w:pPr>
                    <w:pStyle w:val="Compact"/>
                    <w:jc w:val="center"/>
                    <w:jc w:val="center"/>
                  </w:pPr>
                  <w:r>
                    <w:t xml:space="preserve">++</w:t>
                  </w:r>
                </w:p>
              </w:tc>
              <w:tc>
                <w:tcPr/>
                <w:p>
                  <w:pPr>
                    <w:pStyle w:val="Compact"/>
                    <w:jc w:val="center"/>
                    <w:jc w:val="center"/>
                  </w:pPr>
                  <w:r>
                    <w:t xml:space="preserve">FACHB</w:t>
                  </w:r>
                </w:p>
              </w:tc>
            </w:tr>
            <w:tr>
              <w:tc>
                <w:tcPr/>
                <w:p>
                  <w:pPr>
                    <w:pStyle w:val="Compact"/>
                    <w:jc w:val="left"/>
                    <w:jc w:val="center"/>
                  </w:pPr>
                  <w:r>
                    <w:t xml:space="preserve">FACHB-1250</w:t>
                  </w:r>
                </w:p>
              </w:tc>
              <w:tc>
                <w:tcPr/>
                <w:p>
                  <w:pPr>
                    <w:pStyle w:val="Compact"/>
                    <w:jc w:val="left"/>
                    <w:jc w:val="center"/>
                  </w:pPr>
                  <w:r>
                    <w:rPr>
                      <w:i/>
                      <w:iCs/>
                    </w:rPr>
                    <w:t xml:space="preserve">Anabaena</w:t>
                  </w:r>
                  <w:r>
                    <w:t xml:space="preserve"> </w:t>
                  </w:r>
                  <w:r>
                    <w:t xml:space="preserve">sp.</w:t>
                  </w:r>
                </w:p>
              </w:tc>
              <w:tc>
                <w:tcPr/>
                <w:p>
                  <w:pPr>
                    <w:pStyle w:val="Compact"/>
                    <w:jc w:val="center"/>
                    <w:jc w:val="center"/>
                  </w:pPr>
                  <w:r>
                    <w:t xml:space="preserve">++</w:t>
                  </w:r>
                </w:p>
              </w:tc>
              <w:tc>
                <w:tcPr/>
                <w:p>
                  <w:pPr>
                    <w:pStyle w:val="Compact"/>
                    <w:jc w:val="center"/>
                    <w:jc w:val="center"/>
                  </w:pPr>
                  <w:r>
                    <w:t xml:space="preserve">FACHB</w:t>
                  </w:r>
                </w:p>
              </w:tc>
            </w:tr>
            <w:tr>
              <w:tc>
                <w:tcPr/>
                <w:p>
                  <w:pPr>
                    <w:pStyle w:val="Compact"/>
                    <w:jc w:val="left"/>
                    <w:jc w:val="center"/>
                  </w:pPr>
                  <w:r>
                    <w:t xml:space="preserve">FACHB-1255</w:t>
                  </w:r>
                </w:p>
              </w:tc>
              <w:tc>
                <w:tcPr/>
                <w:p>
                  <w:pPr>
                    <w:pStyle w:val="Compact"/>
                    <w:jc w:val="left"/>
                    <w:jc w:val="center"/>
                  </w:pPr>
                  <w:r>
                    <w:rPr>
                      <w:i/>
                      <w:iCs/>
                    </w:rPr>
                    <w:t xml:space="preserve">Anabaena flos-aquae</w:t>
                  </w:r>
                </w:p>
              </w:tc>
              <w:tc>
                <w:tcPr/>
                <w:p>
                  <w:pPr>
                    <w:pStyle w:val="Compact"/>
                    <w:jc w:val="center"/>
                    <w:jc w:val="center"/>
                  </w:pPr>
                  <w:r>
                    <w:t xml:space="preserve">++</w:t>
                  </w:r>
                </w:p>
              </w:tc>
              <w:tc>
                <w:tcPr/>
                <w:p>
                  <w:pPr>
                    <w:pStyle w:val="Compact"/>
                    <w:jc w:val="center"/>
                    <w:jc w:val="center"/>
                  </w:pPr>
                  <w:r>
                    <w:t xml:space="preserve">FACHB</w:t>
                  </w:r>
                </w:p>
              </w:tc>
            </w:tr>
            <w:tr>
              <w:tc>
                <w:tcPr/>
                <w:p>
                  <w:pPr>
                    <w:pStyle w:val="Compact"/>
                    <w:jc w:val="left"/>
                    <w:jc w:val="center"/>
                  </w:pPr>
                  <w:r>
                    <w:t xml:space="preserve">FACHB-1263</w:t>
                  </w:r>
                </w:p>
              </w:tc>
              <w:tc>
                <w:tcPr/>
                <w:p>
                  <w:pPr>
                    <w:pStyle w:val="Compact"/>
                    <w:jc w:val="left"/>
                    <w:jc w:val="center"/>
                  </w:pPr>
                  <w:r>
                    <w:rPr>
                      <w:i/>
                      <w:iCs/>
                    </w:rPr>
                    <w:t xml:space="preserve">Anabaena flos-aquae</w:t>
                  </w:r>
                </w:p>
              </w:tc>
              <w:tc>
                <w:tcPr/>
                <w:p>
                  <w:pPr>
                    <w:pStyle w:val="Compact"/>
                    <w:jc w:val="center"/>
                    <w:jc w:val="center"/>
                  </w:pPr>
                  <w:r>
                    <w:t xml:space="preserve">++</w:t>
                  </w:r>
                </w:p>
              </w:tc>
              <w:tc>
                <w:tcPr/>
                <w:p>
                  <w:pPr>
                    <w:pStyle w:val="Compact"/>
                    <w:jc w:val="center"/>
                    <w:jc w:val="center"/>
                  </w:pPr>
                  <w:r>
                    <w:t xml:space="preserve">FACHB</w:t>
                  </w:r>
                </w:p>
              </w:tc>
            </w:tr>
            <w:tr>
              <w:tc>
                <w:tcPr/>
                <w:p>
                  <w:pPr>
                    <w:pStyle w:val="Compact"/>
                    <w:jc w:val="left"/>
                    <w:jc w:val="center"/>
                  </w:pPr>
                  <w:r>
                    <w:t xml:space="preserve">FADC-0001</w:t>
                  </w:r>
                </w:p>
              </w:tc>
              <w:tc>
                <w:tcPr/>
                <w:p>
                  <w:pPr>
                    <w:pStyle w:val="Compact"/>
                    <w:jc w:val="left"/>
                    <w:jc w:val="center"/>
                  </w:pPr>
                  <w:r>
                    <w:rPr>
                      <w:i/>
                      <w:iCs/>
                    </w:rPr>
                    <w:t xml:space="preserve">Anabaena spiroides</w:t>
                  </w:r>
                </w:p>
              </w:tc>
              <w:tc>
                <w:tcPr/>
                <w:p>
                  <w:pPr>
                    <w:pStyle w:val="Compact"/>
                    <w:jc w:val="center"/>
                    <w:jc w:val="center"/>
                  </w:pPr>
                  <w:r>
                    <w:t xml:space="preserve">+</w:t>
                  </w:r>
                </w:p>
              </w:tc>
              <w:tc>
                <w:tcPr/>
                <w:p>
                  <w:pPr>
                    <w:pStyle w:val="Compact"/>
                    <w:jc w:val="center"/>
                    <w:jc w:val="center"/>
                  </w:pPr>
                  <w:r>
                    <w:t xml:space="preserve">CRAES</w:t>
                  </w:r>
                </w:p>
              </w:tc>
            </w:tr>
            <w:tr>
              <w:tc>
                <w:tcPr/>
                <w:p>
                  <w:pPr>
                    <w:pStyle w:val="Compact"/>
                    <w:jc w:val="left"/>
                    <w:jc w:val="center"/>
                  </w:pPr>
                  <w:r>
                    <w:t xml:space="preserve">FADC-0002</w:t>
                  </w:r>
                </w:p>
              </w:tc>
              <w:tc>
                <w:tcPr/>
                <w:p>
                  <w:pPr>
                    <w:pStyle w:val="Compact"/>
                    <w:jc w:val="left"/>
                    <w:jc w:val="center"/>
                  </w:pPr>
                  <w:r>
                    <w:rPr>
                      <w:i/>
                      <w:iCs/>
                    </w:rPr>
                    <w:t xml:space="preserve">Microcystis</w:t>
                  </w:r>
                  <w:r>
                    <w:t xml:space="preserve"> </w:t>
                  </w:r>
                  <w:r>
                    <w:t xml:space="preserve">sp.</w:t>
                  </w:r>
                </w:p>
              </w:tc>
              <w:tc>
                <w:tcPr/>
                <w:p>
                  <w:pPr>
                    <w:pStyle w:val="Compact"/>
                    <w:jc w:val="center"/>
                    <w:jc w:val="center"/>
                  </w:pPr>
                  <w:r>
                    <w:t xml:space="preserve">-</w:t>
                  </w:r>
                </w:p>
              </w:tc>
              <w:tc>
                <w:tcPr/>
                <w:p>
                  <w:pPr>
                    <w:pStyle w:val="Compact"/>
                    <w:jc w:val="center"/>
                    <w:jc w:val="center"/>
                  </w:pPr>
                  <w:r>
                    <w:t xml:space="preserve">CRAES</w:t>
                  </w:r>
                </w:p>
              </w:tc>
            </w:tr>
            <w:tr>
              <w:tc>
                <w:tcPr/>
                <w:p>
                  <w:pPr>
                    <w:pStyle w:val="Compact"/>
                    <w:jc w:val="left"/>
                    <w:jc w:val="center"/>
                  </w:pPr>
                  <w:r>
                    <w:t xml:space="preserve">AWQC-ANA318</w:t>
                  </w:r>
                </w:p>
              </w:tc>
              <w:tc>
                <w:tcPr/>
                <w:p>
                  <w:pPr>
                    <w:pStyle w:val="Compact"/>
                    <w:jc w:val="left"/>
                    <w:jc w:val="center"/>
                  </w:pPr>
                  <w:r>
                    <w:rPr>
                      <w:i/>
                      <w:iCs/>
                    </w:rPr>
                    <w:t xml:space="preserve">Anabaena circinalis</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AWQC-ANA001</w:t>
                  </w:r>
                </w:p>
              </w:tc>
              <w:tc>
                <w:tcPr/>
                <w:p>
                  <w:pPr>
                    <w:pStyle w:val="Compact"/>
                    <w:jc w:val="left"/>
                    <w:jc w:val="center"/>
                  </w:pPr>
                  <w:r>
                    <w:rPr>
                      <w:i/>
                      <w:iCs/>
                    </w:rPr>
                    <w:t xml:space="preserve">Anabaena cylindrica</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AWQC-ANA019</w:t>
                  </w:r>
                </w:p>
              </w:tc>
              <w:tc>
                <w:tcPr/>
                <w:p>
                  <w:pPr>
                    <w:pStyle w:val="Compact"/>
                    <w:jc w:val="left"/>
                    <w:jc w:val="center"/>
                  </w:pPr>
                  <w:r>
                    <w:rPr>
                      <w:i/>
                      <w:iCs/>
                    </w:rPr>
                    <w:t xml:space="preserve">Anabaena circinalis</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AWQC-ANA025</w:t>
                  </w:r>
                </w:p>
              </w:tc>
              <w:tc>
                <w:tcPr/>
                <w:p>
                  <w:pPr>
                    <w:pStyle w:val="Compact"/>
                    <w:jc w:val="left"/>
                    <w:jc w:val="center"/>
                  </w:pPr>
                  <w:r>
                    <w:rPr>
                      <w:i/>
                      <w:iCs/>
                    </w:rPr>
                    <w:t xml:space="preserve">Anabaena oscillarioides</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AWQC-ANA044</w:t>
                  </w:r>
                </w:p>
              </w:tc>
              <w:tc>
                <w:tcPr/>
                <w:p>
                  <w:pPr>
                    <w:pStyle w:val="Compact"/>
                    <w:jc w:val="left"/>
                    <w:jc w:val="center"/>
                  </w:pPr>
                  <w:r>
                    <w:rPr>
                      <w:i/>
                      <w:iCs/>
                    </w:rPr>
                    <w:t xml:space="preserve">Anabaena spiroides</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AWQC-ANA048</w:t>
                  </w:r>
                </w:p>
              </w:tc>
              <w:tc>
                <w:tcPr/>
                <w:p>
                  <w:pPr>
                    <w:pStyle w:val="Compact"/>
                    <w:jc w:val="left"/>
                    <w:jc w:val="center"/>
                  </w:pPr>
                  <w:r>
                    <w:rPr>
                      <w:i/>
                      <w:iCs/>
                    </w:rPr>
                    <w:t xml:space="preserve">Anabaena affinis</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AWQC-ANA049</w:t>
                  </w:r>
                </w:p>
              </w:tc>
              <w:tc>
                <w:tcPr/>
                <w:p>
                  <w:pPr>
                    <w:pStyle w:val="Compact"/>
                    <w:jc w:val="left"/>
                    <w:jc w:val="center"/>
                  </w:pPr>
                  <w:r>
                    <w:rPr>
                      <w:i/>
                      <w:iCs/>
                    </w:rPr>
                    <w:t xml:space="preserve">Anabaena circinalis</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AWQC-ANA051</w:t>
                  </w:r>
                </w:p>
              </w:tc>
              <w:tc>
                <w:tcPr/>
                <w:p>
                  <w:pPr>
                    <w:pStyle w:val="Compact"/>
                    <w:jc w:val="left"/>
                    <w:jc w:val="center"/>
                  </w:pPr>
                  <w:r>
                    <w:rPr>
                      <w:i/>
                      <w:iCs/>
                    </w:rPr>
                    <w:t xml:space="preserve">Anabaena flos-aquae</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AWQC-ANA056</w:t>
                  </w:r>
                </w:p>
              </w:tc>
              <w:tc>
                <w:tcPr/>
                <w:p>
                  <w:pPr>
                    <w:pStyle w:val="Compact"/>
                    <w:jc w:val="left"/>
                    <w:jc w:val="center"/>
                  </w:pPr>
                  <w:r>
                    <w:rPr>
                      <w:i/>
                      <w:iCs/>
                    </w:rPr>
                    <w:t xml:space="preserve">Anabaena spiroides</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AWQC-ANA059</w:t>
                  </w:r>
                </w:p>
              </w:tc>
              <w:tc>
                <w:tcPr/>
                <w:p>
                  <w:pPr>
                    <w:pStyle w:val="Compact"/>
                    <w:jc w:val="left"/>
                    <w:jc w:val="center"/>
                  </w:pPr>
                  <w:r>
                    <w:rPr>
                      <w:i/>
                      <w:iCs/>
                    </w:rPr>
                    <w:t xml:space="preserve">Anabaena circinalis</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AWQC-ANA217</w:t>
                  </w:r>
                </w:p>
              </w:tc>
              <w:tc>
                <w:tcPr/>
                <w:p>
                  <w:pPr>
                    <w:pStyle w:val="Compact"/>
                    <w:jc w:val="left"/>
                    <w:jc w:val="center"/>
                  </w:pPr>
                  <w:r>
                    <w:rPr>
                      <w:i/>
                      <w:iCs/>
                    </w:rPr>
                    <w:t xml:space="preserve">Anabaena aphanizomeniodes</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AWQC-ANA249</w:t>
                  </w:r>
                </w:p>
              </w:tc>
              <w:tc>
                <w:tcPr/>
                <w:p>
                  <w:pPr>
                    <w:pStyle w:val="Compact"/>
                    <w:jc w:val="left"/>
                    <w:jc w:val="center"/>
                  </w:pPr>
                  <w:r>
                    <w:rPr>
                      <w:i/>
                      <w:iCs/>
                    </w:rPr>
                    <w:t xml:space="preserve">Anabaena inaequalis</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AWQC-ANA283</w:t>
                  </w:r>
                </w:p>
              </w:tc>
              <w:tc>
                <w:tcPr/>
                <w:p>
                  <w:pPr>
                    <w:pStyle w:val="Compact"/>
                    <w:jc w:val="left"/>
                    <w:jc w:val="center"/>
                  </w:pPr>
                  <w:r>
                    <w:rPr>
                      <w:i/>
                      <w:iCs/>
                    </w:rPr>
                    <w:t xml:space="preserve">Anabaena bergii</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AWQC-ANA357</w:t>
                  </w:r>
                </w:p>
              </w:tc>
              <w:tc>
                <w:tcPr/>
                <w:p>
                  <w:pPr>
                    <w:pStyle w:val="Compact"/>
                    <w:jc w:val="left"/>
                    <w:jc w:val="center"/>
                  </w:pPr>
                  <w:r>
                    <w:rPr>
                      <w:i/>
                      <w:iCs/>
                    </w:rPr>
                    <w:t xml:space="preserve">Anabaena azollae</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AWQC-ANA374</w:t>
                  </w:r>
                </w:p>
              </w:tc>
              <w:tc>
                <w:tcPr/>
                <w:p>
                  <w:pPr>
                    <w:pStyle w:val="Compact"/>
                    <w:jc w:val="left"/>
                    <w:jc w:val="center"/>
                  </w:pPr>
                  <w:r>
                    <w:rPr>
                      <w:i/>
                      <w:iCs/>
                    </w:rPr>
                    <w:t xml:space="preserve">Anabaena planktonica</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AWQC-MIC005</w:t>
                  </w:r>
                </w:p>
              </w:tc>
              <w:tc>
                <w:tcPr/>
                <w:p>
                  <w:pPr>
                    <w:pStyle w:val="Compact"/>
                    <w:jc w:val="left"/>
                    <w:jc w:val="center"/>
                  </w:pPr>
                  <w:r>
                    <w:rPr>
                      <w:i/>
                      <w:iCs/>
                    </w:rPr>
                    <w:t xml:space="preserve">Microcystis aeruginosa</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AWQC-MIC013</w:t>
                  </w:r>
                </w:p>
              </w:tc>
              <w:tc>
                <w:tcPr/>
                <w:p>
                  <w:pPr>
                    <w:pStyle w:val="Compact"/>
                    <w:jc w:val="left"/>
                    <w:jc w:val="center"/>
                  </w:pPr>
                  <w:r>
                    <w:rPr>
                      <w:i/>
                      <w:iCs/>
                    </w:rPr>
                    <w:t xml:space="preserve">Microcystis aeruginosa</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AWQC-MIC017</w:t>
                  </w:r>
                </w:p>
              </w:tc>
              <w:tc>
                <w:tcPr/>
                <w:p>
                  <w:pPr>
                    <w:pStyle w:val="Compact"/>
                    <w:jc w:val="left"/>
                    <w:jc w:val="center"/>
                  </w:pPr>
                  <w:r>
                    <w:rPr>
                      <w:i/>
                      <w:iCs/>
                    </w:rPr>
                    <w:t xml:space="preserve">Microcystis aeruginosa</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AWQC-MIC029</w:t>
                  </w:r>
                </w:p>
              </w:tc>
              <w:tc>
                <w:tcPr/>
                <w:p>
                  <w:pPr>
                    <w:pStyle w:val="Compact"/>
                    <w:jc w:val="left"/>
                    <w:jc w:val="center"/>
                  </w:pPr>
                  <w:r>
                    <w:rPr>
                      <w:i/>
                      <w:iCs/>
                    </w:rPr>
                    <w:t xml:space="preserve">Microcystis aeruginosa</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AWQC-MIC034</w:t>
                  </w:r>
                </w:p>
              </w:tc>
              <w:tc>
                <w:tcPr/>
                <w:p>
                  <w:pPr>
                    <w:pStyle w:val="Compact"/>
                    <w:jc w:val="left"/>
                    <w:jc w:val="center"/>
                  </w:pPr>
                  <w:r>
                    <w:rPr>
                      <w:i/>
                      <w:iCs/>
                    </w:rPr>
                    <w:t xml:space="preserve">Microcystis aeruginosa</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AWQC-MIC040</w:t>
                  </w:r>
                </w:p>
              </w:tc>
              <w:tc>
                <w:tcPr/>
                <w:p>
                  <w:pPr>
                    <w:pStyle w:val="Compact"/>
                    <w:jc w:val="left"/>
                    <w:jc w:val="center"/>
                  </w:pPr>
                  <w:r>
                    <w:rPr>
                      <w:i/>
                      <w:iCs/>
                    </w:rPr>
                    <w:t xml:space="preserve">Microcystis aeruginosa</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AWQC-MIC049</w:t>
                  </w:r>
                </w:p>
              </w:tc>
              <w:tc>
                <w:tcPr/>
                <w:p>
                  <w:pPr>
                    <w:pStyle w:val="Compact"/>
                    <w:jc w:val="left"/>
                    <w:jc w:val="center"/>
                  </w:pPr>
                  <w:r>
                    <w:rPr>
                      <w:i/>
                      <w:iCs/>
                    </w:rPr>
                    <w:t xml:space="preserve">Microcystis aeruginosa</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AWQC-MIC311</w:t>
                  </w:r>
                </w:p>
              </w:tc>
              <w:tc>
                <w:tcPr/>
                <w:p>
                  <w:pPr>
                    <w:pStyle w:val="Compact"/>
                    <w:jc w:val="left"/>
                    <w:jc w:val="center"/>
                  </w:pPr>
                  <w:r>
                    <w:rPr>
                      <w:i/>
                      <w:iCs/>
                    </w:rPr>
                    <w:t xml:space="preserve">Microcystis aeruginosa</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AWQC-MIC320</w:t>
                  </w:r>
                </w:p>
              </w:tc>
              <w:tc>
                <w:tcPr/>
                <w:p>
                  <w:pPr>
                    <w:pStyle w:val="Compact"/>
                    <w:jc w:val="left"/>
                    <w:jc w:val="center"/>
                  </w:pPr>
                  <w:r>
                    <w:rPr>
                      <w:i/>
                      <w:iCs/>
                    </w:rPr>
                    <w:t xml:space="preserve">Microcystis aeruginosa</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AWQC-MIC051</w:t>
                  </w:r>
                </w:p>
              </w:tc>
              <w:tc>
                <w:tcPr/>
                <w:p>
                  <w:pPr>
                    <w:pStyle w:val="Compact"/>
                    <w:jc w:val="left"/>
                    <w:jc w:val="center"/>
                  </w:pPr>
                  <w:r>
                    <w:rPr>
                      <w:i/>
                      <w:iCs/>
                    </w:rPr>
                    <w:t xml:space="preserve">Microcystis flos-aquae</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AWQC-MIC053</w:t>
                  </w:r>
                </w:p>
              </w:tc>
              <w:tc>
                <w:tcPr/>
                <w:p>
                  <w:pPr>
                    <w:pStyle w:val="Compact"/>
                    <w:jc w:val="left"/>
                    <w:jc w:val="center"/>
                  </w:pPr>
                  <w:r>
                    <w:rPr>
                      <w:i/>
                      <w:iCs/>
                    </w:rPr>
                    <w:t xml:space="preserve">Microcystis flos-aquae</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AWQC-MIC054</w:t>
                  </w:r>
                </w:p>
              </w:tc>
              <w:tc>
                <w:tcPr/>
                <w:p>
                  <w:pPr>
                    <w:pStyle w:val="Compact"/>
                    <w:jc w:val="left"/>
                    <w:jc w:val="center"/>
                  </w:pPr>
                  <w:r>
                    <w:rPr>
                      <w:i/>
                      <w:iCs/>
                    </w:rPr>
                    <w:t xml:space="preserve">Microcystis flos-aquae</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AWQC-MIC055E</w:t>
                  </w:r>
                </w:p>
              </w:tc>
              <w:tc>
                <w:tcPr/>
                <w:p>
                  <w:pPr>
                    <w:pStyle w:val="Compact"/>
                    <w:jc w:val="left"/>
                    <w:jc w:val="center"/>
                  </w:pPr>
                  <w:r>
                    <w:rPr>
                      <w:i/>
                      <w:iCs/>
                    </w:rPr>
                    <w:t xml:space="preserve">Microcystis flos-aquae</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AWQC-MIC058</w:t>
                  </w:r>
                </w:p>
              </w:tc>
              <w:tc>
                <w:tcPr/>
                <w:p>
                  <w:pPr>
                    <w:pStyle w:val="Compact"/>
                    <w:jc w:val="left"/>
                    <w:jc w:val="center"/>
                  </w:pPr>
                  <w:r>
                    <w:rPr>
                      <w:i/>
                      <w:iCs/>
                    </w:rPr>
                    <w:t xml:space="preserve">Microcystis flos-aquae</w:t>
                  </w:r>
                </w:p>
              </w:tc>
              <w:tc>
                <w:tcPr/>
                <w:p>
                  <w:pPr>
                    <w:pStyle w:val="Compact"/>
                    <w:jc w:val="center"/>
                    <w:jc w:val="center"/>
                  </w:pPr>
                  <w:r>
                    <w:t xml:space="preserve">-</w:t>
                  </w:r>
                </w:p>
              </w:tc>
              <w:tc>
                <w:tcPr/>
                <w:p>
                  <w:pPr>
                    <w:pStyle w:val="Compact"/>
                    <w:jc w:val="center"/>
                    <w:jc w:val="center"/>
                  </w:pPr>
                  <w:r>
                    <w:t xml:space="preserve">AWQC</w:t>
                  </w:r>
                </w:p>
              </w:tc>
            </w:tr>
            <w:tr>
              <w:tc>
                <w:tcPr/>
                <w:p>
                  <w:pPr>
                    <w:pStyle w:val="Compact"/>
                    <w:jc w:val="left"/>
                    <w:jc w:val="center"/>
                  </w:pPr>
                  <w:r>
                    <w:t xml:space="preserve">AWQC-CYL001</w:t>
                  </w:r>
                </w:p>
              </w:tc>
              <w:tc>
                <w:tcPr/>
                <w:p>
                  <w:pPr>
                    <w:pStyle w:val="Compact"/>
                    <w:jc w:val="left"/>
                    <w:jc w:val="center"/>
                  </w:pPr>
                  <w:r>
                    <w:rPr>
                      <w:i/>
                      <w:iCs/>
                    </w:rPr>
                    <w:t xml:space="preserve">Cylindrospermopsis raciborskii</w:t>
                  </w:r>
                </w:p>
              </w:tc>
              <w:tc>
                <w:tcPr/>
                <w:p>
                  <w:pPr>
                    <w:pStyle w:val="Compact"/>
                    <w:jc w:val="center"/>
                    <w:jc w:val="center"/>
                  </w:pPr>
                  <w:r>
                    <w:t xml:space="preserve">-</w:t>
                  </w:r>
                </w:p>
              </w:tc>
              <w:tc>
                <w:tcPr/>
                <w:p>
                  <w:pPr>
                    <w:pStyle w:val="Compact"/>
                    <w:jc w:val="center"/>
                    <w:jc w:val="center"/>
                  </w:pPr>
                  <w:r>
                    <w:t xml:space="preserve">AWQC</w:t>
                  </w:r>
                </w:p>
              </w:tc>
            </w:tr>
          </w:tbl>
          <w:bookmarkEnd w:id="24"/>
          <w:p/>
        </w:tc>
      </w:tr>
    </w:tbl>
    <w:p>
      <w:pPr>
        <w:pStyle w:val="BodyText"/>
      </w:pPr>
      <w:r>
        <w:t xml:space="preserve">The gel results of amplifications using conventional PCR with</w:t>
      </w:r>
      <w:r>
        <w:t xml:space="preserve"> </w:t>
      </w:r>
      <w:r>
        <w:rPr>
          <w:i/>
          <w:iCs/>
        </w:rPr>
        <w:t xml:space="preserve">ARG</w:t>
      </w:r>
      <w:r>
        <w:t xml:space="preserve"> </w:t>
      </w:r>
      <w:r>
        <w:t xml:space="preserve">primers AN03/06.</w:t>
      </w:r>
    </w:p>
    <w:p>
      <w:pPr>
        <w:pStyle w:val="BodyText"/>
      </w:pPr>
      <w:r>
        <w:t xml:space="preserve">+, positive result;</w:t>
      </w:r>
      <w:r>
        <w:t xml:space="preserve"> </w:t>
      </w:r>
      <m:oMath>
        <m:sSup>
          <m:e>
            <m:r>
              <m:rPr>
                <m:sty m:val="p"/>
              </m:rPr>
              <m:t>+</m:t>
            </m:r>
          </m:e>
          <m:sup>
            <m:r>
              <m:rPr>
                <m:sty m:val="p"/>
              </m:rPr>
              <m:t>*</m:t>
            </m:r>
          </m:sup>
        </m:sSup>
      </m:oMath>
      <w:r>
        <w:t xml:space="preserve">, the gel showed weak signal; ++, gel showed</w:t>
      </w:r>
      <w:r>
        <w:t xml:space="preserve"> </w:t>
      </w:r>
      <w:r>
        <w:t xml:space="preserve">strong signal.</w:t>
      </w:r>
    </w:p>
    <w:p>
      <w:pPr>
        <w:pStyle w:val="BodyText"/>
      </w:pPr>
      <w:r>
        <w:t xml:space="preserve">The</w:t>
      </w:r>
      <w:r>
        <w:t xml:space="preserve"> </w:t>
      </w:r>
      <w:r>
        <w:rPr>
          <w:i/>
          <w:iCs/>
        </w:rPr>
        <w:t xml:space="preserve">ARG</w:t>
      </w:r>
      <w:r>
        <w:t xml:space="preserve"> </w:t>
      </w:r>
      <w:r>
        <w:t xml:space="preserve">primers didn’t amplify the DNA.</w:t>
      </w:r>
    </w:p>
    <w:bookmarkEnd w:id="25"/>
    <w:bookmarkStart w:id="26" w:name="method:sampling"/>
    <w:p>
      <w:pPr>
        <w:pStyle w:val="Heading2"/>
      </w:pPr>
      <w:r>
        <w:t xml:space="preserve">Field sites, sampling and cell enumeration</w:t>
      </w:r>
    </w:p>
    <w:p>
      <w:pPr>
        <w:pStyle w:val="BodyText"/>
      </w:pPr>
      <w:r>
        <w:t xml:space="preserve">In order to assess the impact of biomass and particles in water on the</w:t>
      </w:r>
      <w:r>
        <w:t xml:space="preserve"> </w:t>
      </w:r>
      <w:r>
        <w:t xml:space="preserve">quantification of</w:t>
      </w:r>
      <w:r>
        <w:t xml:space="preserve"> </w:t>
      </w:r>
      <w:r>
        <w:rPr>
          <w:i/>
          <w:iCs/>
        </w:rPr>
        <w:t xml:space="preserve">ARG</w:t>
      </w:r>
      <w:r>
        <w:t xml:space="preserve"> </w:t>
      </w:r>
      <w:r>
        <w:t xml:space="preserve">and</w:t>
      </w:r>
      <w:r>
        <w:t xml:space="preserve"> </w:t>
      </w:r>
      <w:r>
        <w:rPr>
          <w:i/>
          <w:iCs/>
        </w:rPr>
        <w:t xml:space="preserve">GSG</w:t>
      </w:r>
      <w:r>
        <w:t xml:space="preserve"> </w:t>
      </w:r>
      <w:r>
        <w:t xml:space="preserve">by qPCR, 5 freshwater aquaculture</w:t>
      </w:r>
      <w:r>
        <w:t xml:space="preserve"> </w:t>
      </w:r>
      <w:r>
        <w:t xml:space="preserve">ponds (Weiming Lake (</w:t>
      </w:r>
      <w:r>
        <w:rPr>
          <w:b/>
          <w:bCs/>
        </w:rPr>
        <w:t xml:space="preserve">WML</w:t>
      </w:r>
      <w:r>
        <w:t xml:space="preserve">), Forest Park (</w:t>
      </w:r>
      <w:r>
        <w:rPr>
          <w:b/>
          <w:bCs/>
        </w:rPr>
        <w:t xml:space="preserve">FP</w:t>
      </w:r>
      <w:r>
        <w:t xml:space="preserve">), Yuyuantan</w:t>
      </w:r>
      <w:r>
        <w:t xml:space="preserve"> </w:t>
      </w:r>
      <w:r>
        <w:t xml:space="preserve">(</w:t>
      </w:r>
      <w:r>
        <w:rPr>
          <w:b/>
          <w:bCs/>
        </w:rPr>
        <w:t xml:space="preserve">YYT</w:t>
      </w:r>
      <w:r>
        <w:t xml:space="preserve">), Houhai (</w:t>
      </w:r>
      <w:r>
        <w:rPr>
          <w:b/>
          <w:bCs/>
        </w:rPr>
        <w:t xml:space="preserve">HH</w:t>
      </w:r>
      <w:r>
        <w:t xml:space="preserve">) and Lotus Ponds (</w:t>
      </w:r>
      <w:r>
        <w:rPr>
          <w:b/>
          <w:bCs/>
        </w:rPr>
        <w:t xml:space="preserve">LP</w:t>
      </w:r>
      <w:r>
        <w:t xml:space="preserve">)) and 2 rivers (Wenyu</w:t>
      </w:r>
      <w:r>
        <w:t xml:space="preserve"> </w:t>
      </w:r>
      <w:r>
        <w:t xml:space="preserve">River (</w:t>
      </w:r>
      <w:r>
        <w:rPr>
          <w:b/>
          <w:bCs/>
        </w:rPr>
        <w:t xml:space="preserve">WYR</w:t>
      </w:r>
      <w:r>
        <w:t xml:space="preserve">) and Qing River (</w:t>
      </w:r>
      <w:r>
        <w:rPr>
          <w:b/>
          <w:bCs/>
        </w:rPr>
        <w:t xml:space="preserve">QR</w:t>
      </w:r>
      <w:r>
        <w:t xml:space="preserve">)) spreading over 5 districts in</w:t>
      </w:r>
      <w:r>
        <w:t xml:space="preserve"> </w:t>
      </w:r>
      <w:r>
        <w:t xml:space="preserve">Beijing, China were chosen (Figure A.1). The pH, conductivity and</w:t>
      </w:r>
      <w:r>
        <w:t xml:space="preserve"> </w:t>
      </w:r>
      <w:r>
        <w:t xml:space="preserve">salinity were determined on-site using a YSI probe (YSI6600, USA). In</w:t>
      </w:r>
      <w:r>
        <w:t xml:space="preserve"> </w:t>
      </w:r>
      <w:r>
        <w:t xml:space="preserve">total, 63 water samples (7 sites</w:t>
      </w:r>
      <w:r>
        <w:t xml:space="preserve"> </w:t>
      </w:r>
      <m:oMath>
        <m:r>
          <m:rPr>
            <m:sty m:val="p"/>
          </m:rPr>
          <m:t>×</m:t>
        </m:r>
      </m:oMath>
      <w:r>
        <w:t xml:space="preserve"> </w:t>
      </w:r>
      <w:r>
        <w:t xml:space="preserve">3 levels</w:t>
      </w:r>
      <w:r>
        <w:t xml:space="preserve"> </w:t>
      </w:r>
      <m:oMath>
        <m:r>
          <m:rPr>
            <m:sty m:val="p"/>
          </m:rPr>
          <m:t>×</m:t>
        </m:r>
      </m:oMath>
      <w:r>
        <w:t xml:space="preserve"> </w:t>
      </w:r>
      <w:r>
        <w:t xml:space="preserve">3 repeats)</w:t>
      </w:r>
      <w:r>
        <w:t xml:space="preserve"> </w:t>
      </w:r>
      <w:r>
        <w:t xml:space="preserve">were taken from the surface water (0.5 m) at each site. All field</w:t>
      </w:r>
      <w:r>
        <w:t xml:space="preserve"> </w:t>
      </w:r>
      <w:r>
        <w:t xml:space="preserve">samples were supplemented with different concentrations (range from</w:t>
      </w:r>
      <w:r>
        <w:t xml:space="preserve"> </w:t>
      </w:r>
      <m:oMath>
        <m:sSup>
          <m:e>
            <m:r>
              <m:t>10</m:t>
            </m:r>
          </m:e>
          <m:sup>
            <m:r>
              <m:t>6</m:t>
            </m:r>
          </m:sup>
        </m:sSup>
        <m:r>
          <m:rPr>
            <m:sty m:val="p"/>
          </m:rPr>
          <m:t>−</m:t>
        </m:r>
        <m:sSup>
          <m:e>
            <m:r>
              <m:t>10</m:t>
            </m:r>
          </m:e>
          <m:sup>
            <m:r>
              <m:t>8</m:t>
            </m:r>
          </m:sup>
        </m:sSup>
      </m:oMath>
      <w:r>
        <w:t xml:space="preserve"> </w:t>
      </w:r>
      <w:r>
        <w:t xml:space="preserve">cells L</w:t>
      </w:r>
      <m:oMath>
        <m:sSup>
          <m:e>
            <m:r>
              <m:t>​</m:t>
            </m:r>
          </m:e>
          <m:sup>
            <m:r>
              <m:rPr>
                <m:sty m:val="p"/>
              </m:rPr>
              <m:t>−</m:t>
            </m:r>
            <m:r>
              <m:t>1</m:t>
            </m:r>
          </m:sup>
        </m:sSup>
      </m:oMath>
      <w:r>
        <w:t xml:space="preserve">) of the FADC-0001 strain before analysis.</w:t>
      </w:r>
      <w:r>
        <w:t xml:space="preserve"> </w:t>
      </w:r>
      <w:r>
        <w:t xml:space="preserve">Together with 32 culture samples collected from the laboratory culture</w:t>
      </w:r>
      <w:r>
        <w:t xml:space="preserve"> </w:t>
      </w:r>
      <w:r>
        <w:t xml:space="preserve">system, all samples were used for cell enumeration, geosmin</w:t>
      </w:r>
      <w:r>
        <w:t xml:space="preserve"> </w:t>
      </w:r>
      <w:r>
        <w:t xml:space="preserve">determination and DNA extraction.</w:t>
      </w:r>
    </w:p>
    <w:p>
      <w:pPr>
        <w:pStyle w:val="BodyText"/>
      </w:pPr>
      <w:r>
        <w:t xml:space="preserve">Subsamples for cell enumeration were preserved with Lugol’s iodine to a</w:t>
      </w:r>
      <w:r>
        <w:t xml:space="preserve"> </w:t>
      </w:r>
      <w:r>
        <w:t xml:space="preserve">final concentration of 5%</w:t>
      </w:r>
      <w:r>
        <w:t xml:space="preserve"> </w:t>
      </w:r>
      <w:r>
        <w:t xml:space="preserve">(Sherr and Sherr, 1993)</w:t>
      </w:r>
      <w:r>
        <w:t xml:space="preserve"> </w:t>
      </w:r>
      <w:r>
        <w:t xml:space="preserve">and then kept in dark until</w:t>
      </w:r>
      <w:r>
        <w:t xml:space="preserve"> </w:t>
      </w:r>
      <w:r>
        <w:t xml:space="preserve">cell counting. The algal cell density was determined by the Utermöhl</w:t>
      </w:r>
      <w:r>
        <w:t xml:space="preserve"> </w:t>
      </w:r>
      <w:r>
        <w:t xml:space="preserve">technique using a Sedgewick-Rafter counting chamber under a Nikon</w:t>
      </w:r>
      <w:r>
        <w:t xml:space="preserve"> </w:t>
      </w:r>
      <w:r>
        <w:t xml:space="preserve">Eclipse 50i microscope with phase contrast and bright field illumination</w:t>
      </w:r>
      <w:r>
        <w:t xml:space="preserve"> </w:t>
      </w:r>
      <w:r>
        <w:t xml:space="preserve">(Hasle, 1978)</w:t>
      </w:r>
      <w:r>
        <w:t xml:space="preserve">. A magnification of 160</w:t>
      </w:r>
      <m:oMath>
        <m:r>
          <m:rPr>
            <m:sty m:val="p"/>
          </m:rPr>
          <m:t>×</m:t>
        </m:r>
      </m:oMath>
      <w:r>
        <w:t xml:space="preserve"> </w:t>
      </w:r>
      <w:r>
        <w:t xml:space="preserve">and 400</w:t>
      </w:r>
      <m:oMath>
        <m:r>
          <m:rPr>
            <m:sty m:val="p"/>
          </m:rPr>
          <m:t>×</m:t>
        </m:r>
      </m:oMath>
      <w:r>
        <w:t xml:space="preserve"> </w:t>
      </w:r>
      <w:r>
        <w:t xml:space="preserve">was used</w:t>
      </w:r>
      <w:r>
        <w:t xml:space="preserve"> </w:t>
      </w:r>
      <w:r>
        <w:t xml:space="preserve">to identify and enumerate the cells, respectively. For each sample,</w:t>
      </w:r>
      <w:r>
        <w:t xml:space="preserve"> </w:t>
      </w:r>
      <w:r>
        <w:t xml:space="preserve">triplicates of 1 mL each culture were collected and counted separately.</w:t>
      </w:r>
    </w:p>
    <w:bookmarkEnd w:id="26"/>
    <w:bookmarkStart w:id="27" w:name="method:geosmin"/>
    <w:p>
      <w:pPr>
        <w:pStyle w:val="Heading2"/>
      </w:pPr>
      <w:r>
        <w:t xml:space="preserve">Geosmin analysis</w:t>
      </w:r>
    </w:p>
    <w:p>
      <w:pPr>
        <w:pStyle w:val="BodyText"/>
      </w:pPr>
      <w:r>
        <w:t xml:space="preserve">Filtration through poly-carbonate filters was used to separate the</w:t>
      </w:r>
      <w:r>
        <w:t xml:space="preserve"> </w:t>
      </w:r>
      <w:r>
        <w:t xml:space="preserve">dissolved from the intracellular geosmin fraction of all samples.</w:t>
      </w:r>
      <w:r>
        <w:t xml:space="preserve"> </w:t>
      </w:r>
      <w:r>
        <w:t xml:space="preserve">Subsamples for dissolved geosmin determination were passed through a</w:t>
      </w:r>
      <w:r>
        <w:t xml:space="preserve"> </w:t>
      </w:r>
      <w:r>
        <w:t xml:space="preserve">poly-carbonate membrane (3</w:t>
      </w:r>
      <w:r>
        <w:t xml:space="preserve"> </w:t>
      </w:r>
      <m:oMath>
        <m:r>
          <m:rPr>
            <m:sty m:val="p"/>
          </m:rPr>
          <m:t>μ</m:t>
        </m:r>
        <m:r>
          <m:rPr>
            <m:sty m:val="p"/>
          </m:rPr>
          <m:t>m</m:t>
        </m:r>
      </m:oMath>
      <w:r>
        <w:t xml:space="preserve"> </w:t>
      </w:r>
      <w:r>
        <w:t xml:space="preserve">pore size, 47 mm diameter,</w:t>
      </w:r>
      <w:r>
        <w:t xml:space="preserve"> </w:t>
      </w:r>
      <w:r>
        <w:t xml:space="preserve">Millipore, Bedford, Mass) applying a vacuum (quantify under 40 kPa);</w:t>
      </w:r>
      <w:r>
        <w:t xml:space="preserve"> </w:t>
      </w:r>
      <w:r>
        <w:t xml:space="preserve">while unfiltered sample represent the total geosmin. Both filtered and</w:t>
      </w:r>
      <w:r>
        <w:t xml:space="preserve"> </w:t>
      </w:r>
      <w:r>
        <w:t xml:space="preserve">unfiltered fractions were stored in light-blocking bottles with airtight</w:t>
      </w:r>
      <w:r>
        <w:t xml:space="preserve"> </w:t>
      </w:r>
      <w:r>
        <w:t xml:space="preserve">stopper supplemented with HgCl</w:t>
      </w:r>
      <m:oMath>
        <m:sSub>
          <m:e>
            <m:r>
              <m:t>​</m:t>
            </m:r>
          </m:e>
          <m:sub>
            <m:r>
              <m:t>2</m:t>
            </m:r>
          </m:sub>
        </m:sSub>
      </m:oMath>
      <w:r>
        <w:t xml:space="preserve"> </w:t>
      </w:r>
      <w:r>
        <w:t xml:space="preserve">to a final concentration of 10 mg</w:t>
      </w:r>
      <w:r>
        <w:t xml:space="preserve"> </w:t>
      </w:r>
      <w:r>
        <w:t xml:space="preserve">L</w:t>
      </w:r>
      <m:oMath>
        <m:sSup>
          <m:e>
            <m:r>
              <m:t>​</m:t>
            </m:r>
          </m:e>
          <m:sup>
            <m:r>
              <m:rPr>
                <m:sty m:val="p"/>
              </m:rPr>
              <m:t>−</m:t>
            </m:r>
            <m:r>
              <m:t>1</m:t>
            </m:r>
          </m:sup>
        </m:sSup>
      </m:oMath>
      <w:r>
        <w:t xml:space="preserve"> </w:t>
      </w:r>
      <w:r>
        <w:t xml:space="preserve">to prevent biodegradation</w:t>
      </w:r>
      <w:r>
        <w:t xml:space="preserve"> </w:t>
      </w:r>
      <w:r>
        <w:t xml:space="preserve">(Li et al., 2010)</w:t>
      </w:r>
      <w:r>
        <w:t xml:space="preserve">, and then analyzed within</w:t>
      </w:r>
      <w:r>
        <w:t xml:space="preserve"> </w:t>
      </w:r>
      <w:r>
        <w:t xml:space="preserve">24 h using the solid phase micro-extraction (SPME) method coupled with</w:t>
      </w:r>
      <w:r>
        <w:t xml:space="preserve"> </w:t>
      </w:r>
      <w:r>
        <w:t xml:space="preserve">gas chromatography-mass spectrometry (GC-MS) (Agilent 6890/5975, Agilent</w:t>
      </w:r>
      <w:r>
        <w:t xml:space="preserve"> </w:t>
      </w:r>
      <w:r>
        <w:t xml:space="preserve">Tech., USA)</w:t>
      </w:r>
      <w:r>
        <w:t xml:space="preserve"> </w:t>
      </w:r>
      <w:r>
        <w:t xml:space="preserve">(Deng et al., 2011; Liang et al., 2005)</w:t>
      </w:r>
      <w:r>
        <w:t xml:space="preserve">. Intracellular geosmin</w:t>
      </w:r>
      <w:r>
        <w:t xml:space="preserve"> </w:t>
      </w:r>
      <w:r>
        <w:t xml:space="preserve">concentrations were calculated by subtracting dissolved geosmin from the</w:t>
      </w:r>
      <w:r>
        <w:t xml:space="preserve"> </w:t>
      </w:r>
      <w:r>
        <w:t xml:space="preserve">total geosmin values.</w:t>
      </w:r>
    </w:p>
    <w:bookmarkEnd w:id="27"/>
    <w:bookmarkStart w:id="28" w:name="method:dna"/>
    <w:p>
      <w:pPr>
        <w:pStyle w:val="Heading2"/>
      </w:pPr>
      <w:r>
        <w:t xml:space="preserve">DNA extraction</w:t>
      </w:r>
    </w:p>
    <w:p>
      <w:pPr>
        <w:pStyle w:val="BodyText"/>
      </w:pPr>
      <w:r>
        <w:t xml:space="preserve">Subsamples for genomic DNA extraction from both culture and field</w:t>
      </w:r>
      <w:r>
        <w:t xml:space="preserve"> </w:t>
      </w:r>
      <w:r>
        <w:t xml:space="preserve">samples were filtered through a 5</w:t>
      </w:r>
      <w:r>
        <w:t xml:space="preserve"> </w:t>
      </w:r>
      <w:r>
        <w:t xml:space="preserve">$\rm{\mu}$</w:t>
      </w:r>
      <w:r>
        <w:t xml:space="preserve">m hydrophilic Durapore</w:t>
      </w:r>
      <w:r>
        <w:t xml:space="preserve"> </w:t>
      </w:r>
      <w:r>
        <w:t xml:space="preserve">filter (Millipore, Bedford, Mass) until the filtration pads were</w:t>
      </w:r>
      <w:r>
        <w:t xml:space="preserve"> </w:t>
      </w:r>
      <w:r>
        <w:t xml:space="preserve">saturated. The filters were then placed into a sterile tube (Axygen,</w:t>
      </w:r>
      <w:r>
        <w:t xml:space="preserve"> </w:t>
      </w:r>
      <w:r>
        <w:t xml:space="preserve">USA) with 180</w:t>
      </w:r>
      <w:r>
        <w:t xml:space="preserve"> </w:t>
      </w:r>
      <w:r>
        <w:t xml:space="preserve">$\rm{\mu}$</w:t>
      </w:r>
      <w:r>
        <w:t xml:space="preserve">L of lysis buffer (DNeasy Kit 69504, Qiagen,</w:t>
      </w:r>
      <w:r>
        <w:t xml:space="preserve"> </w:t>
      </w:r>
      <w:r>
        <w:t xml:space="preserve">Australia), and the cells were then broken using an ultrasonic peen with</w:t>
      </w:r>
      <w:r>
        <w:t xml:space="preserve"> </w:t>
      </w:r>
      <w:r>
        <w:t xml:space="preserve">6 cycles of 15 seconds on and 10 seconds off at 20% power (DIGITAL</w:t>
      </w:r>
      <w:r>
        <w:t xml:space="preserve"> </w:t>
      </w:r>
      <w:r>
        <w:t xml:space="preserve">Sonifier S-250D, Branson, Dabury, USA). Additionally, to optimize cell</w:t>
      </w:r>
      <w:r>
        <w:t xml:space="preserve"> </w:t>
      </w:r>
      <w:r>
        <w:t xml:space="preserve">lysis, 10</w:t>
      </w:r>
      <w:r>
        <w:t xml:space="preserve"> </w:t>
      </w:r>
      <w:r>
        <w:t xml:space="preserve">$\rm{\mu}$</w:t>
      </w:r>
      <w:r>
        <w:t xml:space="preserve">L of lysozyme solution (90 mg mL</w:t>
      </w:r>
      <m:oMath>
        <m:sSup>
          <m:e>
            <m:r>
              <m:t>​</m:t>
            </m:r>
          </m:e>
          <m:sup>
            <m:r>
              <m:rPr>
                <m:sty m:val="p"/>
              </m:rPr>
              <m:t>−</m:t>
            </m:r>
            <m:r>
              <m:t>1</m:t>
            </m:r>
          </m:sup>
        </m:sSup>
      </m:oMath>
      <w:r>
        <w:t xml:space="preserve">, Invitrogen,</w:t>
      </w:r>
      <w:r>
        <w:t xml:space="preserve"> </w:t>
      </w:r>
      <w:r>
        <w:t xml:space="preserve">USA) and 10</w:t>
      </w:r>
      <w:r>
        <w:t xml:space="preserve"> </w:t>
      </w:r>
      <w:r>
        <w:t xml:space="preserve">$\rm{\mu}$</w:t>
      </w:r>
      <w:r>
        <w:t xml:space="preserve">L proteinase K (DNeasy Kit 69504, Qiagen,</w:t>
      </w:r>
      <w:r>
        <w:t xml:space="preserve"> </w:t>
      </w:r>
      <w:r>
        <w:t xml:space="preserve">Australia) were added to the cell preparation, and placed for incubation</w:t>
      </w:r>
      <w:r>
        <w:t xml:space="preserve"> </w:t>
      </w:r>
      <w:r>
        <w:t xml:space="preserve">at 56</w:t>
      </w:r>
      <w:r>
        <w:t xml:space="preserve"> </w:t>
      </w:r>
      <w:r>
        <w:t xml:space="preserve">$\rm{^\circ C}$</w:t>
      </w:r>
      <w:r>
        <w:t xml:space="preserve"> </w:t>
      </w:r>
      <w:r>
        <w:t xml:space="preserve">for 3 h. Finally, DNA extraction was completed</w:t>
      </w:r>
      <w:r>
        <w:t xml:space="preserve"> </w:t>
      </w:r>
      <w:r>
        <w:t xml:space="preserve">using the DNeasy Blood &amp; Tissue Kit (Qiagen, USA) following the protocol</w:t>
      </w:r>
      <w:r>
        <w:t xml:space="preserve"> </w:t>
      </w:r>
      <w:r>
        <w:t xml:space="preserve">provided by the manufacturer. The purity of the extracted DNA varied</w:t>
      </w:r>
      <w:r>
        <w:t xml:space="preserve"> </w:t>
      </w:r>
      <w:r>
        <w:t xml:space="preserve">from 1.7 to 1.9 was assessed by calculating the ratio of the absorbance</w:t>
      </w:r>
      <w:r>
        <w:t xml:space="preserve"> </w:t>
      </w:r>
      <w:r>
        <w:t xml:space="preserve">measured at 260 nm (</w:t>
      </w:r>
      <w:r>
        <w:rPr>
          <w:i/>
          <w:iCs/>
        </w:rPr>
        <w:t xml:space="preserve">A260</w:t>
      </w:r>
      <w:r>
        <w:t xml:space="preserve">) to the absorbance measured at 280 nm</w:t>
      </w:r>
      <w:r>
        <w:t xml:space="preserve"> </w:t>
      </w:r>
      <w:r>
        <w:t xml:space="preserve">(</w:t>
      </w:r>
      <w:r>
        <w:rPr>
          <w:i/>
          <w:iCs/>
        </w:rPr>
        <w:t xml:space="preserve">A280</w:t>
      </w:r>
      <w:r>
        <w:t xml:space="preserve">), using NanoDrop1000 spectrophotometer version 3.2.1 software</w:t>
      </w:r>
      <w:r>
        <w:t xml:space="preserve"> </w:t>
      </w:r>
      <w:r>
        <w:t xml:space="preserve">(Biolab).</w:t>
      </w:r>
    </w:p>
    <w:bookmarkEnd w:id="28"/>
    <w:bookmarkStart w:id="29" w:name="method:primer"/>
    <w:p>
      <w:pPr>
        <w:pStyle w:val="Heading2"/>
      </w:pPr>
      <w:r>
        <w:t xml:space="preserve">Primers design and specificity evaluation</w:t>
      </w:r>
    </w:p>
    <w:p>
      <w:pPr>
        <w:pStyle w:val="BodyText"/>
      </w:pPr>
      <w:r>
        <w:t xml:space="preserve">For the general detection of</w:t>
      </w:r>
      <w:r>
        <w:t xml:space="preserve"> </w:t>
      </w:r>
      <w:r>
        <w:rPr>
          <w:i/>
          <w:iCs/>
        </w:rPr>
        <w:t xml:space="preserve">Anabaena</w:t>
      </w:r>
      <w:r>
        <w:t xml:space="preserve"> </w:t>
      </w:r>
      <w:r>
        <w:t xml:space="preserve">populations and their geosmin</w:t>
      </w:r>
      <w:r>
        <w:t xml:space="preserve"> </w:t>
      </w:r>
      <w:r>
        <w:t xml:space="preserve">production potential, two qPCR primer sets were designed which</w:t>
      </w:r>
      <w:r>
        <w:t xml:space="preserve"> </w:t>
      </w:r>
      <w:r>
        <w:t xml:space="preserve">respectively amplify specific fragments of the</w:t>
      </w:r>
      <w:r>
        <w:t xml:space="preserve"> </w:t>
      </w:r>
      <m:oMath>
        <m:r>
          <m:t>r</m:t>
        </m:r>
        <m:r>
          <m:t>p</m:t>
        </m:r>
        <m:r>
          <m:t>o</m:t>
        </m:r>
        <m:sSub>
          <m:e>
            <m:r>
              <m:t>C</m:t>
            </m:r>
          </m:e>
          <m:sub>
            <m:r>
              <m:t>1</m:t>
            </m:r>
          </m:sub>
        </m:sSub>
      </m:oMath>
      <w:r>
        <w:t xml:space="preserve"> </w:t>
      </w:r>
      <w:r>
        <w:t xml:space="preserve">gene coding for</w:t>
      </w:r>
      <w:r>
        <w:t xml:space="preserve"> </w:t>
      </w:r>
      <w:r>
        <w:t xml:space="preserve">the gamma subunit of the RNA polymerase of</w:t>
      </w:r>
      <w:r>
        <w:t xml:space="preserve"> </w:t>
      </w:r>
      <w:r>
        <w:rPr>
          <w:i/>
          <w:iCs/>
        </w:rPr>
        <w:t xml:space="preserve">Anabaena</w:t>
      </w:r>
      <w:r>
        <w:t xml:space="preserve"> </w:t>
      </w:r>
      <w:r>
        <w:t xml:space="preserve">sp. and</w:t>
      </w:r>
      <w:r>
        <w:t xml:space="preserve"> </w:t>
      </w:r>
      <w:r>
        <w:rPr>
          <w:i/>
          <w:iCs/>
        </w:rPr>
        <w:t xml:space="preserve">geosmin</w:t>
      </w:r>
      <w:r>
        <w:rPr>
          <w:i/>
          <w:iCs/>
        </w:rPr>
        <w:t xml:space="preserve"> </w:t>
      </w:r>
      <w:r>
        <w:rPr>
          <w:i/>
          <w:iCs/>
        </w:rPr>
        <w:t xml:space="preserve">synthase</w:t>
      </w:r>
      <w:r>
        <w:t xml:space="preserve"> </w:t>
      </w:r>
      <w:r>
        <w:t xml:space="preserve">gene responsible for the biosynthesis of geosmin in</w:t>
      </w:r>
      <w:r>
        <w:t xml:space="preserve"> </w:t>
      </w:r>
      <w:r>
        <w:t xml:space="preserve">cyanobacteria. The sequences are as follows:</w:t>
      </w:r>
      <w:r>
        <w:t xml:space="preserve"> </w:t>
      </w:r>
      <w:r>
        <w:rPr>
          <w:i/>
          <w:iCs/>
        </w:rPr>
        <w:t xml:space="preserve">ARG</w:t>
      </w:r>
      <w:r>
        <w:t xml:space="preserve"> </w:t>
      </w:r>
      <w:r>
        <w:t xml:space="preserve">forward primer AN03</w:t>
      </w:r>
      <w:r>
        <w:t xml:space="preserve"> </w:t>
      </w:r>
      <w:r>
        <w:t xml:space="preserve">(5’-TGTGGCTCATGTTTGGTATCTC-3’) and reverse primer AN06</w:t>
      </w:r>
      <w:r>
        <w:t xml:space="preserve"> </w:t>
      </w:r>
      <w:r>
        <w:t xml:space="preserve">(5’-CCAATACCCACTTCCACACC-3’);</w:t>
      </w:r>
      <w:r>
        <w:t xml:space="preserve"> </w:t>
      </w:r>
      <w:r>
        <w:rPr>
          <w:i/>
          <w:iCs/>
        </w:rPr>
        <w:t xml:space="preserve">GSG</w:t>
      </w:r>
      <w:r>
        <w:t xml:space="preserve"> </w:t>
      </w:r>
      <w:r>
        <w:t xml:space="preserve">forward primer 173AF</w:t>
      </w:r>
      <w:r>
        <w:t xml:space="preserve"> </w:t>
      </w:r>
      <w:r>
        <w:t xml:space="preserve">(5’-TGTGAGTACCCAAGAGG-3’) and 173AR (5’-CTGCCAATCCTGAAGTCCTTT-3’)</w:t>
      </w:r>
      <w:r>
        <w:t xml:space="preserve"> </w:t>
      </w:r>
      <w:r>
        <w:t xml:space="preserve">(Giglio et al., 2011)</w:t>
      </w:r>
      <w:r>
        <w:t xml:space="preserve">.</w:t>
      </w:r>
    </w:p>
    <w:p>
      <w:pPr>
        <w:pStyle w:val="BodyText"/>
      </w:pPr>
      <w:r>
        <w:t xml:space="preserve">As shown in</w:t>
      </w:r>
      <w:r>
        <w:t xml:space="preserve"> </w:t>
      </w:r>
      <w:hyperlink w:anchor="tbl-anaprimer">
        <w:r>
          <w:rPr>
            <w:rStyle w:val="Hyperlink"/>
          </w:rPr>
          <w:t xml:space="preserve">Table 1</w:t>
        </w:r>
      </w:hyperlink>
      <w:r>
        <w:t xml:space="preserve">, thirty</w:t>
      </w:r>
      <w:r>
        <w:t xml:space="preserve"> </w:t>
      </w:r>
      <w:r>
        <w:rPr>
          <w:i/>
          <w:iCs/>
        </w:rPr>
        <w:t xml:space="preserve">Anabaena</w:t>
      </w:r>
      <w:r>
        <w:t xml:space="preserve"> </w:t>
      </w:r>
      <w:r>
        <w:t xml:space="preserve">strains, fifteen</w:t>
      </w:r>
      <w:r>
        <w:t xml:space="preserve"> </w:t>
      </w:r>
      <w:r>
        <w:rPr>
          <w:i/>
          <w:iCs/>
        </w:rPr>
        <w:t xml:space="preserve">Microcystis</w:t>
      </w:r>
      <w:r>
        <w:t xml:space="preserve"> </w:t>
      </w:r>
      <w:r>
        <w:t xml:space="preserve">strains and two</w:t>
      </w:r>
      <w:r>
        <w:t xml:space="preserve"> </w:t>
      </w:r>
      <w:r>
        <w:rPr>
          <w:i/>
          <w:iCs/>
        </w:rPr>
        <w:t xml:space="preserve">Cylindrospermopsis</w:t>
      </w:r>
      <w:r>
        <w:t xml:space="preserve"> </w:t>
      </w:r>
      <w:r>
        <w:t xml:space="preserve">strains were used to</w:t>
      </w:r>
      <w:r>
        <w:t xml:space="preserve"> </w:t>
      </w:r>
      <w:r>
        <w:t xml:space="preserve">test the specificity of the</w:t>
      </w:r>
      <w:r>
        <w:t xml:space="preserve"> </w:t>
      </w:r>
      <w:r>
        <w:rPr>
          <w:i/>
          <w:iCs/>
        </w:rPr>
        <w:t xml:space="preserve">ARG</w:t>
      </w:r>
      <w:r>
        <w:t xml:space="preserve"> </w:t>
      </w:r>
      <w:r>
        <w:t xml:space="preserve">primer set with conventional PCR</w:t>
      </w:r>
      <w:r>
        <w:t xml:space="preserve"> </w:t>
      </w:r>
      <w:r>
        <w:t xml:space="preserve">coupled with gel electrophoresis (agarose 1% v/v). At the same time,</w:t>
      </w:r>
      <w:r>
        <w:t xml:space="preserve"> </w:t>
      </w:r>
      <w:r>
        <w:t xml:space="preserve">eleven</w:t>
      </w:r>
      <w:r>
        <w:t xml:space="preserve"> </w:t>
      </w:r>
      <w:r>
        <w:rPr>
          <w:i/>
          <w:iCs/>
        </w:rPr>
        <w:t xml:space="preserve">Anabaena</w:t>
      </w:r>
      <w:r>
        <w:t xml:space="preserve"> </w:t>
      </w:r>
      <w:r>
        <w:t xml:space="preserve">strains were used to verify the specificity of the</w:t>
      </w:r>
      <w:r>
        <w:t xml:space="preserve"> </w:t>
      </w:r>
      <w:r>
        <w:rPr>
          <w:i/>
          <w:iCs/>
        </w:rPr>
        <w:t xml:space="preserve">GSG</w:t>
      </w:r>
      <w:r>
        <w:t xml:space="preserve"> </w:t>
      </w:r>
      <w:r>
        <w:t xml:space="preserve">primer set; in addition, a melting curve analysis, which was</w:t>
      </w:r>
      <w:r>
        <w:t xml:space="preserve"> </w:t>
      </w:r>
      <w:r>
        <w:t xml:space="preserve">developed in 1990s and has been used to distinguish different PCR</w:t>
      </w:r>
      <w:r>
        <w:t xml:space="preserve"> </w:t>
      </w:r>
      <w:r>
        <w:t xml:space="preserve">products based on GC/AT ratio, length and sequence recently</w:t>
      </w:r>
      <w:r>
        <w:t xml:space="preserve"> </w:t>
      </w:r>
      <w:r>
        <w:t xml:space="preserve">(Rasmussen et al., 2007; Ririe et al., 1997)</w:t>
      </w:r>
      <w:r>
        <w:t xml:space="preserve">, was run at the end of qPCR runs to</w:t>
      </w:r>
      <w:r>
        <w:t xml:space="preserve"> </w:t>
      </w:r>
      <w:r>
        <w:t xml:space="preserve">verify the melting temperature (</w:t>
      </w:r>
      <m:oMath>
        <m:sSub>
          <m:e>
            <m:r>
              <m:t>T</m:t>
            </m:r>
          </m:e>
          <m:sub>
            <m:r>
              <m:t>m</m:t>
            </m:r>
          </m:sub>
        </m:sSub>
      </m:oMath>
      <w:r>
        <w:t xml:space="preserve">) of the amplicons for the four</w:t>
      </w:r>
      <w:r>
        <w:t xml:space="preserve"> </w:t>
      </w:r>
      <w:r>
        <w:t xml:space="preserve">AWQC strains (AWQC-ANA044/102/196/328). The</w:t>
      </w:r>
      <w:r>
        <w:t xml:space="preserve"> </w:t>
      </w:r>
      <m:oMath>
        <m:sSub>
          <m:e>
            <m:r>
              <m:t>T</m:t>
            </m:r>
          </m:e>
          <m:sub>
            <m:r>
              <m:t>m</m:t>
            </m:r>
          </m:sub>
        </m:sSub>
      </m:oMath>
      <w:r>
        <w:t xml:space="preserve"> </w:t>
      </w:r>
      <w:r>
        <w:t xml:space="preserve">corresponding to the</w:t>
      </w:r>
      <w:r>
        <w:t xml:space="preserve"> </w:t>
      </w:r>
      <w:r>
        <w:t xml:space="preserve">target amplicon is 83</w:t>
      </w:r>
      <w:r>
        <w:t xml:space="preserve"> </w:t>
      </w:r>
      <m:oMath>
        <m:sSup>
          <m:e>
            <m:r>
              <m:rPr>
                <m:sty m:val="p"/>
              </m:rPr>
              <m:t>​</m:t>
            </m:r>
          </m:e>
          <m:sup>
            <m:r>
              <m:rPr>
                <m:sty m:val="p"/>
              </m:rPr>
              <m:t>∘</m:t>
            </m:r>
          </m:sup>
        </m:sSup>
        <m:r>
          <m:rPr>
            <m:sty m:val="p"/>
          </m:rPr>
          <m:t>C</m:t>
        </m:r>
      </m:oMath>
      <w:r>
        <w:t xml:space="preserve"> </w:t>
      </w:r>
      <w:r>
        <w:t xml:space="preserve">for</w:t>
      </w:r>
      <w:r>
        <w:t xml:space="preserve"> </w:t>
      </w:r>
      <m:oMath>
        <m:r>
          <m:t>A</m:t>
        </m:r>
        <m:r>
          <m:t>n</m:t>
        </m:r>
        <m:r>
          <m:t>a</m:t>
        </m:r>
        <m:r>
          <m:t>b</m:t>
        </m:r>
        <m:r>
          <m:t>a</m:t>
        </m:r>
        <m:r>
          <m:t>e</m:t>
        </m:r>
        <m:r>
          <m:t>n</m:t>
        </m:r>
        <m:r>
          <m:t>a</m:t>
        </m:r>
      </m:oMath>
      <w:r>
        <w:t xml:space="preserve"> </w:t>
      </w:r>
      <w:r>
        <w:t xml:space="preserve">species and 86</w:t>
      </w:r>
      <w:r>
        <w:t xml:space="preserve"> </w:t>
      </w:r>
      <m:oMath>
        <m:sSup>
          <m:e>
            <m:r>
              <m:rPr>
                <m:sty m:val="p"/>
              </m:rPr>
              <m:t>​</m:t>
            </m:r>
          </m:e>
          <m:sup>
            <m:r>
              <m:rPr>
                <m:sty m:val="p"/>
              </m:rPr>
              <m:t>∘</m:t>
            </m:r>
          </m:sup>
        </m:sSup>
        <m:r>
          <m:rPr>
            <m:sty m:val="p"/>
          </m:rPr>
          <m:t>C</m:t>
        </m:r>
      </m:oMath>
      <w:r>
        <w:t xml:space="preserve"> </w:t>
      </w:r>
      <w:r>
        <w:t xml:space="preserve">for the positive control of</w:t>
      </w:r>
      <w:r>
        <w:t xml:space="preserve"> </w:t>
      </w:r>
      <w:r>
        <w:rPr>
          <w:i/>
          <w:iCs/>
        </w:rPr>
        <w:t xml:space="preserve">Nostoc</w:t>
      </w:r>
      <w:r>
        <w:t xml:space="preserve"> </w:t>
      </w:r>
      <w:r>
        <w:t xml:space="preserve">sp.. So only</w:t>
      </w:r>
      <w:r>
        <w:t xml:space="preserve"> </w:t>
      </w:r>
      <w:r>
        <w:t xml:space="preserve">the samples showed a unique peak at the right temperature (83</w:t>
      </w:r>
      <w:r>
        <w:t xml:space="preserve"> </w:t>
      </w:r>
      <m:oMath>
        <m:sSup>
          <m:e>
            <m:r>
              <m:rPr>
                <m:sty m:val="p"/>
              </m:rPr>
              <m:t>​</m:t>
            </m:r>
          </m:e>
          <m:sup>
            <m:r>
              <m:rPr>
                <m:sty m:val="p"/>
              </m:rPr>
              <m:t>∘</m:t>
            </m:r>
          </m:sup>
        </m:sSup>
        <m:r>
          <m:rPr>
            <m:sty m:val="p"/>
          </m:rPr>
          <m:t>C</m:t>
        </m:r>
      </m:oMath>
      <w:r>
        <w:t xml:space="preserve">) were considered as positive (</w:t>
      </w:r>
      <w:hyperlink w:anchor="tbl-geosprimer">
        <w:r>
          <w:rPr>
            <w:rStyle w:val="Hyperlink"/>
          </w:rPr>
          <w:t xml:space="preserve">Table 2</w:t>
        </w:r>
      </w:hyperlink>
      <w:r>
        <w:t xml:space="preserve">).</w:t>
      </w:r>
      <w:r>
        <w:t xml:space="preserve"> </w:t>
      </w:r>
      <w:r>
        <w:t xml:space="preserve">The 25</w:t>
      </w:r>
      <w:r>
        <w:t xml:space="preserve"> </w:t>
      </w:r>
      <m:oMath>
        <m:r>
          <m:rPr>
            <m:sty m:val="p"/>
          </m:rPr>
          <m:t>μ</m:t>
        </m:r>
        <m:r>
          <m:rPr>
            <m:sty m:val="p"/>
          </m:rPr>
          <m:t>L</m:t>
        </m:r>
      </m:oMath>
      <w:r>
        <w:t xml:space="preserve"> </w:t>
      </w:r>
      <w:r>
        <w:t xml:space="preserve">PCR mixture included 1</w:t>
      </w:r>
      <m:oMath>
        <m:r>
          <m:rPr>
            <m:sty m:val="p"/>
          </m:rPr>
          <m:t>×</m:t>
        </m:r>
      </m:oMath>
      <w:r>
        <w:t xml:space="preserve"> </w:t>
      </w:r>
      <w:r>
        <w:t xml:space="preserve">PCR buffer</w:t>
      </w:r>
      <w:r>
        <w:t xml:space="preserve"> </w:t>
      </w:r>
      <w:r>
        <w:t xml:space="preserve">(Takara, Dalian, China), 0.2</w:t>
      </w:r>
      <w:r>
        <w:t xml:space="preserve"> </w:t>
      </w:r>
      <m:oMath>
        <m:r>
          <m:rPr>
            <m:sty m:val="p"/>
          </m:rPr>
          <m:t>μ</m:t>
        </m:r>
        <m:r>
          <m:rPr>
            <m:sty m:val="p"/>
          </m:rPr>
          <m:t>L</m:t>
        </m:r>
      </m:oMath>
      <w:r>
        <w:t xml:space="preserve"> </w:t>
      </w:r>
      <w:r>
        <w:t xml:space="preserve">dNTPs (Takara, Dalian,</w:t>
      </w:r>
      <w:r>
        <w:t xml:space="preserve"> </w:t>
      </w:r>
      <w:r>
        <w:t xml:space="preserve">China), 1.25 U of Taq DNA polymerase (Takara, Dalian, China), 0.2</w:t>
      </w:r>
      <w:r>
        <w:t xml:space="preserve"> </w:t>
      </w:r>
      <m:oMath>
        <m:r>
          <m:t>μ</m:t>
        </m:r>
      </m:oMath>
      <w:r>
        <w:t xml:space="preserve">M</w:t>
      </w:r>
      <w:r>
        <w:t xml:space="preserve"> </w:t>
      </w:r>
      <w:r>
        <w:t xml:space="preserve">of each primer (AN03/06 for</w:t>
      </w:r>
      <w:r>
        <w:t xml:space="preserve"> </w:t>
      </w:r>
      <w:r>
        <w:rPr>
          <w:i/>
          <w:iCs/>
        </w:rPr>
        <w:t xml:space="preserve">ARG</w:t>
      </w:r>
      <w:r>
        <w:t xml:space="preserve"> </w:t>
      </w:r>
      <w:r>
        <w:t xml:space="preserve">qPCR assay, 173AF/AR for</w:t>
      </w:r>
      <w:r>
        <w:t xml:space="preserve"> </w:t>
      </w:r>
      <w:r>
        <w:rPr>
          <w:i/>
          <w:iCs/>
        </w:rPr>
        <w:t xml:space="preserve">GSG</w:t>
      </w:r>
      <w:r>
        <w:t xml:space="preserve"> </w:t>
      </w:r>
      <w:r>
        <w:t xml:space="preserve">qPCR</w:t>
      </w:r>
      <w:r>
        <w:t xml:space="preserve"> </w:t>
      </w:r>
      <w:r>
        <w:t xml:space="preserve">assay) and 2</w:t>
      </w:r>
      <w:r>
        <w:t xml:space="preserve"> </w:t>
      </w:r>
      <m:oMath>
        <m:r>
          <m:rPr>
            <m:sty m:val="p"/>
          </m:rPr>
          <m:t>μ</m:t>
        </m:r>
      </m:oMath>
      <w:r>
        <w:t xml:space="preserve">L of template DNA. The amplification</w:t>
      </w:r>
      <w:r>
        <w:t xml:space="preserve"> </w:t>
      </w:r>
      <w:r>
        <w:t xml:space="preserve">conditions were as follows: an initial denaturation step of 95</w:t>
      </w:r>
      <w:r>
        <w:t xml:space="preserve"> </w:t>
      </w:r>
      <m:oMath>
        <m:sSup>
          <m:e>
            <m:r>
              <m:rPr>
                <m:sty m:val="p"/>
              </m:rPr>
              <m:t>​</m:t>
            </m:r>
          </m:e>
          <m:sup>
            <m:r>
              <m:rPr>
                <m:sty m:val="p"/>
              </m:rPr>
              <m:t>∘</m:t>
            </m:r>
          </m:sup>
        </m:sSup>
        <m:r>
          <m:rPr>
            <m:sty m:val="p"/>
          </m:rPr>
          <m:t>C</m:t>
        </m:r>
      </m:oMath>
      <w:r>
        <w:t xml:space="preserve"> </w:t>
      </w:r>
      <w:r>
        <w:t xml:space="preserve">for 5 min, followed by 35 cycles of 95</w:t>
      </w:r>
      <w:r>
        <w:t xml:space="preserve"> </w:t>
      </w:r>
      <m:oMath>
        <m:sSup>
          <m:e>
            <m:r>
              <m:rPr>
                <m:sty m:val="p"/>
              </m:rPr>
              <m:t>​</m:t>
            </m:r>
          </m:e>
          <m:sup>
            <m:r>
              <m:rPr>
                <m:sty m:val="p"/>
              </m:rPr>
              <m:t>∘</m:t>
            </m:r>
          </m:sup>
        </m:sSup>
        <m:r>
          <m:rPr>
            <m:sty m:val="p"/>
          </m:rPr>
          <m:t>C</m:t>
        </m:r>
      </m:oMath>
      <w:r>
        <w:t xml:space="preserve"> </w:t>
      </w:r>
      <w:r>
        <w:t xml:space="preserve">for 30 s, 50</w:t>
      </w:r>
      <w:r>
        <w:t xml:space="preserve"> </w:t>
      </w:r>
      <m:oMath>
        <m:sSup>
          <m:e>
            <m:r>
              <m:rPr>
                <m:sty m:val="p"/>
              </m:rPr>
              <m:t>​</m:t>
            </m:r>
          </m:e>
          <m:sup>
            <m:r>
              <m:rPr>
                <m:sty m:val="p"/>
              </m:rPr>
              <m:t>∘</m:t>
            </m:r>
          </m:sup>
        </m:sSup>
        <m:r>
          <m:rPr>
            <m:sty m:val="p"/>
          </m:rPr>
          <m:t>C</m:t>
        </m:r>
      </m:oMath>
      <w:r>
        <w:t xml:space="preserve"> </w:t>
      </w:r>
      <w:r>
        <w:t xml:space="preserve">for 30 s, and 72</w:t>
      </w:r>
      <w:r>
        <w:t xml:space="preserve"> </w:t>
      </w:r>
      <m:oMath>
        <m:sSup>
          <m:e>
            <m:r>
              <m:rPr>
                <m:sty m:val="p"/>
              </m:rPr>
              <m:t>​</m:t>
            </m:r>
          </m:e>
          <m:sup>
            <m:r>
              <m:rPr>
                <m:sty m:val="p"/>
              </m:rPr>
              <m:t>∘</m:t>
            </m:r>
          </m:sup>
        </m:sSup>
        <m:r>
          <m:rPr>
            <m:sty m:val="p"/>
          </m:rPr>
          <m:t>C</m:t>
        </m:r>
      </m:oMath>
      <w:r>
        <w:t xml:space="preserve"> </w:t>
      </w:r>
      <w:r>
        <w:t xml:space="preserve">for 30 s, and a final extension step of 72</w:t>
      </w:r>
      <w:r>
        <w:t xml:space="preserve"> </w:t>
      </w:r>
      <m:oMath>
        <m:sSup>
          <m:e>
            <m:r>
              <m:rPr>
                <m:sty m:val="p"/>
              </m:rPr>
              <m:t>​</m:t>
            </m:r>
          </m:e>
          <m:sup>
            <m:r>
              <m:rPr>
                <m:sty m:val="p"/>
              </m:rPr>
              <m:t>∘</m:t>
            </m:r>
          </m:sup>
        </m:sSup>
        <m:r>
          <m:rPr>
            <m:sty m:val="p"/>
          </m:rPr>
          <m:t>C</m:t>
        </m:r>
      </m:oMath>
      <w:r>
        <w:t xml:space="preserve"> </w:t>
      </w:r>
      <w:r>
        <w:t xml:space="preserve">for 10 min. The PCR products were then used to run</w:t>
      </w:r>
      <w:r>
        <w:t xml:space="preserve"> </w:t>
      </w:r>
      <w:r>
        <w:t xml:space="preserve">gel electrophoresis.</w:t>
      </w:r>
    </w:p>
    <w:bookmarkEnd w:id="29"/>
    <w:bookmarkStart w:id="31" w:name="method:qpcr"/>
    <w:p>
      <w:pPr>
        <w:pStyle w:val="Heading2"/>
      </w:pPr>
      <w:r>
        <w:t xml:space="preserve">Standards for qPCR analysis and qPCR protocol</w:t>
      </w:r>
    </w:p>
    <w:p>
      <w:pPr>
        <w:pStyle w:val="BodyText"/>
      </w:pPr>
      <w:r>
        <w:t xml:space="preserve">The DNA extracted from two strains AWQC-ANA318 and FADC-0001 were used</w:t>
      </w:r>
      <w:r>
        <w:t xml:space="preserve"> </w:t>
      </w:r>
      <w:r>
        <w:t xml:space="preserve">as standards for both qPCR assays. The standard curves were determined</w:t>
      </w:r>
      <w:r>
        <w:t xml:space="preserve"> </w:t>
      </w:r>
      <w:r>
        <w:t xml:space="preserve">by correlation between target genes (copy number in one reaction) and</w:t>
      </w:r>
      <w:r>
        <w:t xml:space="preserve"> </w:t>
      </w:r>
      <w:r>
        <w:t xml:space="preserve">threshold cycle (</w:t>
      </w:r>
      <m:oMath>
        <m:sSub>
          <m:e>
            <m:r>
              <m:t>C</m:t>
            </m:r>
          </m:e>
          <m:sub>
            <m:r>
              <m:t>T</m:t>
            </m:r>
          </m:sub>
        </m:sSub>
      </m:oMath>
      <w:r>
        <w:t xml:space="preserve">) value in a ten-fold serial dilution of</w:t>
      </w:r>
      <w:r>
        <w:t xml:space="preserve"> </w:t>
      </w:r>
      <w:r>
        <w:rPr>
          <w:i/>
          <w:iCs/>
        </w:rPr>
        <w:t xml:space="preserve">Anabaena</w:t>
      </w:r>
      <w:r>
        <w:t xml:space="preserve"> </w:t>
      </w:r>
      <w:r>
        <w:t xml:space="preserve">DNA. The laboratory culture and field samples were</w:t>
      </w:r>
      <w:r>
        <w:t xml:space="preserve"> </w:t>
      </w:r>
      <w:r>
        <w:t xml:space="preserve">subsequently qualified based on their</w:t>
      </w:r>
      <w:r>
        <w:t xml:space="preserve"> </w:t>
      </w:r>
      <m:oMath>
        <m:sSub>
          <m:e>
            <m:r>
              <m:t>C</m:t>
            </m:r>
          </m:e>
          <m:sub>
            <m:r>
              <m:t>T</m:t>
            </m:r>
          </m:sub>
        </m:sSub>
      </m:oMath>
      <w:r>
        <w:t xml:space="preserve"> </w:t>
      </w:r>
      <w:r>
        <w:t xml:space="preserve">values.</w:t>
      </w:r>
      <w:r>
        <w:t xml:space="preserve"> </w:t>
      </w:r>
      <w:hyperlink w:anchor="eq-n">
        <w:r>
          <w:rPr>
            <w:rStyle w:val="Hyperlink"/>
          </w:rPr>
          <w:t xml:space="preserve">Eq. 1</w:t>
        </w:r>
      </w:hyperlink>
      <w:r>
        <w:t xml:space="preserve"> </w:t>
      </w:r>
      <w:r>
        <w:t xml:space="preserve">is</w:t>
      </w:r>
      <w:r>
        <w:t xml:space="preserve"> </w:t>
      </w:r>
      <w:r>
        <w:t xml:space="preserve">the calculation of</w:t>
      </w:r>
      <w:r>
        <w:t xml:space="preserve"> </w:t>
      </w:r>
      <w:r>
        <w:rPr>
          <w:i/>
          <w:iCs/>
        </w:rPr>
        <w:t xml:space="preserve">Anabaena</w:t>
      </w:r>
      <w:r>
        <w:t xml:space="preserve"> </w:t>
      </w:r>
      <w:r>
        <w:t xml:space="preserve">genome copy number (</w:t>
      </w:r>
      <m:oMath>
        <m:r>
          <m:rPr>
            <m:sty m:val="p"/>
            <m:scr m:val="script"/>
          </m:rPr>
          <m:t>N</m:t>
        </m:r>
      </m:oMath>
      <w:r>
        <w:t xml:space="preserve">) in one</w:t>
      </w:r>
      <w:r>
        <w:t xml:space="preserve"> </w:t>
      </w:r>
      <w:r>
        <w:t xml:space="preserve">qPCR reaction.</w:t>
      </w:r>
    </w:p>
    <w:p>
      <w:pPr>
        <w:pStyle w:val="BodyText"/>
      </w:pPr>
      <w:bookmarkStart w:id="30" w:name="eq-n"/>
      <m:oMathPara>
        <m:oMathParaPr>
          <m:jc m:val="center"/>
        </m:oMathParaPr>
        <m:oMath>
          <m:r>
            <m:rPr>
              <m:sty m:val="p"/>
              <m:scr m:val="script"/>
            </m:rPr>
            <m:t>N</m:t>
          </m:r>
          <m:r>
            <m:t> </m:t>
          </m:r>
          <m:d>
            <m:dPr>
              <m:begChr m:val="("/>
              <m:sepChr m:val=""/>
              <m:endChr m:val=")"/>
              <m:grow/>
            </m:dPr>
            <m:e>
              <m:r>
                <m:rPr>
                  <m:sty m:val="p"/>
                </m:rPr>
                <m:t>c</m:t>
              </m:r>
              <m:r>
                <m:rPr>
                  <m:sty m:val="p"/>
                </m:rPr>
                <m:t>o</m:t>
              </m:r>
              <m:r>
                <m:rPr>
                  <m:sty m:val="p"/>
                </m:rPr>
                <m:t>p</m:t>
              </m:r>
              <m:r>
                <m:rPr>
                  <m:sty m:val="p"/>
                </m:rPr>
                <m:t>y</m:t>
              </m:r>
            </m:e>
          </m:d>
          <m:r>
            <m:rPr>
              <m:sty m:val="p"/>
            </m:rPr>
            <m:t>=</m:t>
          </m:r>
          <m:f>
            <m:fPr>
              <m:type m:val="bar"/>
            </m:fPr>
            <m:num>
              <m:sSub>
                <m:e>
                  <m:r>
                    <m:t>N</m:t>
                  </m:r>
                </m:e>
                <m:sub>
                  <m:r>
                    <m:rPr>
                      <m:sty m:val="p"/>
                    </m:rPr>
                    <m:t>A</m:t>
                  </m:r>
                </m:sub>
              </m:sSub>
              <m:r>
                <m:t> </m:t>
              </m:r>
              <m:d>
                <m:dPr>
                  <m:begChr m:val="("/>
                  <m:sepChr m:val=""/>
                  <m:endChr m:val=")"/>
                  <m:grow/>
                </m:dPr>
                <m:e>
                  <m:r>
                    <m:rPr>
                      <m:sty m:val="p"/>
                    </m:rPr>
                    <m:t>c</m:t>
                  </m:r>
                  <m:r>
                    <m:rPr>
                      <m:sty m:val="p"/>
                    </m:rPr>
                    <m:t>o</m:t>
                  </m:r>
                  <m:r>
                    <m:rPr>
                      <m:sty m:val="p"/>
                    </m:rPr>
                    <m:t>p</m:t>
                  </m:r>
                  <m:r>
                    <m:rPr>
                      <m:sty m:val="p"/>
                    </m:rPr>
                    <m:t>y</m:t>
                  </m:r>
                  <m:r>
                    <m:rPr>
                      <m:sty m:val="p"/>
                    </m:rPr>
                    <m:t> </m:t>
                  </m:r>
                  <m:r>
                    <m:rPr>
                      <m:sty m:val="p"/>
                    </m:rPr>
                    <m:t>m</m:t>
                  </m:r>
                  <m:r>
                    <m:rPr>
                      <m:sty m:val="p"/>
                    </m:rPr>
                    <m:t>o</m:t>
                  </m:r>
                  <m:sSup>
                    <m:e>
                      <m:r>
                        <m:rPr>
                          <m:sty m:val="p"/>
                        </m:rPr>
                        <m:t>l</m:t>
                      </m:r>
                    </m:e>
                    <m:sup>
                      <m:r>
                        <m:rPr>
                          <m:sty m:val="p"/>
                        </m:rPr>
                        <m:t>−</m:t>
                      </m:r>
                      <m:r>
                        <m:rPr>
                          <m:sty m:val="p"/>
                        </m:rPr>
                        <m:t>1</m:t>
                      </m:r>
                    </m:sup>
                  </m:sSup>
                </m:e>
              </m:d>
              <m:r>
                <m:t> </m:t>
              </m:r>
              <m:sSub>
                <m:e>
                  <m:r>
                    <m:t>c</m:t>
                  </m:r>
                </m:e>
                <m:sub>
                  <m:r>
                    <m:t>D</m:t>
                  </m:r>
                  <m:r>
                    <m:t>N</m:t>
                  </m:r>
                  <m:r>
                    <m:t>A</m:t>
                  </m:r>
                </m:sub>
              </m:sSub>
              <m:r>
                <m:t> </m:t>
              </m:r>
              <m:d>
                <m:dPr>
                  <m:begChr m:val="("/>
                  <m:sepChr m:val=""/>
                  <m:endChr m:val=")"/>
                  <m:grow/>
                </m:dPr>
                <m:e>
                  <m:r>
                    <m:rPr>
                      <m:sty m:val="p"/>
                    </m:rPr>
                    <m:t>n</m:t>
                  </m:r>
                  <m:r>
                    <m:rPr>
                      <m:sty m:val="p"/>
                    </m:rPr>
                    <m:t>g</m:t>
                  </m:r>
                  <m:r>
                    <m:rPr>
                      <m:sty m:val="p"/>
                    </m:rPr>
                    <m:t> </m:t>
                  </m:r>
                  <m:r>
                    <m:rPr>
                      <m:sty m:val="p"/>
                    </m:rPr>
                    <m:t>μ</m:t>
                  </m:r>
                  <m:sSup>
                    <m:e>
                      <m:r>
                        <m:rPr>
                          <m:sty m:val="p"/>
                        </m:rPr>
                        <m:t>L</m:t>
                      </m:r>
                    </m:e>
                    <m:sup>
                      <m:r>
                        <m:rPr>
                          <m:sty m:val="p"/>
                        </m:rPr>
                        <m:t>−</m:t>
                      </m:r>
                      <m:r>
                        <m:rPr>
                          <m:sty m:val="p"/>
                        </m:rPr>
                        <m:t>1</m:t>
                      </m:r>
                    </m:sup>
                  </m:sSup>
                </m:e>
              </m:d>
              <m:r>
                <m:t> </m:t>
              </m:r>
              <m:sSub>
                <m:e>
                  <m:r>
                    <m:t>v</m:t>
                  </m:r>
                </m:e>
                <m:sub>
                  <m:r>
                    <m:t>D</m:t>
                  </m:r>
                  <m:r>
                    <m:t>N</m:t>
                  </m:r>
                  <m:r>
                    <m:t>A</m:t>
                  </m:r>
                </m:sub>
              </m:sSub>
              <m:d>
                <m:dPr>
                  <m:begChr m:val="("/>
                  <m:sepChr m:val=""/>
                  <m:endChr m:val=")"/>
                  <m:grow/>
                </m:dPr>
                <m:e>
                  <m:r>
                    <m:rPr>
                      <m:sty m:val="p"/>
                    </m:rPr>
                    <m:t>μ</m:t>
                  </m:r>
                  <m:r>
                    <m:rPr>
                      <m:sty m:val="p"/>
                    </m:rPr>
                    <m:t>L</m:t>
                  </m:r>
                </m:e>
              </m:d>
            </m:num>
            <m:den>
              <m:r>
                <m:rPr>
                  <m:sty m:val="p"/>
                  <m:scr m:val="script"/>
                </m:rPr>
                <m:t>L</m:t>
              </m:r>
              <m:r>
                <m:t> </m:t>
              </m:r>
              <m:d>
                <m:dPr>
                  <m:begChr m:val="("/>
                  <m:sepChr m:val=""/>
                  <m:endChr m:val=")"/>
                  <m:grow/>
                </m:dPr>
                <m:e>
                  <m:r>
                    <m:rPr>
                      <m:sty m:val="p"/>
                    </m:rPr>
                    <m:t>b</m:t>
                  </m:r>
                  <m:r>
                    <m:rPr>
                      <m:sty m:val="p"/>
                    </m:rPr>
                    <m:t>p</m:t>
                  </m:r>
                </m:e>
              </m:d>
              <m:r>
                <m:t> </m:t>
              </m:r>
              <m:sSub>
                <m:e>
                  <m:r>
                    <m:rPr>
                      <m:sty m:val="p"/>
                      <m:scr m:val="script"/>
                    </m:rPr>
                    <m:t>M</m:t>
                  </m:r>
                </m:e>
                <m:sub>
                  <m:r>
                    <m:t>D</m:t>
                  </m:r>
                  <m:r>
                    <m:t>N</m:t>
                  </m:r>
                  <m:r>
                    <m:t>A</m:t>
                  </m:r>
                </m:sub>
              </m:sSub>
              <m:r>
                <m:t> </m:t>
              </m:r>
              <m:d>
                <m:dPr>
                  <m:begChr m:val="("/>
                  <m:sepChr m:val=""/>
                  <m:endChr m:val=")"/>
                  <m:grow/>
                </m:dPr>
                <m:e>
                  <m:r>
                    <m:rPr>
                      <m:sty m:val="p"/>
                    </m:rPr>
                    <m:t>g</m:t>
                  </m:r>
                  <m:r>
                    <m:rPr>
                      <m:sty m:val="p"/>
                    </m:rPr>
                    <m:t> </m:t>
                  </m:r>
                  <m:r>
                    <m:rPr>
                      <m:sty m:val="p"/>
                    </m:rPr>
                    <m:t>m</m:t>
                  </m:r>
                  <m:r>
                    <m:rPr>
                      <m:sty m:val="p"/>
                    </m:rPr>
                    <m:t>o</m:t>
                  </m:r>
                  <m:sSup>
                    <m:e>
                      <m:r>
                        <m:rPr>
                          <m:sty m:val="p"/>
                        </m:rPr>
                        <m:t>l</m:t>
                      </m:r>
                    </m:e>
                    <m:sup>
                      <m:r>
                        <m:rPr>
                          <m:sty m:val="p"/>
                        </m:rPr>
                        <m:t>−</m:t>
                      </m:r>
                      <m:r>
                        <m:rPr>
                          <m:sty m:val="p"/>
                        </m:rPr>
                        <m:t>1</m:t>
                      </m:r>
                    </m:sup>
                  </m:sSup>
                  <m:r>
                    <m:rPr>
                      <m:sty m:val="p"/>
                    </m:rPr>
                    <m:t> </m:t>
                  </m:r>
                  <m:r>
                    <m:rPr>
                      <m:sty m:val="p"/>
                    </m:rPr>
                    <m:t>b</m:t>
                  </m:r>
                  <m:sSup>
                    <m:e>
                      <m:r>
                        <m:rPr>
                          <m:sty m:val="p"/>
                        </m:rPr>
                        <m:t>p</m:t>
                      </m:r>
                    </m:e>
                    <m:sup>
                      <m:r>
                        <m:rPr>
                          <m:sty m:val="p"/>
                        </m:rPr>
                        <m:t>−</m:t>
                      </m:r>
                      <m:r>
                        <m:rPr>
                          <m:sty m:val="p"/>
                        </m:rPr>
                        <m:t>1</m:t>
                      </m:r>
                    </m:sup>
                  </m:sSup>
                </m:e>
              </m:d>
            </m:den>
          </m:f>
          <m:r>
            <m:rPr>
              <m:sty m:val="p"/>
            </m:rPr>
            <m:t>×</m:t>
          </m:r>
          <m:sSup>
            <m:e>
              <m:r>
                <m:t>10</m:t>
              </m:r>
            </m:e>
            <m:sup>
              <m:r>
                <m:rPr>
                  <m:sty m:val="p"/>
                </m:rPr>
                <m:t>−</m:t>
              </m:r>
              <m:r>
                <m:t>9</m:t>
              </m:r>
            </m:sup>
          </m:sSup>
          <m:r>
            <m:t> </m:t>
          </m:r>
          <m:d>
            <m:dPr>
              <m:begChr m:val="("/>
              <m:sepChr m:val=""/>
              <m:endChr m:val=")"/>
              <m:grow/>
            </m:dPr>
            <m:e>
              <m:r>
                <m:rPr>
                  <m:sty m:val="p"/>
                </m:rPr>
                <m:t>g</m:t>
              </m:r>
              <m:r>
                <m:rPr>
                  <m:sty m:val="p"/>
                </m:rPr>
                <m:t> </m:t>
              </m:r>
              <m:r>
                <m:rPr>
                  <m:sty m:val="p"/>
                </m:rPr>
                <m:t>n</m:t>
              </m:r>
              <m:sSup>
                <m:e>
                  <m:r>
                    <m:rPr>
                      <m:sty m:val="p"/>
                    </m:rPr>
                    <m:t>g</m:t>
                  </m:r>
                </m:e>
                <m:sup>
                  <m:r>
                    <m:rPr>
                      <m:sty m:val="p"/>
                    </m:rPr>
                    <m:t>−</m:t>
                  </m:r>
                  <m:r>
                    <m:rPr>
                      <m:sty m:val="p"/>
                    </m:rPr>
                    <m:t>1</m:t>
                  </m:r>
                </m:sup>
              </m:sSup>
            </m:e>
          </m:d>
          <m:r>
            <m:t>  </m:t>
          </m:r>
          <m:d>
            <m:dPr>
              <m:begChr m:val="("/>
              <m:sepChr m:val=""/>
              <m:endChr m:val=")"/>
              <m:grow/>
            </m:dPr>
            <m:e>
              <m:r>
                <m:t>1</m:t>
              </m:r>
            </m:e>
          </m:d>
        </m:oMath>
      </m:oMathPara>
      <w:bookmarkEnd w:id="30"/>
    </w:p>
    <w:p>
      <w:pPr>
        <w:pStyle w:val="BodyText"/>
      </w:pPr>
      <w:r>
        <w:t xml:space="preserve">In this equation,</w:t>
      </w:r>
      <w:r>
        <w:t xml:space="preserve"> </w:t>
      </w:r>
      <m:oMath>
        <m:sSub>
          <m:e>
            <m:r>
              <m:t>N</m:t>
            </m:r>
          </m:e>
          <m:sub>
            <m:r>
              <m:rPr>
                <m:sty m:val="p"/>
              </m:rPr>
              <m:t>A</m:t>
            </m:r>
          </m:sub>
        </m:sSub>
      </m:oMath>
      <w:r>
        <w:t xml:space="preserve"> </w:t>
      </w:r>
      <w:r>
        <w:t xml:space="preserve">represents Avogadro constant,</w:t>
      </w:r>
      <w:r>
        <w:t xml:space="preserve"> </w:t>
      </w:r>
      <m:oMath>
        <m:sSub>
          <m:e>
            <m:r>
              <m:t>c</m:t>
            </m:r>
          </m:e>
          <m:sub>
            <m:r>
              <m:t>D</m:t>
            </m:r>
            <m:r>
              <m:t>N</m:t>
            </m:r>
            <m:r>
              <m:t>A</m:t>
            </m:r>
          </m:sub>
        </m:sSub>
      </m:oMath>
      <w:r>
        <w:t xml:space="preserve"> </w:t>
      </w:r>
      <w:r>
        <w:t xml:space="preserve">represents the DNA template concentration in ng</w:t>
      </w:r>
      <w:r>
        <w:t xml:space="preserve"> </w:t>
      </w:r>
      <m:oMath>
        <m:r>
          <m:rPr>
            <m:sty m:val="p"/>
          </m:rPr>
          <m:t>μ</m:t>
        </m:r>
        <m:sSup>
          <m:e>
            <m:r>
              <m:rPr>
                <m:sty m:val="p"/>
              </m:rPr>
              <m:t>L</m:t>
            </m:r>
          </m:e>
          <m:sup>
            <m:r>
              <m:rPr>
                <m:sty m:val="p"/>
              </m:rPr>
              <m:t>−</m:t>
            </m:r>
            <m:r>
              <m:rPr>
                <m:sty m:val="p"/>
              </m:rPr>
              <m:t>1</m:t>
            </m:r>
          </m:sup>
        </m:sSup>
      </m:oMath>
      <w:r>
        <w:t xml:space="preserve">,</w:t>
      </w:r>
      <w:r>
        <w:t xml:space="preserve"> </w:t>
      </w:r>
      <m:oMath>
        <m:sSub>
          <m:e>
            <m:r>
              <m:t>v</m:t>
            </m:r>
          </m:e>
          <m:sub>
            <m:r>
              <m:t>D</m:t>
            </m:r>
            <m:r>
              <m:t>N</m:t>
            </m:r>
            <m:r>
              <m:t>A</m:t>
            </m:r>
          </m:sub>
        </m:sSub>
      </m:oMath>
      <w:r>
        <w:t xml:space="preserve"> </w:t>
      </w:r>
      <w:r>
        <w:t xml:space="preserve">represents the DNA template volume in one qPCR reaction,</w:t>
      </w:r>
      <w:r>
        <w:t xml:space="preserve"> </w:t>
      </w:r>
      <m:oMath>
        <m:r>
          <m:rPr>
            <m:sty m:val="p"/>
            <m:scr m:val="script"/>
          </m:rPr>
          <m:t>L</m:t>
        </m:r>
      </m:oMath>
      <w:r>
        <w:t xml:space="preserve"> </w:t>
      </w:r>
      <w:r>
        <w:t xml:space="preserve">represents the</w:t>
      </w:r>
      <w:r>
        <w:t xml:space="preserve"> </w:t>
      </w:r>
      <w:r>
        <w:rPr>
          <w:i/>
          <w:iCs/>
        </w:rPr>
        <w:t xml:space="preserve">Anabaena</w:t>
      </w:r>
      <w:r>
        <w:t xml:space="preserve"> </w:t>
      </w:r>
      <w:r>
        <w:t xml:space="preserve">genome length in base pair (bp)</w:t>
      </w:r>
      <w:r>
        <w:t xml:space="preserve"> </w:t>
      </w:r>
      <w:r>
        <w:t xml:space="preserve">and</w:t>
      </w:r>
      <w:r>
        <w:t xml:space="preserve"> </w:t>
      </w:r>
      <m:oMath>
        <m:sSub>
          <m:e>
            <m:r>
              <m:rPr>
                <m:sty m:val="p"/>
                <m:scr m:val="script"/>
              </m:rPr>
              <m:t>M</m:t>
            </m:r>
          </m:e>
          <m:sub>
            <m:r>
              <m:t>D</m:t>
            </m:r>
            <m:r>
              <m:t>N</m:t>
            </m:r>
            <m:r>
              <m:t>A</m:t>
            </m:r>
          </m:sub>
        </m:sSub>
      </m:oMath>
      <w:r>
        <w:t xml:space="preserve"> </w:t>
      </w:r>
      <w:r>
        <w:t xml:space="preserve">represents the molecular mass of 1 bp dsDNA. In</w:t>
      </w:r>
      <w:r>
        <w:t xml:space="preserve"> </w:t>
      </w:r>
      <w:r>
        <w:t xml:space="preserve">this study, the calculations are based on a genome size of 4.5 Mb bp for</w:t>
      </w:r>
      <w:r>
        <w:t xml:space="preserve"> </w:t>
      </w:r>
      <w:r>
        <w:rPr>
          <w:i/>
          <w:iCs/>
        </w:rPr>
        <w:t xml:space="preserve">Anabaena</w:t>
      </w:r>
      <w:r>
        <w:t xml:space="preserve"> </w:t>
      </w:r>
      <w:r>
        <w:t xml:space="preserve">sp. </w:t>
      </w:r>
      <w:r>
        <w:t xml:space="preserve">(Moustafa et al., 2009)</w:t>
      </w:r>
      <w:r>
        <w:t xml:space="preserve">, and single copy</w:t>
      </w:r>
      <w:r>
        <w:t xml:space="preserve"> </w:t>
      </w:r>
      <m:oMath>
        <m:r>
          <m:t>A</m:t>
        </m:r>
        <m:r>
          <m:t>R</m:t>
        </m:r>
        <m:r>
          <m:t>G</m:t>
        </m:r>
      </m:oMath>
      <w:r>
        <w:t xml:space="preserve"> </w:t>
      </w:r>
      <w:r>
        <w:t xml:space="preserve">and</w:t>
      </w:r>
      <w:r>
        <w:t xml:space="preserve"> </w:t>
      </w:r>
      <m:oMath>
        <m:r>
          <m:t>G</m:t>
        </m:r>
        <m:r>
          <m:t>S</m:t>
        </m:r>
        <m:r>
          <m:t>G</m:t>
        </m:r>
      </m:oMath>
      <w:r>
        <w:t xml:space="preserve"> </w:t>
      </w:r>
      <w:r>
        <w:t xml:space="preserve">present in one</w:t>
      </w:r>
      <w:r>
        <w:t xml:space="preserve"> </w:t>
      </w:r>
      <w:r>
        <w:rPr>
          <w:i/>
          <w:iCs/>
        </w:rPr>
        <w:t xml:space="preserve">Anabaena</w:t>
      </w:r>
      <w:r>
        <w:t xml:space="preserve"> </w:t>
      </w:r>
      <w:r>
        <w:t xml:space="preserve">genome</w:t>
      </w:r>
      <w:r>
        <w:t xml:space="preserve"> </w:t>
      </w:r>
      <w:r>
        <w:t xml:space="preserve">(Bergsland and Haselkorn, 1991; Xie et al., 1989)</w:t>
      </w:r>
      <w:r>
        <w:t xml:space="preserve">.</w:t>
      </w:r>
    </w:p>
    <w:p>
      <w:pPr>
        <w:pStyle w:val="BodyText"/>
      </w:pPr>
      <w:r>
        <w:t xml:space="preserve">The qPCR reactions were performed on four replicates using a Rotor-Gene</w:t>
      </w:r>
      <w:r>
        <w:t xml:space="preserve"> </w:t>
      </w:r>
      <w:r>
        <w:t xml:space="preserve">Q instrument (Qiagen, Venlo, Netherlands). Each qPCR reaction was</w:t>
      </w:r>
      <w:r>
        <w:t xml:space="preserve"> </w:t>
      </w:r>
      <w:r>
        <w:t xml:space="preserve">performed in 25</w:t>
      </w:r>
      <w:r>
        <w:t xml:space="preserve"> </w:t>
      </w:r>
      <m:oMath>
        <m:r>
          <m:rPr>
            <m:sty m:val="p"/>
          </m:rPr>
          <m:t>μ</m:t>
        </m:r>
      </m:oMath>
      <w:r>
        <w:t xml:space="preserve">L which consisted of 1.5 mM MgCl</w:t>
      </w:r>
      <m:oMath>
        <m:sSub>
          <m:e>
            <m:r>
              <m:t>​</m:t>
            </m:r>
          </m:e>
          <m:sub>
            <m:r>
              <m:t>2</m:t>
            </m:r>
          </m:sub>
        </m:sSub>
      </m:oMath>
      <w:r>
        <w:t xml:space="preserve"> </w:t>
      </w:r>
      <w:r>
        <w:t xml:space="preserve">(Invitrogen, USA), 1</w:t>
      </w:r>
      <m:oMath>
        <m:r>
          <m:rPr>
            <m:sty m:val="p"/>
          </m:rPr>
          <m:t>×</m:t>
        </m:r>
      </m:oMath>
      <w:r>
        <w:t xml:space="preserve"> </w:t>
      </w:r>
      <w:r>
        <w:t xml:space="preserve">PCR buffer (Invitrogen, USA), 0.2 mM dNTPs</w:t>
      </w:r>
      <w:r>
        <w:t xml:space="preserve"> </w:t>
      </w:r>
      <w:r>
        <w:t xml:space="preserve">(Invitrogen, USA), 0.2</w:t>
      </w:r>
      <w:r>
        <w:t xml:space="preserve"> </w:t>
      </w:r>
      <m:oMath>
        <m:r>
          <m:t>μ</m:t>
        </m:r>
      </m:oMath>
      <w:r>
        <w:t xml:space="preserve">M of each primer (AN03/06 for</w:t>
      </w:r>
      <w:r>
        <w:t xml:space="preserve"> </w:t>
      </w:r>
      <w:r>
        <w:rPr>
          <w:i/>
          <w:iCs/>
        </w:rPr>
        <w:t xml:space="preserve">ARG</w:t>
      </w:r>
      <w:r>
        <w:t xml:space="preserve"> </w:t>
      </w:r>
      <w:r>
        <w:t xml:space="preserve">qPCR,</w:t>
      </w:r>
      <w:r>
        <w:t xml:space="preserve"> </w:t>
      </w:r>
      <w:r>
        <w:t xml:space="preserve">173AF/AR for</w:t>
      </w:r>
      <w:r>
        <w:t xml:space="preserve"> </w:t>
      </w:r>
      <w:r>
        <w:rPr>
          <w:i/>
          <w:iCs/>
        </w:rPr>
        <w:t xml:space="preserve">GSG</w:t>
      </w:r>
      <w:r>
        <w:t xml:space="preserve"> </w:t>
      </w:r>
      <w:r>
        <w:t xml:space="preserve">qPCR), 1 U of Platinum Taq DNA polymerase</w:t>
      </w:r>
      <w:r>
        <w:t xml:space="preserve"> </w:t>
      </w:r>
      <w:r>
        <w:t xml:space="preserve">(Invitrogen, USA), 2</w:t>
      </w:r>
      <w:r>
        <w:t xml:space="preserve"> </w:t>
      </w:r>
      <m:oMath>
        <m:r>
          <m:rPr>
            <m:sty m:val="p"/>
          </m:rPr>
          <m:t>μ</m:t>
        </m:r>
      </m:oMath>
      <w:r>
        <w:t xml:space="preserve">L of template DNA, and 2.5</w:t>
      </w:r>
      <w:r>
        <w:t xml:space="preserve"> </w:t>
      </w:r>
      <m:oMath>
        <m:r>
          <m:rPr>
            <m:sty m:val="p"/>
          </m:rPr>
          <m:t>μ</m:t>
        </m:r>
      </m:oMath>
      <w:r>
        <w:t xml:space="preserve">M SYTO9 (Invitrogen, USA). The amplification conditions</w:t>
      </w:r>
      <w:r>
        <w:t xml:space="preserve"> </w:t>
      </w:r>
      <w:r>
        <w:t xml:space="preserve">were as follows: an initial denaturation step of 95</w:t>
      </w:r>
      <w:r>
        <w:t xml:space="preserve"> </w:t>
      </w:r>
      <m:oMath>
        <m:sSup>
          <m:e>
            <m:r>
              <m:rPr>
                <m:sty m:val="p"/>
              </m:rPr>
              <m:t>​</m:t>
            </m:r>
          </m:e>
          <m:sup>
            <m:r>
              <m:rPr>
                <m:sty m:val="p"/>
              </m:rPr>
              <m:t>∘</m:t>
            </m:r>
          </m:sup>
        </m:sSup>
        <m:r>
          <m:rPr>
            <m:sty m:val="p"/>
          </m:rPr>
          <m:t>C</m:t>
        </m:r>
      </m:oMath>
      <w:r>
        <w:t xml:space="preserve"> </w:t>
      </w:r>
      <w:r>
        <w:t xml:space="preserve">for 5 min, followed by 45 cycles of 95</w:t>
      </w:r>
      <w:r>
        <w:t xml:space="preserve"> </w:t>
      </w:r>
      <m:oMath>
        <m:sSup>
          <m:e>
            <m:r>
              <m:rPr>
                <m:sty m:val="p"/>
              </m:rPr>
              <m:t>​</m:t>
            </m:r>
          </m:e>
          <m:sup>
            <m:r>
              <m:rPr>
                <m:sty m:val="p"/>
              </m:rPr>
              <m:t>∘</m:t>
            </m:r>
          </m:sup>
        </m:sSup>
        <m:r>
          <m:rPr>
            <m:sty m:val="p"/>
          </m:rPr>
          <m:t>C</m:t>
        </m:r>
      </m:oMath>
      <w:r>
        <w:t xml:space="preserve"> </w:t>
      </w:r>
      <w:r>
        <w:t xml:space="preserve">for 30 s, 52</w:t>
      </w:r>
      <w:r>
        <w:t xml:space="preserve"> </w:t>
      </w:r>
      <m:oMath>
        <m:sSup>
          <m:e>
            <m:r>
              <m:rPr>
                <m:sty m:val="p"/>
              </m:rPr>
              <m:t>​</m:t>
            </m:r>
          </m:e>
          <m:sup>
            <m:r>
              <m:rPr>
                <m:sty m:val="p"/>
              </m:rPr>
              <m:t>∘</m:t>
            </m:r>
          </m:sup>
        </m:sSup>
        <m:r>
          <m:rPr>
            <m:sty m:val="p"/>
          </m:rPr>
          <m:t>C</m:t>
        </m:r>
      </m:oMath>
      <w:r>
        <w:t xml:space="preserve"> </w:t>
      </w:r>
      <w:r>
        <w:t xml:space="preserve">for 30 s, and 72</w:t>
      </w:r>
      <w:r>
        <w:t xml:space="preserve"> </w:t>
      </w:r>
      <m:oMath>
        <m:sSup>
          <m:e>
            <m:r>
              <m:rPr>
                <m:sty m:val="p"/>
              </m:rPr>
              <m:t>​</m:t>
            </m:r>
          </m:e>
          <m:sup>
            <m:r>
              <m:rPr>
                <m:sty m:val="p"/>
              </m:rPr>
              <m:t>∘</m:t>
            </m:r>
          </m:sup>
        </m:sSup>
        <m:r>
          <m:rPr>
            <m:sty m:val="p"/>
          </m:rPr>
          <m:t>C</m:t>
        </m:r>
      </m:oMath>
      <w:r>
        <w:t xml:space="preserve"> </w:t>
      </w:r>
      <w:r>
        <w:t xml:space="preserve">for 30 s, and a</w:t>
      </w:r>
      <w:r>
        <w:t xml:space="preserve"> </w:t>
      </w:r>
      <w:r>
        <w:t xml:space="preserve">final extension step of DNA melting analysis from 75</w:t>
      </w:r>
      <w:r>
        <w:t xml:space="preserve"> </w:t>
      </w:r>
      <m:oMath>
        <m:sSup>
          <m:e>
            <m:r>
              <m:rPr>
                <m:sty m:val="p"/>
              </m:rPr>
              <m:t>​</m:t>
            </m:r>
          </m:e>
          <m:sup>
            <m:r>
              <m:rPr>
                <m:sty m:val="p"/>
              </m:rPr>
              <m:t>∘</m:t>
            </m:r>
          </m:sup>
        </m:sSup>
        <m:r>
          <m:rPr>
            <m:sty m:val="p"/>
          </m:rPr>
          <m:t>C</m:t>
        </m:r>
      </m:oMath>
      <w:r>
        <w:t xml:space="preserve"> </w:t>
      </w:r>
      <w:r>
        <w:t xml:space="preserve">to 95</w:t>
      </w:r>
      <w:r>
        <w:t xml:space="preserve"> </w:t>
      </w:r>
      <m:oMath>
        <m:sSup>
          <m:e>
            <m:r>
              <m:rPr>
                <m:sty m:val="p"/>
              </m:rPr>
              <m:t>​</m:t>
            </m:r>
          </m:e>
          <m:sup>
            <m:r>
              <m:rPr>
                <m:sty m:val="p"/>
              </m:rPr>
              <m:t>∘</m:t>
            </m:r>
          </m:sup>
        </m:sSup>
        <m:r>
          <m:rPr>
            <m:sty m:val="p"/>
          </m:rPr>
          <m:t>C</m:t>
        </m:r>
      </m:oMath>
      <w:r>
        <w:t xml:space="preserve">, with data being acquired every degree with a</w:t>
      </w:r>
      <w:r>
        <w:t xml:space="preserve"> </w:t>
      </w:r>
      <w:r>
        <w:t xml:space="preserve">10 s hold at each step. All data were acquired on the</w:t>
      </w:r>
      <w:r>
        <w:t xml:space="preserve"> </w:t>
      </w:r>
      <w:r>
        <w:t xml:space="preserve">“FAM3”</w:t>
      </w:r>
      <w:r>
        <w:t xml:space="preserve"> </w:t>
      </w:r>
      <w:r>
        <w:t xml:space="preserve">channel,</w:t>
      </w:r>
      <w:r>
        <w:t xml:space="preserve"> </w:t>
      </w:r>
      <w:r>
        <w:t xml:space="preserve">with excitation at 470 nm and emission at 510 nm.</w:t>
      </w:r>
    </w:p>
    <w:bookmarkEnd w:id="31"/>
    <w:bookmarkStart w:id="32" w:name="method:stat"/>
    <w:p>
      <w:pPr>
        <w:pStyle w:val="Heading2"/>
      </w:pPr>
      <w:r>
        <w:t xml:space="preserve">Statistics</w:t>
      </w:r>
    </w:p>
    <w:p>
      <w:pPr>
        <w:pStyle w:val="BodyText"/>
      </w:pPr>
      <w:r>
        <w:t xml:space="preserve">The log-log regression, t-test, ANOVA and the figures in this study were</w:t>
      </w:r>
      <w:r>
        <w:t xml:space="preserve"> </w:t>
      </w:r>
      <w:r>
        <w:t xml:space="preserve">performed using the R 2.13.1 system for statistical analysis</w:t>
      </w:r>
      <w:r>
        <w:t xml:space="preserve"> </w:t>
      </w:r>
      <w:r>
        <w:t xml:space="preserve">(R Development Core Team, 2011)</w:t>
      </w:r>
      <w:r>
        <w:t xml:space="preserve">.</w:t>
      </w:r>
    </w:p>
    <w:bookmarkEnd w:id="32"/>
    <w:bookmarkEnd w:id="33"/>
    <w:bookmarkStart w:id="69" w:name="resdiss"/>
    <w:p>
      <w:pPr>
        <w:pStyle w:val="Heading1"/>
      </w:pPr>
      <w:r>
        <w:t xml:space="preserve">Results and Discussion</w:t>
      </w:r>
    </w:p>
    <w:bookmarkStart w:id="35" w:name="resdiss:applicability"/>
    <w:p>
      <w:pPr>
        <w:pStyle w:val="Heading2"/>
      </w:pPr>
      <w:r>
        <w:t xml:space="preserve">Applicability of the designed primers</w:t>
      </w:r>
    </w:p>
    <w:p>
      <w:pPr>
        <w:pStyle w:val="BodyText"/>
      </w:pPr>
      <w:r>
        <w:t xml:space="preserve">In order to evaluate the specificity of the AN03/06 primers, genomic DNA from 30</w:t>
      </w:r>
      <w:r>
        <w:t xml:space="preserve"> </w:t>
      </w:r>
      <w:r>
        <w:rPr>
          <w:i/>
          <w:iCs/>
        </w:rPr>
        <w:t xml:space="preserve">Anabaena</w:t>
      </w:r>
      <w:r>
        <w:t xml:space="preserve"> </w:t>
      </w:r>
      <w:r>
        <w:t xml:space="preserve">strains and 17 other strains was firstly amplified by conventional PCR. Gel electrophoresis was performed for all the amplification products to verify the length of the amplicons. Five</w:t>
      </w:r>
      <w:r>
        <w:t xml:space="preserve"> </w:t>
      </w:r>
      <w:r>
        <w:rPr>
          <w:i/>
          <w:iCs/>
        </w:rPr>
        <w:t xml:space="preserve">Anabaena</w:t>
      </w:r>
      <w:r>
        <w:t xml:space="preserve"> </w:t>
      </w:r>
      <w:r>
        <w:t xml:space="preserve">strains (FACHB-190, FACHB-319, FACHB-1199, AWQC-ANA283, AWQC-ANA357) belonging to</w:t>
      </w:r>
      <w:r>
        <w:t xml:space="preserve"> </w:t>
      </w:r>
      <w:r>
        <w:rPr>
          <w:i/>
          <w:iCs/>
        </w:rPr>
        <w:t xml:space="preserve">A. azollae</w:t>
      </w:r>
      <w:r>
        <w:t xml:space="preserve">,</w:t>
      </w:r>
      <w:r>
        <w:t xml:space="preserve"> </w:t>
      </w:r>
      <w:r>
        <w:rPr>
          <w:i/>
          <w:iCs/>
        </w:rPr>
        <w:t xml:space="preserve">A. variabilis</w:t>
      </w:r>
      <w:r>
        <w:t xml:space="preserve">,</w:t>
      </w:r>
      <w:r>
        <w:t xml:space="preserve"> </w:t>
      </w:r>
      <w:r>
        <w:rPr>
          <w:i/>
          <w:iCs/>
        </w:rPr>
        <w:t xml:space="preserve">A. eucompacta</w:t>
      </w:r>
      <w:r>
        <w:t xml:space="preserve"> </w:t>
      </w:r>
      <w:r>
        <w:t xml:space="preserve">and</w:t>
      </w:r>
      <w:r>
        <w:t xml:space="preserve"> </w:t>
      </w:r>
      <w:r>
        <w:rPr>
          <w:i/>
          <w:iCs/>
        </w:rPr>
        <w:t xml:space="preserve">A. bergii</w:t>
      </w:r>
      <w:r>
        <w:t xml:space="preserve"> </w:t>
      </w:r>
      <w:r>
        <w:t xml:space="preserve">failed to give positive amplifications, while all the other</w:t>
      </w:r>
      <w:r>
        <w:t xml:space="preserve"> </w:t>
      </w:r>
      <w:r>
        <w:rPr>
          <w:i/>
          <w:iCs/>
        </w:rPr>
        <w:t xml:space="preserve">Anabaena</w:t>
      </w:r>
      <w:r>
        <w:t xml:space="preserve"> </w:t>
      </w:r>
      <w:r>
        <w:t xml:space="preserve">strains showed positive results with a single band at the right size around 200 bp (only the gel electrophoresis results of FACHB-collections and FADC-collections are shown in Figure A.2), although the bands of four strains (FACHB-362</w:t>
      </w:r>
      <w:r>
        <w:t xml:space="preserve"> </w:t>
      </w:r>
      <w:r>
        <w:rPr>
          <w:i/>
          <w:iCs/>
        </w:rPr>
        <w:t xml:space="preserve">A. catenula</w:t>
      </w:r>
      <w:r>
        <w:t xml:space="preserve">, FACHB-380</w:t>
      </w:r>
      <w:r>
        <w:t xml:space="preserve"> </w:t>
      </w:r>
      <w:r>
        <w:rPr>
          <w:i/>
          <w:iCs/>
        </w:rPr>
        <w:t xml:space="preserve">A. inaequalis</w:t>
      </w:r>
      <w:r>
        <w:t xml:space="preserve">, FACHB-1194</w:t>
      </w:r>
      <w:r>
        <w:t xml:space="preserve"> </w:t>
      </w:r>
      <w:r>
        <w:rPr>
          <w:i/>
          <w:iCs/>
        </w:rPr>
        <w:t xml:space="preserve">A. eucompacta</w:t>
      </w:r>
      <w:r>
        <w:t xml:space="preserve"> </w:t>
      </w:r>
      <w:r>
        <w:t xml:space="preserve">and FACHB-1219</w:t>
      </w:r>
      <w:r>
        <w:t xml:space="preserve"> </w:t>
      </w:r>
      <w:r>
        <w:rPr>
          <w:i/>
          <w:iCs/>
        </w:rPr>
        <w:t xml:space="preserve">A.</w:t>
      </w:r>
      <w:r>
        <w:t xml:space="preserve"> </w:t>
      </w:r>
      <w:r>
        <w:t xml:space="preserve">sp.) were relatively weak on gel. On the other hand, no amplification product was observed for</w:t>
      </w:r>
      <w:r>
        <w:t xml:space="preserve"> </w:t>
      </w:r>
      <w:r>
        <w:rPr>
          <w:i/>
          <w:iCs/>
        </w:rPr>
        <w:t xml:space="preserve">Microcystis</w:t>
      </w:r>
      <w:r>
        <w:t xml:space="preserve"> </w:t>
      </w:r>
      <w:r>
        <w:t xml:space="preserve">strains and</w:t>
      </w:r>
      <w:r>
        <w:t xml:space="preserve"> </w:t>
      </w:r>
      <w:r>
        <w:rPr>
          <w:i/>
          <w:iCs/>
        </w:rPr>
        <w:t xml:space="preserve">Cylindrospermopsis</w:t>
      </w:r>
      <w:r>
        <w:t xml:space="preserve"> </w:t>
      </w:r>
      <w:r>
        <w:t xml:space="preserve">strains (</w:t>
      </w:r>
      <w:hyperlink w:anchor="tbl-anaprimer">
        <w:r>
          <w:rPr>
            <w:rStyle w:val="Hyperlink"/>
          </w:rPr>
          <w:t xml:space="preserve">Table 1</w:t>
        </w:r>
      </w:hyperlink>
      <w:r>
        <w:t xml:space="preserve">). The results imply that the</w:t>
      </w:r>
      <w:r>
        <w:t xml:space="preserve"> </w:t>
      </w:r>
      <w:r>
        <w:rPr>
          <w:i/>
          <w:iCs/>
        </w:rPr>
        <w:t xml:space="preserve">ARG</w:t>
      </w:r>
      <w:r>
        <w:t xml:space="preserve"> </w:t>
      </w:r>
      <w:r>
        <w:t xml:space="preserve">primers are capable of amplifying most</w:t>
      </w:r>
      <w:r>
        <w:t xml:space="preserve"> </w:t>
      </w:r>
      <w:r>
        <w:rPr>
          <w:i/>
          <w:iCs/>
        </w:rPr>
        <w:t xml:space="preserve">Anabaena</w:t>
      </w:r>
      <w:r>
        <w:t xml:space="preserve"> </w:t>
      </w:r>
      <w:r>
        <w:t xml:space="preserve">species. It should be noted that, the</w:t>
      </w:r>
      <w:r>
        <w:t xml:space="preserve"> </w:t>
      </w:r>
      <m:oMath>
        <m:r>
          <m:t>r</m:t>
        </m:r>
        <m:r>
          <m:t>p</m:t>
        </m:r>
        <m:r>
          <m:t>o</m:t>
        </m:r>
        <m:sSub>
          <m:e>
            <m:r>
              <m:t>C</m:t>
            </m:r>
          </m:e>
          <m:sub>
            <m:r>
              <m:t>1</m:t>
            </m:r>
          </m:sub>
        </m:sSub>
      </m:oMath>
      <w:r>
        <w:t xml:space="preserve"> </w:t>
      </w:r>
      <w:r>
        <w:t xml:space="preserve">gene of three frequently reported bloom-forming species of</w:t>
      </w:r>
      <w:r>
        <w:t xml:space="preserve"> </w:t>
      </w:r>
      <w:r>
        <w:rPr>
          <w:i/>
          <w:iCs/>
        </w:rPr>
        <w:t xml:space="preserve">A. circinalis</w:t>
      </w:r>
      <w:r>
        <w:t xml:space="preserve"> </w:t>
      </w:r>
      <w:r>
        <w:t xml:space="preserve">(strain AWQC-ANA318),</w:t>
      </w:r>
      <w:r>
        <w:t xml:space="preserve"> </w:t>
      </w:r>
      <w:r>
        <w:rPr>
          <w:i/>
          <w:iCs/>
        </w:rPr>
        <w:t xml:space="preserve">A. spiroides</w:t>
      </w:r>
      <w:r>
        <w:t xml:space="preserve"> </w:t>
      </w:r>
      <w:r>
        <w:t xml:space="preserve">(strain FADC-0001) and</w:t>
      </w:r>
      <w:r>
        <w:t xml:space="preserve"> </w:t>
      </w:r>
      <w:r>
        <w:rPr>
          <w:i/>
          <w:iCs/>
        </w:rPr>
        <w:t xml:space="preserve">A. flos-aquae</w:t>
      </w:r>
      <w:r>
        <w:t xml:space="preserve"> </w:t>
      </w:r>
      <w:r>
        <w:t xml:space="preserve">could be well amplified by the</w:t>
      </w:r>
      <w:r>
        <w:t xml:space="preserve"> </w:t>
      </w:r>
      <w:r>
        <w:rPr>
          <w:i/>
          <w:iCs/>
        </w:rPr>
        <w:t xml:space="preserve">ARG</w:t>
      </w:r>
      <w:r>
        <w:t xml:space="preserve"> </w:t>
      </w:r>
      <w:r>
        <w:t xml:space="preserve">primers.</w:t>
      </w:r>
    </w:p>
    <w:p>
      <w:pPr>
        <w:pStyle w:val="BodyText"/>
      </w:pPr>
      <w:r>
        <w:t xml:space="preserve">As shown in</w:t>
      </w:r>
      <w:r>
        <w:t xml:space="preserve"> </w:t>
      </w:r>
      <w:hyperlink w:anchor="tbl-geosprimer">
        <w:r>
          <w:rPr>
            <w:rStyle w:val="Hyperlink"/>
          </w:rPr>
          <w:t xml:space="preserve">Table 2</w:t>
        </w:r>
      </w:hyperlink>
      <w:r>
        <w:t xml:space="preserve">, six of 11</w:t>
      </w:r>
      <w:r>
        <w:t xml:space="preserve"> </w:t>
      </w:r>
      <w:r>
        <w:rPr>
          <w:i/>
          <w:iCs/>
        </w:rPr>
        <w:t xml:space="preserve">Anabaena</w:t>
      </w:r>
      <w:r>
        <w:t xml:space="preserve"> </w:t>
      </w:r>
      <w:r>
        <w:t xml:space="preserve">strains possessing geosmin producing potentials (1.97-8270 ng L</w:t>
      </w:r>
      <m:oMath>
        <m:sSup>
          <m:e>
            <m:r>
              <m:t>​</m:t>
            </m:r>
          </m:e>
          <m:sup>
            <m:r>
              <m:rPr>
                <m:sty m:val="p"/>
              </m:rPr>
              <m:t>−</m:t>
            </m:r>
            <m:r>
              <m:t>1</m:t>
            </m:r>
          </m:sup>
        </m:sSup>
      </m:oMath>
      <w:r>
        <w:t xml:space="preserve">) exhibited positive PCR results on gel electrophoresis, while the other 5 strains showing no geosmin producing potential (less than 1.0 ng L</w:t>
      </w:r>
      <m:oMath>
        <m:sSup>
          <m:e>
            <m:r>
              <m:t>​</m:t>
            </m:r>
          </m:e>
          <m:sup>
            <m:r>
              <m:rPr>
                <m:sty m:val="p"/>
              </m:rPr>
              <m:t>−</m:t>
            </m:r>
            <m:r>
              <m:t>1</m:t>
            </m:r>
          </m:sup>
        </m:sSup>
      </m:oMath>
      <w:r>
        <w:t xml:space="preserve">) exhibited negative results (only the results of FACHB-collections and FADC-0001 are shown in Figure A.3). In addition, the melting curve analysis results exhibited distinct different in the melting temperatures (T</w:t>
      </w:r>
      <m:oMath>
        <m:sSub>
          <m:e>
            <m:r>
              <m:t>​</m:t>
            </m:r>
          </m:e>
          <m:sub>
            <m:r>
              <m:rPr>
                <m:nor/>
                <m:sty m:val="p"/>
              </m:rPr>
              <m:t>m</m:t>
            </m:r>
          </m:sub>
        </m:sSub>
      </m:oMath>
      <w:r>
        <w:t xml:space="preserve">) between the amplicon of</w:t>
      </w:r>
      <w:r>
        <w:t xml:space="preserve"> </w:t>
      </w:r>
      <w:r>
        <w:rPr>
          <w:i/>
          <w:iCs/>
        </w:rPr>
        <w:t xml:space="preserve">Nostoc</w:t>
      </w:r>
      <w:r>
        <w:t xml:space="preserve"> </w:t>
      </w:r>
      <w:r>
        <w:t xml:space="preserve">sp. (86</w:t>
      </w:r>
      <w:r>
        <w:t xml:space="preserve"> </w:t>
      </w:r>
      <m:oMath>
        <m:sSup>
          <m:e>
            <m:r>
              <m:t>​</m:t>
            </m:r>
          </m:e>
          <m:sup>
            <m:r>
              <m:rPr>
                <m:sty m:val="p"/>
              </m:rPr>
              <m:t>∘</m:t>
            </m:r>
          </m:sup>
        </m:sSup>
      </m:oMath>
      <w:r>
        <w:t xml:space="preserve">C) and those of the four AWQC</w:t>
      </w:r>
      <w:r>
        <w:t xml:space="preserve"> </w:t>
      </w:r>
      <w:r>
        <w:rPr>
          <w:i/>
          <w:iCs/>
        </w:rPr>
        <w:t xml:space="preserve">Anabaena</w:t>
      </w:r>
      <w:r>
        <w:t xml:space="preserve"> </w:t>
      </w:r>
      <w:r>
        <w:t xml:space="preserve">strains (83</w:t>
      </w:r>
      <w:r>
        <w:t xml:space="preserve"> </w:t>
      </w:r>
      <m:oMath>
        <m:sSup>
          <m:e>
            <m:r>
              <m:t>​</m:t>
            </m:r>
          </m:e>
          <m:sup>
            <m:r>
              <m:rPr>
                <m:sty m:val="p"/>
              </m:rPr>
              <m:t>∘</m:t>
            </m:r>
          </m:sup>
        </m:sSup>
      </m:oMath>
      <w:r>
        <w:t xml:space="preserve">C), showing that the melting analysis may also be used for differentiating the</w:t>
      </w:r>
      <w:r>
        <w:t xml:space="preserve"> </w:t>
      </w:r>
      <w:r>
        <w:rPr>
          <w:i/>
          <w:iCs/>
        </w:rPr>
        <w:t xml:space="preserve">Anabaena</w:t>
      </w:r>
      <w:r>
        <w:t xml:space="preserve"> </w:t>
      </w:r>
      <w:r>
        <w:t xml:space="preserve">species between each other. Overall, the</w:t>
      </w:r>
      <w:r>
        <w:t xml:space="preserve"> </w:t>
      </w:r>
      <w:r>
        <w:rPr>
          <w:i/>
          <w:iCs/>
        </w:rPr>
        <w:t xml:space="preserve">GSG</w:t>
      </w:r>
      <w:r>
        <w:t xml:space="preserve"> </w:t>
      </w:r>
      <w:r>
        <w:t xml:space="preserve">primers are capable of amplifying the</w:t>
      </w:r>
      <w:r>
        <w:t xml:space="preserve"> </w:t>
      </w:r>
      <w:r>
        <w:rPr>
          <w:i/>
          <w:iCs/>
        </w:rPr>
        <w:t xml:space="preserve">geosmin synthesis</w:t>
      </w:r>
      <w:r>
        <w:t xml:space="preserve"> </w:t>
      </w:r>
      <w:r>
        <w:t xml:space="preserve">genes of the</w:t>
      </w:r>
      <w:r>
        <w:t xml:space="preserve"> </w:t>
      </w:r>
      <w:r>
        <w:rPr>
          <w:i/>
          <w:iCs/>
        </w:rPr>
        <w:t xml:space="preserve">Anabaena</w:t>
      </w:r>
      <w:r>
        <w:t xml:space="preserve"> </w:t>
      </w:r>
      <w:r>
        <w:t xml:space="preserve">species by coupling with melting curve analysis, and that could be used as a potential tool for geosmin detection in natural water bodies.</w:t>
      </w:r>
    </w:p>
    <w:p>
      <w:pPr>
        <w:pStyle w:val="BodyText"/>
      </w:pPr>
      <w:r>
        <w:t xml:space="preserve">In 2003 a sesquiterpene protein domain in</w:t>
      </w:r>
      <w:r>
        <w:t xml:space="preserve"> </w:t>
      </w:r>
      <w:r>
        <w:rPr>
          <w:i/>
          <w:iCs/>
        </w:rPr>
        <w:t xml:space="preserve">Streptomyces coelicolor A3(2)</w:t>
      </w:r>
      <w:r>
        <w:t xml:space="preserve"> </w:t>
      </w:r>
      <w:r>
        <w:t xml:space="preserve">was linked to the presence of the taste and odor compound geosmin</w:t>
      </w:r>
      <w:r>
        <w:t xml:space="preserve"> </w:t>
      </w:r>
      <w:r>
        <w:t xml:space="preserve">(Cane and Watt, 2003; Gust et al., 2003)</w:t>
      </w:r>
      <w:r>
        <w:t xml:space="preserve">. Since then the gene responsible for the biosynthesis of geosmin (</w:t>
      </w:r>
      <w:r>
        <w:rPr>
          <w:i/>
          <w:iCs/>
        </w:rPr>
        <w:t xml:space="preserve">geo</w:t>
      </w:r>
      <w:r>
        <w:t xml:space="preserve"> </w:t>
      </w:r>
      <w:r>
        <w:t xml:space="preserve">gene) has been extensively characterized</w:t>
      </w:r>
      <w:r>
        <w:t xml:space="preserve"> </w:t>
      </w:r>
      <w:r>
        <w:t xml:space="preserve">(Cane et al., 2006; Jiang et al., 2007, 2006)</w:t>
      </w:r>
      <w:r>
        <w:t xml:space="preserve">. In 2007 two</w:t>
      </w:r>
      <w:r>
        <w:t xml:space="preserve"> </w:t>
      </w:r>
      <w:r>
        <w:rPr>
          <w:i/>
          <w:iCs/>
        </w:rPr>
        <w:t xml:space="preserve">geoA</w:t>
      </w:r>
      <w:r>
        <w:t xml:space="preserve">-like genes were detected in a strain of</w:t>
      </w:r>
      <w:r>
        <w:t xml:space="preserve"> </w:t>
      </w:r>
      <w:r>
        <w:rPr>
          <w:i/>
          <w:iCs/>
        </w:rPr>
        <w:t xml:space="preserve">Phormidium</w:t>
      </w:r>
      <w:r>
        <w:t xml:space="preserve"> </w:t>
      </w:r>
      <w:r>
        <w:t xml:space="preserve">(cyanobacteria, Oscillatoriales)</w:t>
      </w:r>
      <w:r>
        <w:t xml:space="preserve"> </w:t>
      </w:r>
      <w:r>
        <w:t xml:space="preserve">(Ludwig et al., 2007)</w:t>
      </w:r>
      <w:r>
        <w:t xml:space="preserve"> </w:t>
      </w:r>
      <w:r>
        <w:t xml:space="preserve">but their function in cyanobacteria were not elucidated until full characterization of the</w:t>
      </w:r>
      <w:r>
        <w:t xml:space="preserve"> </w:t>
      </w:r>
      <w:r>
        <w:rPr>
          <w:i/>
          <w:iCs/>
        </w:rPr>
        <w:t xml:space="preserve">geoA</w:t>
      </w:r>
      <w:r>
        <w:t xml:space="preserve"> </w:t>
      </w:r>
      <w:r>
        <w:t xml:space="preserve">gene was performed in Nostoc punctiforme</w:t>
      </w:r>
      <w:r>
        <w:t xml:space="preserve"> </w:t>
      </w:r>
      <w:r>
        <w:t xml:space="preserve">(Giglio et al., 2008)</w:t>
      </w:r>
      <w:r>
        <w:t xml:space="preserve">. Since then the expression of these genes has been studied in a single strain of</w:t>
      </w:r>
      <w:r>
        <w:t xml:space="preserve"> </w:t>
      </w:r>
      <w:r>
        <w:rPr>
          <w:i/>
          <w:iCs/>
        </w:rPr>
        <w:t xml:space="preserve">Anabaena</w:t>
      </w:r>
      <w:r>
        <w:t xml:space="preserve"> </w:t>
      </w:r>
      <w:r>
        <w:t xml:space="preserve">(Giglio et al., 2011)</w:t>
      </w:r>
      <w:r>
        <w:t xml:space="preserve">, which was demonstrated that the expression of the geosmin gene appears to be constitutive in nature. While in recent years some studies established quantitative PCR assays to detect and measure the production of geosmin by</w:t>
      </w:r>
      <w:r>
        <w:t xml:space="preserve"> </w:t>
      </w:r>
      <w:r>
        <w:rPr>
          <w:i/>
          <w:iCs/>
        </w:rPr>
        <w:t xml:space="preserve">Streptomycetes</w:t>
      </w:r>
      <w:r>
        <w:t xml:space="preserve"> </w:t>
      </w:r>
      <w:r>
        <w:t xml:space="preserve">in the environment</w:t>
      </w:r>
      <w:r>
        <w:t xml:space="preserve"> </w:t>
      </w:r>
      <w:r>
        <w:t xml:space="preserve">(Auffret et al., 2011; Lylloff et al., 2012)</w:t>
      </w:r>
      <w:r>
        <w:t xml:space="preserve">; to the best of our knowledge, no peer reviewed study has displayed a quantitative PCR assay to detect the production of geosmin specifically by cyanobacteria. The present study is the first qPCR assays for the detection and quantification of the cyanobacterial geosmin synthase in waters. Moreover, the ARG qPCR assay allows the detection of several</w:t>
      </w:r>
      <w:r>
        <w:t xml:space="preserve"> </w:t>
      </w:r>
      <w:r>
        <w:rPr>
          <w:i/>
          <w:iCs/>
        </w:rPr>
        <w:t xml:space="preserve">Anabaena</w:t>
      </w:r>
      <w:r>
        <w:t xml:space="preserve"> </w:t>
      </w:r>
      <w:r>
        <w:t xml:space="preserve">species, major bloom-forming genus and confirmed geosmin producers. Combined, these two assays allow the monitoring of the population of</w:t>
      </w:r>
      <w:r>
        <w:t xml:space="preserve"> </w:t>
      </w:r>
      <w:r>
        <w:rPr>
          <w:i/>
          <w:iCs/>
        </w:rPr>
        <w:t xml:space="preserve">Anabaena</w:t>
      </w:r>
      <w:r>
        <w:t xml:space="preserve"> </w:t>
      </w:r>
      <w:r>
        <w:t xml:space="preserve">at the same time as the production of geosmin. The comparison of the two results therefore assists in determining if</w:t>
      </w:r>
      <w:r>
        <w:t xml:space="preserve"> </w:t>
      </w:r>
      <w:r>
        <w:rPr>
          <w:i/>
          <w:iCs/>
        </w:rPr>
        <w:t xml:space="preserve">Anabaena</w:t>
      </w:r>
      <w:r>
        <w:t xml:space="preserve"> </w:t>
      </w:r>
      <w:r>
        <w:t xml:space="preserve">is responsible for the release of geosmin in the environment.</w:t>
      </w:r>
    </w:p>
    <w:tbl>
      <w:tblPr>
        <w:tblStyle w:val="Table"/>
        <w:tblW w:type="pct" w:w="5000"/>
        <w:tblLayout w:type="fixed"/>
        <w:tblLook w:firstRow="0" w:lastRow="0" w:firstColumn="0" w:lastColumn="0" w:noHBand="0" w:noVBand="0" w:val="0000"/>
      </w:tblPr>
      <w:tblGrid>
        <w:gridCol w:w="7920"/>
      </w:tblGrid>
      <w:tr>
        <w:tc>
          <w:tcPr/>
          <w:bookmarkStart w:id="34" w:name="tbl-geosprimer"/>
          <w:p>
            <w:pPr>
              <w:jc w:val="center"/>
            </w:pPr>
            <w:pPr>
              <w:jc w:val="start"/>
              <w:spacing w:before="200"/>
              <w:pStyle w:val="ImageCaption"/>
            </w:pPr>
            <w:r>
              <w:t xml:space="preserve">Table 2: Specificity of</w:t>
            </w:r>
            <w:r>
              <w:t xml:space="preserve"> </w:t>
            </w:r>
            <w:r>
              <w:rPr>
                <w:i/>
                <w:iCs/>
              </w:rPr>
              <w:t xml:space="preserve">GSG</w:t>
            </w:r>
            <w:r>
              <w:t xml:space="preserve"> </w:t>
            </w:r>
            <w:r>
              <w:t xml:space="preserve">primers (173AF/AR)</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left"/>
                    <w:jc w:val="center"/>
                  </w:pPr>
                  <w:r>
                    <w:rPr>
                      <w:b/>
                      <w:bCs/>
                    </w:rPr>
                    <w:t xml:space="preserve">Strain</w:t>
                  </w:r>
                </w:p>
              </w:tc>
              <w:tc>
                <w:tcPr/>
                <w:p>
                  <w:pPr>
                    <w:pStyle w:val="Compact"/>
                    <w:jc w:val="left"/>
                    <w:jc w:val="center"/>
                  </w:pPr>
                  <w:r>
                    <w:rPr>
                      <w:b/>
                      <w:bCs/>
                    </w:rPr>
                    <w:t xml:space="preserve">Genus/species</w:t>
                  </w:r>
                </w:p>
              </w:tc>
              <w:tc>
                <w:tcPr/>
                <w:p>
                  <w:pPr>
                    <w:pStyle w:val="Compact"/>
                    <w:jc w:val="center"/>
                    <w:jc w:val="center"/>
                  </w:pPr>
                  <w:r>
                    <w:rPr>
                      <w:b/>
                      <w:bCs/>
                    </w:rPr>
                    <w:t xml:space="preserve">Sig.</w:t>
                  </w:r>
                </w:p>
              </w:tc>
              <w:tc>
                <w:tcPr/>
                <w:p>
                  <w:pPr>
                    <w:pStyle w:val="Compact"/>
                    <w:jc w:val="center"/>
                    <w:jc w:val="center"/>
                  </w:pPr>
                  <w:r>
                    <w:rPr>
                      <w:b/>
                      <w:bCs/>
                    </w:rPr>
                    <w:t xml:space="preserve">Geosmin  (</w:t>
                  </w:r>
                  <m:oMath>
                    <m:r>
                      <m:rPr>
                        <m:sty m:val="b"/>
                      </m:rPr>
                      <m:t>n</m:t>
                    </m:r>
                    <m:r>
                      <m:rPr>
                        <m:sty m:val="b"/>
                      </m:rPr>
                      <m:t>g</m:t>
                    </m:r>
                    <m:r>
                      <m:rPr>
                        <m:sty m:val="b"/>
                      </m:rPr>
                      <m:t> </m:t>
                    </m:r>
                    <m:sSup>
                      <m:e>
                        <m:r>
                          <m:rPr>
                            <m:sty m:val="b"/>
                          </m:rPr>
                          <m:t>L</m:t>
                        </m:r>
                      </m:e>
                      <m:sup>
                        <m:r>
                          <m:rPr>
                            <m:sty m:val="b"/>
                          </m:rPr>
                          <m:t>−</m:t>
                        </m:r>
                        <m:r>
                          <m:rPr>
                            <m:sty m:val="b"/>
                          </m:rPr>
                          <m:t>1</m:t>
                        </m:r>
                      </m:sup>
                    </m:sSup>
                  </m:oMath>
                  <w:r>
                    <w:rPr>
                      <w:b/>
                      <w:bCs/>
                    </w:rPr>
                    <w:t xml:space="preserve">)</w:t>
                  </w:r>
                </w:p>
              </w:tc>
            </w:tr>
            <w:tr>
              <w:tc>
                <w:tcPr/>
                <w:p>
                  <w:pPr>
                    <w:pStyle w:val="Compact"/>
                    <w:jc w:val="left"/>
                    <w:jc w:val="center"/>
                  </w:pPr>
                  <w:r>
                    <w:t xml:space="preserve">AWQC-ANA044</w:t>
                  </w:r>
                </w:p>
              </w:tc>
              <w:tc>
                <w:tcPr/>
                <w:p>
                  <w:pPr>
                    <w:pStyle w:val="Compact"/>
                    <w:jc w:val="left"/>
                    <w:jc w:val="center"/>
                  </w:pPr>
                  <w:r>
                    <w:rPr>
                      <w:i/>
                      <w:iCs/>
                    </w:rPr>
                    <w:t xml:space="preserve">Anabaena spiroides</w:t>
                  </w:r>
                </w:p>
              </w:tc>
              <w:tc>
                <w:tcPr/>
                <w:p>
                  <w:pPr>
                    <w:pStyle w:val="Compact"/>
                    <w:jc w:val="center"/>
                    <w:jc w:val="center"/>
                  </w:pPr>
                  <w:r>
                    <w:t xml:space="preserve">+</w:t>
                  </w:r>
                </w:p>
              </w:tc>
              <w:tc>
                <w:tcPr/>
                <w:p>
                  <w:pPr>
                    <w:pStyle w:val="Compact"/>
                    <w:jc w:val="center"/>
                    <w:jc w:val="center"/>
                  </w:pPr>
                  <w:r>
                    <w:t xml:space="preserve">1.97</w:t>
                  </w:r>
                </w:p>
              </w:tc>
            </w:tr>
            <w:tr>
              <w:tc>
                <w:tcPr/>
                <w:p>
                  <w:pPr>
                    <w:pStyle w:val="Compact"/>
                    <w:jc w:val="left"/>
                    <w:jc w:val="center"/>
                  </w:pPr>
                  <w:r>
                    <w:t xml:space="preserve">AWQC-ANA102</w:t>
                  </w:r>
                </w:p>
              </w:tc>
              <w:tc>
                <w:tcPr/>
                <w:p>
                  <w:pPr>
                    <w:pStyle w:val="Compact"/>
                    <w:jc w:val="left"/>
                    <w:jc w:val="center"/>
                  </w:pPr>
                  <w:r>
                    <w:rPr>
                      <w:i/>
                      <w:iCs/>
                    </w:rPr>
                    <w:t xml:space="preserve">Anabaena flos-aquae</w:t>
                  </w:r>
                </w:p>
              </w:tc>
              <w:tc>
                <w:tcPr/>
                <w:p>
                  <w:pPr>
                    <w:pStyle w:val="Compact"/>
                    <w:jc w:val="center"/>
                    <w:jc w:val="center"/>
                  </w:pPr>
                  <w:r>
                    <w:t xml:space="preserve">+</w:t>
                  </w:r>
                </w:p>
              </w:tc>
              <w:tc>
                <w:tcPr/>
                <w:p>
                  <w:pPr>
                    <w:pStyle w:val="Compact"/>
                    <w:jc w:val="center"/>
                    <w:jc w:val="center"/>
                  </w:pPr>
                  <w:r>
                    <w:t xml:space="preserve">4.05</w:t>
                  </w:r>
                </w:p>
              </w:tc>
            </w:tr>
            <w:tr>
              <w:tc>
                <w:tcPr/>
                <w:p>
                  <w:pPr>
                    <w:pStyle w:val="Compact"/>
                    <w:jc w:val="left"/>
                    <w:jc w:val="center"/>
                  </w:pPr>
                  <w:r>
                    <w:t xml:space="preserve">AWQC-ANA196</w:t>
                  </w:r>
                </w:p>
              </w:tc>
              <w:tc>
                <w:tcPr/>
                <w:p>
                  <w:pPr>
                    <w:pStyle w:val="Compact"/>
                    <w:jc w:val="left"/>
                    <w:jc w:val="center"/>
                  </w:pPr>
                  <w:r>
                    <w:rPr>
                      <w:i/>
                      <w:iCs/>
                    </w:rPr>
                    <w:t xml:space="preserve">Anabaena circinalis</w:t>
                  </w:r>
                </w:p>
              </w:tc>
              <w:tc>
                <w:tcPr/>
                <w:p>
                  <w:pPr>
                    <w:pStyle w:val="Compact"/>
                    <w:jc w:val="center"/>
                    <w:jc w:val="center"/>
                  </w:pPr>
                  <w:r>
                    <w:t xml:space="preserve">+</w:t>
                  </w:r>
                </w:p>
              </w:tc>
              <w:tc>
                <w:tcPr/>
                <w:p>
                  <w:pPr>
                    <w:pStyle w:val="Compact"/>
                    <w:jc w:val="center"/>
                    <w:jc w:val="center"/>
                  </w:pPr>
                  <w:r>
                    <w:t xml:space="preserve">472.16</w:t>
                  </w:r>
                </w:p>
              </w:tc>
            </w:tr>
            <w:tr>
              <w:tc>
                <w:tcPr/>
                <w:p>
                  <w:pPr>
                    <w:pStyle w:val="Compact"/>
                    <w:jc w:val="left"/>
                    <w:jc w:val="center"/>
                  </w:pPr>
                  <w:r>
                    <w:t xml:space="preserve">AWQC-ANA328</w:t>
                  </w:r>
                </w:p>
              </w:tc>
              <w:tc>
                <w:tcPr/>
                <w:p>
                  <w:pPr>
                    <w:pStyle w:val="Compact"/>
                    <w:jc w:val="left"/>
                    <w:jc w:val="center"/>
                  </w:pPr>
                  <w:r>
                    <w:rPr>
                      <w:i/>
                      <w:iCs/>
                    </w:rPr>
                    <w:t xml:space="preserve">Anabaena circinalis</w:t>
                  </w:r>
                </w:p>
              </w:tc>
              <w:tc>
                <w:tcPr/>
                <w:p>
                  <w:pPr>
                    <w:pStyle w:val="Compact"/>
                    <w:jc w:val="center"/>
                    <w:jc w:val="center"/>
                  </w:pPr>
                  <w:r>
                    <w:t xml:space="preserve">+</w:t>
                  </w:r>
                </w:p>
              </w:tc>
              <w:tc>
                <w:tcPr/>
                <w:p>
                  <w:pPr>
                    <w:pStyle w:val="Compact"/>
                    <w:jc w:val="center"/>
                    <w:jc w:val="center"/>
                  </w:pPr>
                  <w:r>
                    <w:t xml:space="preserve">204.36</w:t>
                  </w:r>
                </w:p>
              </w:tc>
            </w:tr>
            <w:tr>
              <w:tc>
                <w:tcPr/>
                <w:p>
                  <w:pPr>
                    <w:pStyle w:val="Compact"/>
                    <w:jc w:val="left"/>
                    <w:jc w:val="center"/>
                  </w:pPr>
                  <w:r>
                    <w:t xml:space="preserve">FACHB-1199</w:t>
                  </w:r>
                </w:p>
              </w:tc>
              <w:tc>
                <w:tcPr/>
                <w:p>
                  <w:pPr>
                    <w:pStyle w:val="Compact"/>
                    <w:jc w:val="left"/>
                    <w:jc w:val="center"/>
                  </w:pPr>
                  <w:r>
                    <w:rPr>
                      <w:i/>
                      <w:iCs/>
                    </w:rPr>
                    <w:t xml:space="preserve">Anabaena eucompacta</w:t>
                  </w:r>
                </w:p>
              </w:tc>
              <w:tc>
                <w:tcPr/>
                <w:p>
                  <w:pPr>
                    <w:pStyle w:val="Compact"/>
                    <w:jc w:val="center"/>
                    <w:jc w:val="center"/>
                  </w:pPr>
                  <w:r>
                    <w:t xml:space="preserve">-</w:t>
                  </w:r>
                </w:p>
              </w:tc>
              <w:tc>
                <w:tcPr/>
                <w:p>
                  <w:pPr>
                    <w:pStyle w:val="Compact"/>
                    <w:jc w:val="center"/>
                    <w:jc w:val="center"/>
                  </w:pPr>
                  <m:oMath>
                    <m:r>
                      <m:rPr>
                        <m:sty m:val="p"/>
                      </m:rPr>
                      <m:t>&lt;</m:t>
                    </m:r>
                  </m:oMath>
                  <w:r>
                    <w:t xml:space="preserve">LOD</w:t>
                  </w:r>
                </w:p>
              </w:tc>
            </w:tr>
            <w:tr>
              <w:tc>
                <w:tcPr/>
                <w:p>
                  <w:pPr>
                    <w:pStyle w:val="Compact"/>
                    <w:jc w:val="left"/>
                    <w:jc w:val="center"/>
                  </w:pPr>
                  <w:r>
                    <w:t xml:space="preserve">FACHB-1219</w:t>
                  </w:r>
                </w:p>
              </w:tc>
              <w:tc>
                <w:tcPr/>
                <w:p>
                  <w:pPr>
                    <w:pStyle w:val="Compact"/>
                    <w:jc w:val="left"/>
                    <w:jc w:val="center"/>
                  </w:pPr>
                  <w:r>
                    <w:rPr>
                      <w:i/>
                      <w:iCs/>
                    </w:rPr>
                    <w:t xml:space="preserve">Anabaena</w:t>
                  </w:r>
                  <w:r>
                    <w:t xml:space="preserve"> </w:t>
                  </w:r>
                  <w:r>
                    <w:t xml:space="preserve">sp.</w:t>
                  </w:r>
                </w:p>
              </w:tc>
              <w:tc>
                <w:tcPr/>
                <w:p>
                  <w:pPr>
                    <w:pStyle w:val="Compact"/>
                    <w:jc w:val="center"/>
                    <w:jc w:val="center"/>
                  </w:pPr>
                  <w:r>
                    <w:t xml:space="preserve">-</w:t>
                  </w:r>
                </w:p>
              </w:tc>
              <w:tc>
                <w:tcPr/>
                <w:p>
                  <w:pPr>
                    <w:pStyle w:val="Compact"/>
                    <w:jc w:val="center"/>
                    <w:jc w:val="center"/>
                  </w:pPr>
                  <m:oMath>
                    <m:r>
                      <m:rPr>
                        <m:sty m:val="p"/>
                      </m:rPr>
                      <m:t>&lt;</m:t>
                    </m:r>
                  </m:oMath>
                  <w:r>
                    <w:t xml:space="preserve">LOD</w:t>
                  </w:r>
                </w:p>
              </w:tc>
            </w:tr>
            <w:tr>
              <w:tc>
                <w:tcPr/>
                <w:p>
                  <w:pPr>
                    <w:pStyle w:val="Compact"/>
                    <w:jc w:val="left"/>
                    <w:jc w:val="center"/>
                  </w:pPr>
                  <w:r>
                    <w:t xml:space="preserve">FACHB-1239</w:t>
                  </w:r>
                </w:p>
              </w:tc>
              <w:tc>
                <w:tcPr/>
                <w:p>
                  <w:pPr>
                    <w:pStyle w:val="Compact"/>
                    <w:jc w:val="left"/>
                    <w:jc w:val="center"/>
                  </w:pPr>
                  <w:r>
                    <w:rPr>
                      <w:i/>
                      <w:iCs/>
                    </w:rPr>
                    <w:t xml:space="preserve">Anabaena</w:t>
                  </w:r>
                  <w:r>
                    <w:t xml:space="preserve"> </w:t>
                  </w:r>
                  <w:r>
                    <w:t xml:space="preserve">sp.</w:t>
                  </w:r>
                </w:p>
              </w:tc>
              <w:tc>
                <w:tcPr/>
                <w:p>
                  <w:pPr>
                    <w:pStyle w:val="Compact"/>
                    <w:jc w:val="center"/>
                    <w:jc w:val="center"/>
                  </w:pPr>
                  <w:r>
                    <w:t xml:space="preserve">+</w:t>
                  </w:r>
                </w:p>
              </w:tc>
              <w:tc>
                <w:tcPr/>
                <w:p>
                  <w:pPr>
                    <w:pStyle w:val="Compact"/>
                    <w:jc w:val="center"/>
                    <w:jc w:val="center"/>
                  </w:pPr>
                  <w:r>
                    <w:t xml:space="preserve">8270</w:t>
                  </w:r>
                </w:p>
              </w:tc>
            </w:tr>
            <w:tr>
              <w:tc>
                <w:tcPr/>
                <w:p>
                  <w:pPr>
                    <w:pStyle w:val="Compact"/>
                    <w:jc w:val="left"/>
                    <w:jc w:val="center"/>
                  </w:pPr>
                  <w:r>
                    <w:t xml:space="preserve">FACHB-1250</w:t>
                  </w:r>
                </w:p>
              </w:tc>
              <w:tc>
                <w:tcPr/>
                <w:p>
                  <w:pPr>
                    <w:pStyle w:val="Compact"/>
                    <w:jc w:val="left"/>
                    <w:jc w:val="center"/>
                  </w:pPr>
                  <w:r>
                    <w:rPr>
                      <w:i/>
                      <w:iCs/>
                    </w:rPr>
                    <w:t xml:space="preserve">Anabaena</w:t>
                  </w:r>
                  <w:r>
                    <w:t xml:space="preserve"> </w:t>
                  </w:r>
                  <w:r>
                    <w:t xml:space="preserve">sp.</w:t>
                  </w:r>
                </w:p>
              </w:tc>
              <w:tc>
                <w:tcPr/>
                <w:p>
                  <w:pPr>
                    <w:pStyle w:val="Compact"/>
                    <w:jc w:val="center"/>
                    <w:jc w:val="center"/>
                  </w:pPr>
                  <w:r>
                    <w:t xml:space="preserve">-</w:t>
                  </w:r>
                </w:p>
              </w:tc>
              <w:tc>
                <w:tcPr/>
                <w:p>
                  <w:pPr>
                    <w:pStyle w:val="Compact"/>
                    <w:jc w:val="center"/>
                    <w:jc w:val="center"/>
                  </w:pPr>
                  <m:oMath>
                    <m:r>
                      <m:rPr>
                        <m:sty m:val="p"/>
                      </m:rPr>
                      <m:t>&lt;</m:t>
                    </m:r>
                  </m:oMath>
                  <w:r>
                    <w:t xml:space="preserve">LOD</w:t>
                  </w:r>
                </w:p>
              </w:tc>
            </w:tr>
            <w:tr>
              <w:tc>
                <w:tcPr/>
                <w:p>
                  <w:pPr>
                    <w:pStyle w:val="Compact"/>
                    <w:jc w:val="left"/>
                    <w:jc w:val="center"/>
                  </w:pPr>
                  <w:r>
                    <w:t xml:space="preserve">FACHB-1255</w:t>
                  </w:r>
                </w:p>
              </w:tc>
              <w:tc>
                <w:tcPr/>
                <w:p>
                  <w:pPr>
                    <w:pStyle w:val="Compact"/>
                    <w:jc w:val="left"/>
                    <w:jc w:val="center"/>
                  </w:pPr>
                  <w:r>
                    <w:rPr>
                      <w:i/>
                      <w:iCs/>
                    </w:rPr>
                    <w:t xml:space="preserve">Anabaena</w:t>
                  </w:r>
                  <w:r>
                    <w:t xml:space="preserve"> </w:t>
                  </w:r>
                  <w:r>
                    <w:t xml:space="preserve">sp.</w:t>
                  </w:r>
                </w:p>
              </w:tc>
              <w:tc>
                <w:tcPr/>
                <w:p>
                  <w:pPr>
                    <w:pStyle w:val="Compact"/>
                    <w:jc w:val="center"/>
                    <w:jc w:val="center"/>
                  </w:pPr>
                  <w:r>
                    <w:t xml:space="preserve">-</w:t>
                  </w:r>
                </w:p>
              </w:tc>
              <w:tc>
                <w:tcPr/>
                <w:p>
                  <w:pPr>
                    <w:pStyle w:val="Compact"/>
                    <w:jc w:val="center"/>
                    <w:jc w:val="center"/>
                  </w:pPr>
                  <m:oMath>
                    <m:r>
                      <m:rPr>
                        <m:sty m:val="p"/>
                      </m:rPr>
                      <m:t>&lt;</m:t>
                    </m:r>
                  </m:oMath>
                  <w:r>
                    <w:t xml:space="preserve">LOD</w:t>
                  </w:r>
                </w:p>
              </w:tc>
            </w:tr>
            <w:tr>
              <w:tc>
                <w:tcPr/>
                <w:p>
                  <w:pPr>
                    <w:pStyle w:val="Compact"/>
                    <w:jc w:val="left"/>
                    <w:jc w:val="center"/>
                  </w:pPr>
                  <w:r>
                    <w:t xml:space="preserve">FACHB-1263</w:t>
                  </w:r>
                </w:p>
              </w:tc>
              <w:tc>
                <w:tcPr/>
                <w:p>
                  <w:pPr>
                    <w:pStyle w:val="Compact"/>
                    <w:jc w:val="left"/>
                    <w:jc w:val="center"/>
                  </w:pPr>
                  <w:r>
                    <w:rPr>
                      <w:i/>
                      <w:iCs/>
                    </w:rPr>
                    <w:t xml:space="preserve">Anabaena flos-aquae</w:t>
                  </w:r>
                </w:p>
              </w:tc>
              <w:tc>
                <w:tcPr/>
                <w:p>
                  <w:pPr>
                    <w:pStyle w:val="Compact"/>
                    <w:jc w:val="center"/>
                    <w:jc w:val="center"/>
                  </w:pPr>
                  <w:r>
                    <w:t xml:space="preserve">-</w:t>
                  </w:r>
                </w:p>
              </w:tc>
              <w:tc>
                <w:tcPr/>
                <w:p>
                  <w:pPr>
                    <w:pStyle w:val="Compact"/>
                    <w:jc w:val="center"/>
                    <w:jc w:val="center"/>
                  </w:pPr>
                  <m:oMath>
                    <m:r>
                      <m:rPr>
                        <m:sty m:val="p"/>
                      </m:rPr>
                      <m:t>&lt;</m:t>
                    </m:r>
                  </m:oMath>
                  <w:r>
                    <w:t xml:space="preserve">LOD</w:t>
                  </w:r>
                </w:p>
              </w:tc>
            </w:tr>
            <w:tr>
              <w:tc>
                <w:tcPr/>
                <w:p>
                  <w:pPr>
                    <w:pStyle w:val="Compact"/>
                    <w:jc w:val="left"/>
                    <w:jc w:val="center"/>
                  </w:pPr>
                  <w:r>
                    <w:t xml:space="preserve">FADC-0001</w:t>
                  </w:r>
                </w:p>
              </w:tc>
              <w:tc>
                <w:tcPr/>
                <w:p>
                  <w:pPr>
                    <w:pStyle w:val="Compact"/>
                    <w:jc w:val="left"/>
                    <w:jc w:val="center"/>
                  </w:pPr>
                  <w:r>
                    <w:rPr>
                      <w:i/>
                      <w:iCs/>
                    </w:rPr>
                    <w:t xml:space="preserve">Anabaena spiroides</w:t>
                  </w:r>
                </w:p>
              </w:tc>
              <w:tc>
                <w:tcPr/>
                <w:p>
                  <w:pPr>
                    <w:pStyle w:val="Compact"/>
                    <w:jc w:val="center"/>
                    <w:jc w:val="center"/>
                  </w:pPr>
                  <w:r>
                    <w:t xml:space="preserve">+</w:t>
                  </w:r>
                </w:p>
              </w:tc>
              <w:tc>
                <w:tcPr/>
                <w:p>
                  <w:pPr>
                    <w:pStyle w:val="Compact"/>
                    <w:jc w:val="center"/>
                    <w:jc w:val="center"/>
                  </w:pPr>
                  <w:r>
                    <w:t xml:space="preserve">305.1</w:t>
                  </w:r>
                </w:p>
              </w:tc>
            </w:tr>
            <w:tr>
              <w:tc>
                <w:tcPr/>
                <w:p>
                  <w:pPr>
                    <w:pStyle w:val="Compact"/>
                    <w:jc w:val="left"/>
                    <w:jc w:val="center"/>
                  </w:pPr>
                  <w:r>
                    <w:t xml:space="preserve">Positive control</w:t>
                  </w:r>
                </w:p>
              </w:tc>
              <w:tc>
                <w:tcPr/>
                <w:p>
                  <w:pPr>
                    <w:pStyle w:val="Compact"/>
                    <w:jc w:val="left"/>
                    <w:jc w:val="center"/>
                  </w:pPr>
                  <w:r>
                    <w:rPr>
                      <w:i/>
                      <w:iCs/>
                    </w:rPr>
                    <w:t xml:space="preserve">Nostoc</w:t>
                  </w:r>
                  <w:r>
                    <w:t xml:space="preserve"> </w:t>
                  </w:r>
                  <w:r>
                    <w:t xml:space="preserve">sp.</w:t>
                  </w:r>
                </w:p>
              </w:tc>
              <w:tc>
                <w:tcPr/>
                <w:p>
                  <w:pPr>
                    <w:pStyle w:val="Compact"/>
                    <w:jc w:val="center"/>
                    <w:jc w:val="center"/>
                  </w:pPr>
                  <w:r>
                    <w:t xml:space="preserve">+</w:t>
                  </w:r>
                </w:p>
              </w:tc>
              <w:tc>
                <w:tcPr/>
                <w:p>
                  <w:pPr>
                    <w:pStyle w:val="Compact"/>
                    <w:jc w:val="center"/>
                    <w:jc w:val="center"/>
                  </w:pPr>
                  <w:r>
                    <w:t xml:space="preserve">+</w:t>
                  </w:r>
                </w:p>
              </w:tc>
            </w:tr>
            <w:tr>
              <w:tc>
                <w:tcPr/>
                <w:p>
                  <w:pPr>
                    <w:pStyle w:val="Compact"/>
                    <w:jc w:val="left"/>
                    <w:jc w:val="center"/>
                  </w:pPr>
                  <w:r>
                    <w:t xml:space="preserve">Negative control</w:t>
                  </w:r>
                </w:p>
              </w:tc>
              <w:tc>
                <w:tcPr/>
                <w:p>
                  <w:pPr>
                    <w:pStyle w:val="Compact"/>
                    <w:jc w:val="left"/>
                    <w:jc w:val="center"/>
                  </w:pPr>
                  <w:r>
                    <w:t xml:space="preserve">Milli-Q water</w:t>
                  </w:r>
                </w:p>
              </w:tc>
              <w:tc>
                <w:tcPr/>
                <w:p>
                  <w:pPr>
                    <w:pStyle w:val="Compact"/>
                    <w:jc w:val="center"/>
                    <w:jc w:val="center"/>
                  </w:pPr>
                  <w:r>
                    <w:t xml:space="preserve">-</w:t>
                  </w:r>
                </w:p>
              </w:tc>
              <w:tc>
                <w:tcPr/>
                <w:p>
                  <w:pPr>
                    <w:pStyle w:val="Compact"/>
                    <w:jc w:val="center"/>
                    <w:jc w:val="center"/>
                  </w:pPr>
                  <w:r>
                    <w:t xml:space="preserve">0.09</w:t>
                  </w:r>
                </w:p>
              </w:tc>
            </w:tr>
          </w:tbl>
          <w:bookmarkEnd w:id="34"/>
          <w:p/>
        </w:tc>
      </w:tr>
    </w:tbl>
    <w:p>
      <w:pPr>
        <w:pStyle w:val="BodyText"/>
      </w:pPr>
      <w:r>
        <w:t xml:space="preserve">Conventional PCR used</w:t>
      </w:r>
      <w:r>
        <w:t xml:space="preserve"> </w:t>
      </w:r>
      <w:r>
        <w:rPr>
          <w:i/>
          <w:iCs/>
        </w:rPr>
        <w:t xml:space="preserve">GSG</w:t>
      </w:r>
      <w:r>
        <w:t xml:space="preserve"> </w:t>
      </w:r>
      <w:r>
        <w:t xml:space="preserve">primers 173AF/AR; the melting temperature</w:t>
      </w:r>
      <w:r>
        <w:t xml:space="preserve"> </w:t>
      </w:r>
      <w:r>
        <w:t xml:space="preserve">(</w:t>
      </w:r>
      <m:oMath>
        <m:sSub>
          <m:e>
            <m:r>
              <m:rPr>
                <m:sty m:val="p"/>
              </m:rPr>
              <m:t>T</m:t>
            </m:r>
          </m:e>
          <m:sub>
            <m:r>
              <m:rPr>
                <m:sty m:val="p"/>
              </m:rPr>
              <m:t>m</m:t>
            </m:r>
          </m:sub>
        </m:sSub>
      </m:oMath>
      <w:r>
        <w:t xml:space="preserve">) corresponding to the target amplicon is 83</w:t>
      </w:r>
      <w:r>
        <w:t xml:space="preserve"> </w:t>
      </w:r>
      <m:oMath>
        <m:sSup>
          <m:e>
            <m:r>
              <m:rPr>
                <m:sty m:val="p"/>
              </m:rPr>
              <m:t>​</m:t>
            </m:r>
          </m:e>
          <m:sup>
            <m:r>
              <m:rPr>
                <m:sty m:val="p"/>
              </m:rPr>
              <m:t>∘</m:t>
            </m:r>
          </m:sup>
        </m:sSup>
        <m:r>
          <m:rPr>
            <m:sty m:val="p"/>
          </m:rPr>
          <m:t>C</m:t>
        </m:r>
      </m:oMath>
      <w:r>
        <w:t xml:space="preserve"> </w:t>
      </w:r>
      <w:r>
        <w:t xml:space="preserve">for</w:t>
      </w:r>
      <w:r>
        <w:t xml:space="preserve"> </w:t>
      </w:r>
      <w:r>
        <w:rPr>
          <w:i/>
          <w:iCs/>
        </w:rPr>
        <w:t xml:space="preserve">Anabaena</w:t>
      </w:r>
      <w:r>
        <w:t xml:space="preserve"> </w:t>
      </w:r>
      <w:r>
        <w:t xml:space="preserve">species and 86</w:t>
      </w:r>
      <w:r>
        <w:t xml:space="preserve"> </w:t>
      </w:r>
      <m:oMath>
        <m:sSup>
          <m:e>
            <m:r>
              <m:rPr>
                <m:sty m:val="p"/>
              </m:rPr>
              <m:t>​</m:t>
            </m:r>
          </m:e>
          <m:sup>
            <m:r>
              <m:rPr>
                <m:sty m:val="p"/>
              </m:rPr>
              <m:t>∘</m:t>
            </m:r>
          </m:sup>
        </m:sSup>
        <m:r>
          <m:rPr>
            <m:sty m:val="p"/>
          </m:rPr>
          <m:t>C</m:t>
        </m:r>
      </m:oMath>
      <w:r>
        <w:t xml:space="preserve"> </w:t>
      </w:r>
      <w:r>
        <w:t xml:space="preserve">for</w:t>
      </w:r>
      <w:r>
        <w:t xml:space="preserve"> </w:t>
      </w:r>
      <w:r>
        <w:rPr>
          <w:i/>
          <w:iCs/>
        </w:rPr>
        <w:t xml:space="preserve">Nostoc</w:t>
      </w:r>
      <w:r>
        <w:t xml:space="preserve"> </w:t>
      </w:r>
      <w:r>
        <w:t xml:space="preserve">species.</w:t>
      </w:r>
    </w:p>
    <w:p>
      <w:pPr>
        <w:pStyle w:val="BodyText"/>
      </w:pPr>
      <w:r>
        <w:t xml:space="preserve">The concentration of geosmin produced by the strains was measured by GC-MS;</w:t>
      </w:r>
    </w:p>
    <w:p>
      <w:pPr>
        <w:pStyle w:val="BodyText"/>
      </w:pPr>
      <w:r>
        <w:t xml:space="preserve">The geosmin concentration determined by GC-MS method is under the limit of detection (LOD);</w:t>
      </w:r>
    </w:p>
    <w:p>
      <w:pPr>
        <w:pStyle w:val="BodyText"/>
      </w:pPr>
      <w:r>
        <w:t xml:space="preserve">The positive control has been previously controlled for the production of geosmin and was found positive with a different melting temperature of 86</w:t>
      </w:r>
      <w:r>
        <w:t xml:space="preserve"> </w:t>
      </w:r>
      <m:oMath>
        <m:sSup>
          <m:e>
            <m:r>
              <m:rPr>
                <m:sty m:val="p"/>
              </m:rPr>
              <m:t>​</m:t>
            </m:r>
          </m:e>
          <m:sup>
            <m:r>
              <m:rPr>
                <m:sty m:val="p"/>
              </m:rPr>
              <m:t>∘</m:t>
            </m:r>
          </m:sup>
        </m:sSup>
        <m:r>
          <m:rPr>
            <m:sty m:val="p"/>
          </m:rPr>
          <m:t>C</m:t>
        </m:r>
      </m:oMath>
      <w:r>
        <w:t xml:space="preserve">;</w:t>
      </w:r>
    </w:p>
    <w:p>
      <w:pPr>
        <w:pStyle w:val="BodyText"/>
      </w:pPr>
      <w:r>
        <w:t xml:space="preserve">There was residual geosmin in the water serving for analysis (0.09 ng L</w:t>
      </w:r>
      <m:oMath>
        <m:sSup>
          <m:e>
            <m:r>
              <m:t>​</m:t>
            </m:r>
          </m:e>
          <m:sup>
            <m:r>
              <m:rPr>
                <m:sty m:val="p"/>
              </m:rPr>
              <m:t>−</m:t>
            </m:r>
            <m:r>
              <m:t>1</m:t>
            </m:r>
          </m:sup>
        </m:sSup>
      </m:oMath>
      <w:r>
        <w:t xml:space="preserve">), thus for the strains for which the level of geosmin detected were around 1 ng L</w:t>
      </w:r>
      <m:oMath>
        <m:sSup>
          <m:e>
            <m:r>
              <m:t>​</m:t>
            </m:r>
          </m:e>
          <m:sup>
            <m:r>
              <m:rPr>
                <m:sty m:val="p"/>
              </m:rPr>
              <m:t>−</m:t>
            </m:r>
            <m:r>
              <m:t>1</m:t>
            </m:r>
          </m:sup>
        </m:sSup>
      </m:oMath>
      <w:r>
        <w:t xml:space="preserve"> </w:t>
      </w:r>
      <w:r>
        <w:t xml:space="preserve">is not possible to confirm true positive from negative.</w:t>
      </w:r>
    </w:p>
    <w:bookmarkEnd w:id="35"/>
    <w:bookmarkStart w:id="37" w:name="resdiss:validation"/>
    <w:p>
      <w:pPr>
        <w:pStyle w:val="Heading2"/>
      </w:pPr>
      <w:r>
        <w:t xml:space="preserve">Validation of the qPCR assays</w:t>
      </w:r>
    </w:p>
    <w:p>
      <w:pPr>
        <w:pStyle w:val="BodyText"/>
      </w:pPr>
      <w:r>
        <w:t xml:space="preserve">The limit of detection (LOD) and limit of quantification (LOQ) of both</w:t>
      </w:r>
      <w:r>
        <w:t xml:space="preserve"> </w:t>
      </w:r>
      <w:r>
        <w:rPr>
          <w:i/>
          <w:iCs/>
        </w:rPr>
        <w:t xml:space="preserve">ARG</w:t>
      </w:r>
      <w:r>
        <w:t xml:space="preserve"> </w:t>
      </w:r>
      <w:r>
        <w:t xml:space="preserve">and</w:t>
      </w:r>
      <w:r>
        <w:t xml:space="preserve"> </w:t>
      </w:r>
      <w:r>
        <w:rPr>
          <w:i/>
          <w:iCs/>
        </w:rPr>
        <w:t xml:space="preserve">GSG</w:t>
      </w:r>
      <w:r>
        <w:t xml:space="preserve"> </w:t>
      </w:r>
      <w:r>
        <w:t xml:space="preserve">qPCR assays were obtained by testing the 10 fold serial dilutions of AWQC-ANA318 genomic DNA range from 0.02 pg (approx. 4 genome copy) to 2.0</w:t>
      </w:r>
      <m:oMath>
        <m:r>
          <m:rPr>
            <m:sty m:val="p"/>
          </m:rPr>
          <m:t>×</m:t>
        </m:r>
        <m:sSup>
          <m:e>
            <m:r>
              <m:t>10</m:t>
            </m:r>
          </m:e>
          <m:sup>
            <m:r>
              <m:t>4</m:t>
            </m:r>
          </m:sup>
        </m:sSup>
      </m:oMath>
      <w:r>
        <w:t xml:space="preserve"> </w:t>
      </w:r>
      <w:r>
        <w:t xml:space="preserve">pg (approx. 4</w:t>
      </w:r>
      <m:oMath>
        <m:r>
          <m:rPr>
            <m:sty m:val="p"/>
          </m:rPr>
          <m:t>×</m:t>
        </m:r>
        <m:sSup>
          <m:e>
            <m:r>
              <m:t>10</m:t>
            </m:r>
          </m:e>
          <m:sup>
            <m:r>
              <m:t>6</m:t>
            </m:r>
          </m:sup>
        </m:sSup>
      </m:oMath>
      <w:r>
        <w:t xml:space="preserve"> </w:t>
      </w:r>
      <w:r>
        <w:t xml:space="preserve">genome copy) DNA in one qPCR reaction. As shown in</w:t>
      </w:r>
      <w:r>
        <w:t xml:space="preserve"> </w:t>
      </w:r>
      <w:hyperlink w:anchor="tbl-lodloq">
        <w:r>
          <w:rPr>
            <w:rStyle w:val="Hyperlink"/>
          </w:rPr>
          <w:t xml:space="preserve">Table 3</w:t>
        </w:r>
      </w:hyperlink>
      <w:r>
        <w:t xml:space="preserve">, the standard errors of</w:t>
      </w:r>
      <w:r>
        <w:t xml:space="preserve"> </w:t>
      </w:r>
      <m:oMath>
        <m:sSub>
          <m:e>
            <m:r>
              <m:t>C</m:t>
            </m:r>
          </m:e>
          <m:sub>
            <m:r>
              <m:t>T</m:t>
            </m:r>
          </m:sub>
        </m:sSub>
      </m:oMath>
      <w:r>
        <w:t xml:space="preserve"> </w:t>
      </w:r>
      <w:r>
        <w:t xml:space="preserve">values were increasing along with the fold number dilutions of DNA, which results in an increasing error of qPCR results. Over 90% of the DNA samples showed fluorescence signals for both assays at a DNA concentration over 0.02 pg level; On the other hand, 25% or lower coefficient of variation (CV) of</w:t>
      </w:r>
      <w:r>
        <w:t xml:space="preserve"> </w:t>
      </w:r>
      <m:oMath>
        <m:sSub>
          <m:e>
            <m:r>
              <m:t>C</m:t>
            </m:r>
          </m:e>
          <m:sub>
            <m:r>
              <m:t>T</m:t>
            </m:r>
          </m:sub>
        </m:sSub>
      </m:oMath>
      <w:r>
        <w:t xml:space="preserve"> </w:t>
      </w:r>
      <w:r>
        <w:t xml:space="preserve">values were obtained at 0.2 pg DNA level for both assays. Thus, the LOD and LOQ of both methods were 0.02 pg DNA and 0.2 pg DNA, respectively. The LOQ of 0.2 pg is around 40 copy number of target gene in one reaction for both qPCR assays, suggesting that the methods are capable of determining low concentration of target genes in natural</w:t>
      </w:r>
      <w:r>
        <w:t xml:space="preserve"> </w:t>
      </w:r>
      <w:r>
        <w:t xml:space="preserve">samples.</w:t>
      </w:r>
    </w:p>
    <w:tbl>
      <w:tblPr>
        <w:tblStyle w:val="Table"/>
        <w:tblW w:type="pct" w:w="5000"/>
        <w:tblLayout w:type="fixed"/>
        <w:tblLook w:firstRow="0" w:lastRow="0" w:firstColumn="0" w:lastColumn="0" w:noHBand="0" w:noVBand="0" w:val="0000"/>
      </w:tblPr>
      <w:tblGrid>
        <w:gridCol w:w="7920"/>
      </w:tblGrid>
      <w:tr>
        <w:tc>
          <w:tcPr/>
          <w:bookmarkStart w:id="36" w:name="tbl-lodloq"/>
          <w:p>
            <w:pPr>
              <w:jc w:val="center"/>
            </w:pPr>
            <w:pPr>
              <w:jc w:val="start"/>
              <w:spacing w:before="200"/>
              <w:pStyle w:val="ImageCaption"/>
            </w:pPr>
            <w:r>
              <w:t xml:space="preserve">Table 3: Limits of detection and quantification for the ARG and GSG qPCR assays. Values are transcribed from the historical final submission.</w:t>
            </w:r>
          </w:p>
          <w:tbl>
            <w:tblPr>
              <w:tblStyle w:val="Table"/>
              <w:tblW w:type="pct" w:w="5000"/>
              <w:tblLayout w:type="fixed"/>
              <w:tblLook w:firstRow="1" w:lastRow="0" w:firstColumn="0" w:lastColumn="0" w:noHBand="0" w:noVBand="0" w:val="0020"/>
            </w:tblPr>
            <w:tblGrid>
              <w:gridCol w:w="913"/>
              <w:gridCol w:w="913"/>
              <w:gridCol w:w="913"/>
              <w:gridCol w:w="913"/>
              <w:gridCol w:w="913"/>
              <w:gridCol w:w="913"/>
              <w:gridCol w:w="1218"/>
              <w:gridCol w:w="1218"/>
            </w:tblGrid>
            <w:tr>
              <w:trPr>
                <w:tblHeader w:val="on"/>
              </w:trPr>
              <w:tc>
                <w:tcPr/>
                <w:p>
                  <w:pPr>
                    <w:pStyle w:val="Compact"/>
                    <w:jc w:val="left"/>
                    <w:jc w:val="center"/>
                  </w:pPr>
                  <w:r>
                    <w:t xml:space="preserve">Assay</w:t>
                  </w:r>
                </w:p>
              </w:tc>
              <w:tc>
                <w:tcPr/>
                <w:p>
                  <w:pPr>
                    <w:pStyle w:val="Compact"/>
                    <w:jc w:val="right"/>
                    <w:jc w:val="center"/>
                  </w:pPr>
                  <w:r>
                    <w:t xml:space="preserve">DNA quantity (pg)</w:t>
                  </w:r>
                </w:p>
              </w:tc>
              <w:tc>
                <w:tcPr/>
                <w:p>
                  <w:pPr>
                    <w:pStyle w:val="Compact"/>
                    <w:jc w:val="right"/>
                    <w:jc w:val="center"/>
                  </w:pPr>
                  <m:oMath>
                    <m:sSub>
                      <m:e>
                        <m:r>
                          <m:t>C</m:t>
                        </m:r>
                      </m:e>
                      <m:sub>
                        <m:r>
                          <m:t>T</m:t>
                        </m:r>
                      </m:sub>
                    </m:sSub>
                  </m:oMath>
                </w:p>
              </w:tc>
              <w:tc>
                <w:tcPr/>
                <w:p>
                  <w:pPr>
                    <w:pStyle w:val="Compact"/>
                    <w:jc w:val="right"/>
                    <w:jc w:val="center"/>
                  </w:pPr>
                  <w:r>
                    <w:t xml:space="preserve">Gene copies</w:t>
                  </w:r>
                </w:p>
              </w:tc>
              <w:tc>
                <w:tcPr/>
                <w:p>
                  <w:pPr>
                    <w:pStyle w:val="Compact"/>
                    <w:jc w:val="right"/>
                    <w:jc w:val="center"/>
                  </w:pPr>
                  <w:r>
                    <w:t xml:space="preserve">CV (%)</w:t>
                  </w:r>
                </w:p>
              </w:tc>
              <w:tc>
                <w:tcPr/>
                <w:p>
                  <w:pPr>
                    <w:pStyle w:val="Compact"/>
                    <w:jc w:val="right"/>
                    <w:jc w:val="center"/>
                  </w:pPr>
                  <w:r>
                    <w:t xml:space="preserve">Positive samples (%)</w:t>
                  </w:r>
                </w:p>
              </w:tc>
              <w:tc>
                <w:tcPr/>
                <w:p>
                  <w:pPr>
                    <w:pStyle w:val="Compact"/>
                    <w:jc w:val="center"/>
                    <w:jc w:val="center"/>
                  </w:pPr>
                  <w:r>
                    <w:t xml:space="preserve">Below LOD?</w:t>
                  </w:r>
                </w:p>
              </w:tc>
              <w:tc>
                <w:tcPr/>
                <w:p>
                  <w:pPr>
                    <w:pStyle w:val="Compact"/>
                    <w:jc w:val="center"/>
                    <w:jc w:val="center"/>
                  </w:pPr>
                  <w:r>
                    <w:t xml:space="preserve">Below LOQ?</w:t>
                  </w:r>
                </w:p>
              </w:tc>
            </w:tr>
            <w:tr>
              <w:tc>
                <w:tcPr/>
                <w:p>
                  <w:pPr>
                    <w:pStyle w:val="Compact"/>
                    <w:jc w:val="left"/>
                    <w:jc w:val="center"/>
                  </w:pPr>
                  <w:r>
                    <w:t xml:space="preserve">ARG</w:t>
                  </w:r>
                </w:p>
              </w:tc>
              <w:tc>
                <w:tcPr/>
                <w:p>
                  <w:pPr>
                    <w:pStyle w:val="Compact"/>
                    <w:jc w:val="right"/>
                    <w:jc w:val="center"/>
                  </w:pPr>
                  <w:r>
                    <w:t xml:space="preserve">0.02</w:t>
                  </w:r>
                </w:p>
              </w:tc>
              <w:tc>
                <w:tcPr/>
                <w:p>
                  <w:pPr>
                    <w:pStyle w:val="Compact"/>
                    <w:jc w:val="right"/>
                    <w:jc w:val="center"/>
                  </w:pPr>
                  <w:r>
                    <w:t xml:space="preserve">34.7 +/- 0.63</w:t>
                  </w:r>
                </w:p>
              </w:tc>
              <w:tc>
                <w:tcPr/>
                <w:p>
                  <w:pPr>
                    <w:pStyle w:val="Compact"/>
                    <w:jc w:val="right"/>
                    <w:jc w:val="center"/>
                  </w:pPr>
                  <w:r>
                    <w:t xml:space="preserve">4.34</w:t>
                  </w:r>
                </w:p>
              </w:tc>
              <w:tc>
                <w:tcPr/>
                <w:p>
                  <w:pPr>
                    <w:pStyle w:val="Compact"/>
                    <w:jc w:val="right"/>
                    <w:jc w:val="center"/>
                  </w:pPr>
                  <w:r>
                    <w:t xml:space="preserve">42</w:t>
                  </w:r>
                </w:p>
              </w:tc>
              <w:tc>
                <w:tcPr/>
                <w:p>
                  <w:pPr>
                    <w:pStyle w:val="Compact"/>
                    <w:jc w:val="right"/>
                    <w:jc w:val="center"/>
                  </w:pPr>
                  <w:r>
                    <w:t xml:space="preserve">94</w:t>
                  </w:r>
                </w:p>
              </w:tc>
              <w:tc>
                <w:tcPr/>
                <w:p>
                  <w:pPr>
                    <w:pStyle w:val="Compact"/>
                    <w:jc w:val="center"/>
                    <w:jc w:val="center"/>
                  </w:pPr>
                  <w:r>
                    <w:t xml:space="preserve">No</w:t>
                  </w:r>
                </w:p>
              </w:tc>
              <w:tc>
                <w:tcPr/>
                <w:p>
                  <w:pPr>
                    <w:pStyle w:val="Compact"/>
                    <w:jc w:val="center"/>
                    <w:jc w:val="center"/>
                  </w:pPr>
                  <w:r>
                    <w:t xml:space="preserve">Yes</w:t>
                  </w:r>
                </w:p>
              </w:tc>
            </w:tr>
            <w:tr>
              <w:tc>
                <w:tcPr/>
                <w:p>
                  <w:pPr>
                    <w:pStyle w:val="Compact"/>
                    <w:jc w:val="left"/>
                    <w:jc w:val="center"/>
                  </w:pPr>
                  <w:r>
                    <w:t xml:space="preserve">ARG</w:t>
                  </w:r>
                </w:p>
              </w:tc>
              <w:tc>
                <w:tcPr/>
                <w:p>
                  <w:pPr>
                    <w:pStyle w:val="Compact"/>
                    <w:jc w:val="right"/>
                    <w:jc w:val="center"/>
                  </w:pPr>
                  <w:r>
                    <w:t xml:space="preserve">0.2</w:t>
                  </w:r>
                </w:p>
              </w:tc>
              <w:tc>
                <w:tcPr/>
                <w:p>
                  <w:pPr>
                    <w:pStyle w:val="Compact"/>
                    <w:jc w:val="right"/>
                    <w:jc w:val="center"/>
                  </w:pPr>
                  <w:r>
                    <w:t xml:space="preserve">31.4 +/- 0.32</w:t>
                  </w:r>
                </w:p>
              </w:tc>
              <w:tc>
                <w:tcPr/>
                <w:p>
                  <w:pPr>
                    <w:pStyle w:val="Compact"/>
                    <w:jc w:val="right"/>
                    <w:jc w:val="center"/>
                  </w:pPr>
                  <w:r>
                    <w:t xml:space="preserve">39.5</w:t>
                  </w:r>
                </w:p>
              </w:tc>
              <w:tc>
                <w:tcPr/>
                <w:p>
                  <w:pPr>
                    <w:pStyle w:val="Compact"/>
                    <w:jc w:val="right"/>
                    <w:jc w:val="center"/>
                  </w:pPr>
                  <w:r>
                    <w:t xml:space="preserve">25</w:t>
                  </w:r>
                </w:p>
              </w:tc>
              <w:tc>
                <w:tcPr/>
                <w:p>
                  <w:pPr>
                    <w:pStyle w:val="Compact"/>
                    <w:jc w:val="right"/>
                    <w:jc w:val="center"/>
                  </w:pPr>
                  <w:r>
                    <w:t xml:space="preserve">100</w:t>
                  </w:r>
                </w:p>
              </w:tc>
              <w:tc>
                <w:tcPr/>
                <w:p>
                  <w:pPr>
                    <w:pStyle w:val="Compact"/>
                    <w:jc w:val="center"/>
                    <w:jc w:val="center"/>
                  </w:pPr>
                  <w:r>
                    <w:t xml:space="preserve">No</w:t>
                  </w:r>
                </w:p>
              </w:tc>
              <w:tc>
                <w:tcPr/>
                <w:p>
                  <w:pPr>
                    <w:pStyle w:val="Compact"/>
                    <w:jc w:val="center"/>
                    <w:jc w:val="center"/>
                  </w:pPr>
                  <w:r>
                    <w:t xml:space="preserve">No</w:t>
                  </w:r>
                </w:p>
              </w:tc>
            </w:tr>
            <w:tr>
              <w:tc>
                <w:tcPr/>
                <w:p>
                  <w:pPr>
                    <w:pStyle w:val="Compact"/>
                    <w:jc w:val="left"/>
                    <w:jc w:val="center"/>
                  </w:pPr>
                  <w:r>
                    <w:t xml:space="preserve">ARG</w:t>
                  </w:r>
                </w:p>
              </w:tc>
              <w:tc>
                <w:tcPr/>
                <w:p>
                  <w:pPr>
                    <w:pStyle w:val="Compact"/>
                    <w:jc w:val="right"/>
                    <w:jc w:val="center"/>
                  </w:pPr>
                  <w:r>
                    <w:t xml:space="preserve">2</w:t>
                  </w:r>
                </w:p>
              </w:tc>
              <w:tc>
                <w:tcPr/>
                <w:p>
                  <w:pPr>
                    <w:pStyle w:val="Compact"/>
                    <w:jc w:val="right"/>
                    <w:jc w:val="center"/>
                  </w:pPr>
                  <w:r>
                    <w:t xml:space="preserve">28.0 +/- 0.18</w:t>
                  </w:r>
                </w:p>
              </w:tc>
              <w:tc>
                <w:tcPr/>
                <w:p>
                  <w:pPr>
                    <w:pStyle w:val="Compact"/>
                    <w:jc w:val="right"/>
                    <w:jc w:val="center"/>
                  </w:pPr>
                  <w:r>
                    <w:t xml:space="preserve">380</w:t>
                  </w:r>
                </w:p>
              </w:tc>
              <w:tc>
                <w:tcPr/>
                <w:p>
                  <w:pPr>
                    <w:pStyle w:val="Compact"/>
                    <w:jc w:val="right"/>
                    <w:jc w:val="center"/>
                  </w:pPr>
                  <w:r>
                    <w:t xml:space="preserve">13</w:t>
                  </w:r>
                </w:p>
              </w:tc>
              <w:tc>
                <w:tcPr/>
                <w:p>
                  <w:pPr>
                    <w:pStyle w:val="Compact"/>
                    <w:jc w:val="right"/>
                    <w:jc w:val="center"/>
                  </w:pPr>
                  <w:r>
                    <w:t xml:space="preserve">100</w:t>
                  </w:r>
                </w:p>
              </w:tc>
              <w:tc>
                <w:tcPr/>
                <w:p>
                  <w:pPr>
                    <w:pStyle w:val="Compact"/>
                    <w:jc w:val="center"/>
                    <w:jc w:val="center"/>
                  </w:pPr>
                  <w:r>
                    <w:t xml:space="preserve">No</w:t>
                  </w:r>
                </w:p>
              </w:tc>
              <w:tc>
                <w:tcPr/>
                <w:p>
                  <w:pPr>
                    <w:pStyle w:val="Compact"/>
                    <w:jc w:val="center"/>
                    <w:jc w:val="center"/>
                  </w:pPr>
                  <w:r>
                    <w:t xml:space="preserve">No</w:t>
                  </w:r>
                </w:p>
              </w:tc>
            </w:tr>
            <w:tr>
              <w:tc>
                <w:tcPr/>
                <w:p>
                  <w:pPr>
                    <w:pStyle w:val="Compact"/>
                    <w:jc w:val="left"/>
                    <w:jc w:val="center"/>
                  </w:pPr>
                  <w:r>
                    <w:t xml:space="preserve">ARG</w:t>
                  </w:r>
                </w:p>
              </w:tc>
              <w:tc>
                <w:tcPr/>
                <w:p>
                  <w:pPr>
                    <w:pStyle w:val="Compact"/>
                    <w:jc w:val="right"/>
                    <w:jc w:val="center"/>
                  </w:pPr>
                  <w:r>
                    <w:t xml:space="preserve">20</w:t>
                  </w:r>
                </w:p>
              </w:tc>
              <w:tc>
                <w:tcPr/>
                <w:p>
                  <w:pPr>
                    <w:pStyle w:val="Compact"/>
                    <w:jc w:val="right"/>
                    <w:jc w:val="center"/>
                  </w:pPr>
                  <w:r>
                    <w:t xml:space="preserve">24.4 +/- 0.10</w:t>
                  </w:r>
                </w:p>
              </w:tc>
              <w:tc>
                <w:tcPr/>
                <w:p>
                  <w:pPr>
                    <w:pStyle w:val="Compact"/>
                    <w:jc w:val="right"/>
                    <w:jc w:val="center"/>
                  </w:pPr>
                  <w:r>
                    <w:t xml:space="preserve">4.65e3</w:t>
                  </w:r>
                </w:p>
              </w:tc>
              <w:tc>
                <w:tcPr/>
                <w:p>
                  <w:pPr>
                    <w:pStyle w:val="Compact"/>
                    <w:jc w:val="right"/>
                    <w:jc w:val="center"/>
                  </w:pPr>
                  <w:r>
                    <w:t xml:space="preserve">7</w:t>
                  </w:r>
                </w:p>
              </w:tc>
              <w:tc>
                <w:tcPr/>
                <w:p>
                  <w:pPr>
                    <w:pStyle w:val="Compact"/>
                    <w:jc w:val="right"/>
                    <w:jc w:val="center"/>
                  </w:pPr>
                  <w:r>
                    <w:t xml:space="preserve">100</w:t>
                  </w:r>
                </w:p>
              </w:tc>
              <w:tc>
                <w:tcPr/>
                <w:p>
                  <w:pPr>
                    <w:pStyle w:val="Compact"/>
                    <w:jc w:val="center"/>
                    <w:jc w:val="center"/>
                  </w:pPr>
                  <w:r>
                    <w:t xml:space="preserve">No</w:t>
                  </w:r>
                </w:p>
              </w:tc>
              <w:tc>
                <w:tcPr/>
                <w:p>
                  <w:pPr>
                    <w:pStyle w:val="Compact"/>
                    <w:jc w:val="center"/>
                    <w:jc w:val="center"/>
                  </w:pPr>
                  <w:r>
                    <w:t xml:space="preserve">No</w:t>
                  </w:r>
                </w:p>
              </w:tc>
            </w:tr>
            <w:tr>
              <w:tc>
                <w:tcPr/>
                <w:p>
                  <w:pPr>
                    <w:pStyle w:val="Compact"/>
                    <w:jc w:val="left"/>
                    <w:jc w:val="center"/>
                  </w:pPr>
                  <w:r>
                    <w:t xml:space="preserve">ARG</w:t>
                  </w:r>
                </w:p>
              </w:tc>
              <w:tc>
                <w:tcPr/>
                <w:p>
                  <w:pPr>
                    <w:pStyle w:val="Compact"/>
                    <w:jc w:val="right"/>
                    <w:jc w:val="center"/>
                  </w:pPr>
                  <w:r>
                    <w:t xml:space="preserve">200</w:t>
                  </w:r>
                </w:p>
              </w:tc>
              <w:tc>
                <w:tcPr/>
                <w:p>
                  <w:pPr>
                    <w:pStyle w:val="Compact"/>
                    <w:jc w:val="right"/>
                    <w:jc w:val="center"/>
                  </w:pPr>
                  <w:r>
                    <w:t xml:space="preserve">21.6 +/- 0.15</w:t>
                  </w:r>
                </w:p>
              </w:tc>
              <w:tc>
                <w:tcPr/>
                <w:p>
                  <w:pPr>
                    <w:pStyle w:val="Compact"/>
                    <w:jc w:val="right"/>
                    <w:jc w:val="center"/>
                  </w:pPr>
                  <w:r>
                    <w:t xml:space="preserve">3.28e4</w:t>
                  </w:r>
                </w:p>
              </w:tc>
              <w:tc>
                <w:tcPr/>
                <w:p>
                  <w:pPr>
                    <w:pStyle w:val="Compact"/>
                    <w:jc w:val="right"/>
                    <w:jc w:val="center"/>
                  </w:pPr>
                  <w:r>
                    <w:t xml:space="preserve">11</w:t>
                  </w:r>
                </w:p>
              </w:tc>
              <w:tc>
                <w:tcPr/>
                <w:p>
                  <w:pPr>
                    <w:pStyle w:val="Compact"/>
                    <w:jc w:val="right"/>
                    <w:jc w:val="center"/>
                  </w:pPr>
                  <w:r>
                    <w:t xml:space="preserve">100</w:t>
                  </w:r>
                </w:p>
              </w:tc>
              <w:tc>
                <w:tcPr/>
                <w:p>
                  <w:pPr>
                    <w:pStyle w:val="Compact"/>
                    <w:jc w:val="center"/>
                    <w:jc w:val="center"/>
                  </w:pPr>
                  <w:r>
                    <w:t xml:space="preserve">No</w:t>
                  </w:r>
                </w:p>
              </w:tc>
              <w:tc>
                <w:tcPr/>
                <w:p>
                  <w:pPr>
                    <w:pStyle w:val="Compact"/>
                    <w:jc w:val="center"/>
                    <w:jc w:val="center"/>
                  </w:pPr>
                  <w:r>
                    <w:t xml:space="preserve">No</w:t>
                  </w:r>
                </w:p>
              </w:tc>
            </w:tr>
            <w:tr>
              <w:tc>
                <w:tcPr/>
                <w:p>
                  <w:pPr>
                    <w:pStyle w:val="Compact"/>
                    <w:jc w:val="left"/>
                    <w:jc w:val="center"/>
                  </w:pPr>
                  <w:r>
                    <w:t xml:space="preserve">ARG</w:t>
                  </w:r>
                </w:p>
              </w:tc>
              <w:tc>
                <w:tcPr/>
                <w:p>
                  <w:pPr>
                    <w:pStyle w:val="Compact"/>
                    <w:jc w:val="right"/>
                    <w:jc w:val="center"/>
                  </w:pPr>
                  <w:r>
                    <w:t xml:space="preserve">2,000</w:t>
                  </w:r>
                </w:p>
              </w:tc>
              <w:tc>
                <w:tcPr/>
                <w:p>
                  <w:pPr>
                    <w:pStyle w:val="Compact"/>
                    <w:jc w:val="right"/>
                    <w:jc w:val="center"/>
                  </w:pPr>
                  <w:r>
                    <w:t xml:space="preserve">18.0 +/- 0.14</w:t>
                  </w:r>
                </w:p>
              </w:tc>
              <w:tc>
                <w:tcPr/>
                <w:p>
                  <w:pPr>
                    <w:pStyle w:val="Compact"/>
                    <w:jc w:val="right"/>
                    <w:jc w:val="center"/>
                  </w:pPr>
                  <w:r>
                    <w:t xml:space="preserve">3.93e5</w:t>
                  </w:r>
                </w:p>
              </w:tc>
              <w:tc>
                <w:tcPr/>
                <w:p>
                  <w:pPr>
                    <w:pStyle w:val="Compact"/>
                    <w:jc w:val="right"/>
                    <w:jc w:val="center"/>
                  </w:pPr>
                  <w:r>
                    <w:t xml:space="preserve">10</w:t>
                  </w:r>
                </w:p>
              </w:tc>
              <w:tc>
                <w:tcPr/>
                <w:p>
                  <w:pPr>
                    <w:pStyle w:val="Compact"/>
                    <w:jc w:val="right"/>
                    <w:jc w:val="center"/>
                  </w:pPr>
                  <w:r>
                    <w:t xml:space="preserve">100</w:t>
                  </w:r>
                </w:p>
              </w:tc>
              <w:tc>
                <w:tcPr/>
                <w:p>
                  <w:pPr>
                    <w:pStyle w:val="Compact"/>
                    <w:jc w:val="center"/>
                    <w:jc w:val="center"/>
                  </w:pPr>
                  <w:r>
                    <w:t xml:space="preserve">No</w:t>
                  </w:r>
                </w:p>
              </w:tc>
              <w:tc>
                <w:tcPr/>
                <w:p>
                  <w:pPr>
                    <w:pStyle w:val="Compact"/>
                    <w:jc w:val="center"/>
                    <w:jc w:val="center"/>
                  </w:pPr>
                  <w:r>
                    <w:t xml:space="preserve">No</w:t>
                  </w:r>
                </w:p>
              </w:tc>
            </w:tr>
            <w:tr>
              <w:tc>
                <w:tcPr/>
                <w:p>
                  <w:pPr>
                    <w:pStyle w:val="Compact"/>
                    <w:jc w:val="left"/>
                    <w:jc w:val="center"/>
                  </w:pPr>
                  <w:r>
                    <w:t xml:space="preserve">ARG</w:t>
                  </w:r>
                </w:p>
              </w:tc>
              <w:tc>
                <w:tcPr/>
                <w:p>
                  <w:pPr>
                    <w:pStyle w:val="Compact"/>
                    <w:jc w:val="right"/>
                    <w:jc w:val="center"/>
                  </w:pPr>
                  <w:r>
                    <w:t xml:space="preserve">20,000</w:t>
                  </w:r>
                </w:p>
              </w:tc>
              <w:tc>
                <w:tcPr/>
                <w:p>
                  <w:pPr>
                    <w:pStyle w:val="Compact"/>
                    <w:jc w:val="right"/>
                    <w:jc w:val="center"/>
                  </w:pPr>
                  <w:r>
                    <w:t xml:space="preserve">15.0 +/- 0.09</w:t>
                  </w:r>
                </w:p>
              </w:tc>
              <w:tc>
                <w:tcPr/>
                <w:p>
                  <w:pPr>
                    <w:pStyle w:val="Compact"/>
                    <w:jc w:val="right"/>
                    <w:jc w:val="center"/>
                  </w:pPr>
                  <w:r>
                    <w:t xml:space="preserve">3.15e6</w:t>
                  </w:r>
                </w:p>
              </w:tc>
              <w:tc>
                <w:tcPr/>
                <w:p>
                  <w:pPr>
                    <w:pStyle w:val="Compact"/>
                    <w:jc w:val="right"/>
                    <w:jc w:val="center"/>
                  </w:pPr>
                  <w:r>
                    <w:t xml:space="preserve">6</w:t>
                  </w:r>
                </w:p>
              </w:tc>
              <w:tc>
                <w:tcPr/>
                <w:p>
                  <w:pPr>
                    <w:pStyle w:val="Compact"/>
                    <w:jc w:val="right"/>
                    <w:jc w:val="center"/>
                  </w:pPr>
                  <w:r>
                    <w:t xml:space="preserve">100</w:t>
                  </w:r>
                </w:p>
              </w:tc>
              <w:tc>
                <w:tcPr/>
                <w:p>
                  <w:pPr>
                    <w:pStyle w:val="Compact"/>
                    <w:jc w:val="center"/>
                    <w:jc w:val="center"/>
                  </w:pPr>
                  <w:r>
                    <w:t xml:space="preserve">No</w:t>
                  </w:r>
                </w:p>
              </w:tc>
              <w:tc>
                <w:tcPr/>
                <w:p>
                  <w:pPr>
                    <w:pStyle w:val="Compact"/>
                    <w:jc w:val="center"/>
                    <w:jc w:val="center"/>
                  </w:pPr>
                  <w:r>
                    <w:t xml:space="preserve">No</w:t>
                  </w:r>
                </w:p>
              </w:tc>
            </w:tr>
            <w:tr>
              <w:tc>
                <w:tcPr/>
                <w:p>
                  <w:pPr>
                    <w:pStyle w:val="Compact"/>
                    <w:jc w:val="left"/>
                    <w:jc w:val="center"/>
                  </w:pPr>
                  <w:r>
                    <w:t xml:space="preserve">GSG</w:t>
                  </w:r>
                </w:p>
              </w:tc>
              <w:tc>
                <w:tcPr/>
                <w:p>
                  <w:pPr>
                    <w:pStyle w:val="Compact"/>
                    <w:jc w:val="right"/>
                    <w:jc w:val="center"/>
                  </w:pPr>
                  <w:r>
                    <w:t xml:space="preserve">0.02</w:t>
                  </w:r>
                </w:p>
              </w:tc>
              <w:tc>
                <w:tcPr/>
                <w:p>
                  <w:pPr>
                    <w:pStyle w:val="Compact"/>
                    <w:jc w:val="right"/>
                    <w:jc w:val="center"/>
                  </w:pPr>
                  <w:r>
                    <w:t xml:space="preserve">37.7 +/- 0.37</w:t>
                  </w:r>
                </w:p>
              </w:tc>
              <w:tc>
                <w:tcPr/>
                <w:p>
                  <w:pPr>
                    <w:pStyle w:val="Compact"/>
                    <w:jc w:val="right"/>
                    <w:jc w:val="center"/>
                  </w:pPr>
                  <w:r>
                    <w:t xml:space="preserve">4.35</w:t>
                  </w:r>
                </w:p>
              </w:tc>
              <w:tc>
                <w:tcPr/>
                <w:p>
                  <w:pPr>
                    <w:pStyle w:val="Compact"/>
                    <w:jc w:val="right"/>
                    <w:jc w:val="center"/>
                  </w:pPr>
                  <w:r>
                    <w:t xml:space="preserve">28</w:t>
                  </w:r>
                </w:p>
              </w:tc>
              <w:tc>
                <w:tcPr/>
                <w:p>
                  <w:pPr>
                    <w:pStyle w:val="Compact"/>
                    <w:jc w:val="right"/>
                    <w:jc w:val="center"/>
                  </w:pPr>
                  <w:r>
                    <w:t xml:space="preserve">96</w:t>
                  </w:r>
                </w:p>
              </w:tc>
              <w:tc>
                <w:tcPr/>
                <w:p>
                  <w:pPr>
                    <w:pStyle w:val="Compact"/>
                    <w:jc w:val="center"/>
                    <w:jc w:val="center"/>
                  </w:pPr>
                  <w:r>
                    <w:t xml:space="preserve">No</w:t>
                  </w:r>
                </w:p>
              </w:tc>
              <w:tc>
                <w:tcPr/>
                <w:p>
                  <w:pPr>
                    <w:pStyle w:val="Compact"/>
                    <w:jc w:val="center"/>
                    <w:jc w:val="center"/>
                  </w:pPr>
                  <w:r>
                    <w:t xml:space="preserve">Yes</w:t>
                  </w:r>
                </w:p>
              </w:tc>
            </w:tr>
            <w:tr>
              <w:tc>
                <w:tcPr/>
                <w:p>
                  <w:pPr>
                    <w:pStyle w:val="Compact"/>
                    <w:jc w:val="left"/>
                    <w:jc w:val="center"/>
                  </w:pPr>
                  <w:r>
                    <w:t xml:space="preserve">GSG</w:t>
                  </w:r>
                </w:p>
              </w:tc>
              <w:tc>
                <w:tcPr/>
                <w:p>
                  <w:pPr>
                    <w:pStyle w:val="Compact"/>
                    <w:jc w:val="right"/>
                    <w:jc w:val="center"/>
                  </w:pPr>
                  <w:r>
                    <w:t xml:space="preserve">0.2</w:t>
                  </w:r>
                </w:p>
              </w:tc>
              <w:tc>
                <w:tcPr/>
                <w:p>
                  <w:pPr>
                    <w:pStyle w:val="Compact"/>
                    <w:jc w:val="right"/>
                    <w:jc w:val="center"/>
                  </w:pPr>
                  <w:r>
                    <w:t xml:space="preserve">34.6 +/- 0.22</w:t>
                  </w:r>
                </w:p>
              </w:tc>
              <w:tc>
                <w:tcPr/>
                <w:p>
                  <w:pPr>
                    <w:pStyle w:val="Compact"/>
                    <w:jc w:val="right"/>
                    <w:jc w:val="center"/>
                  </w:pPr>
                  <w:r>
                    <w:t xml:space="preserve">37.9</w:t>
                  </w:r>
                </w:p>
              </w:tc>
              <w:tc>
                <w:tcPr/>
                <w:p>
                  <w:pPr>
                    <w:pStyle w:val="Compact"/>
                    <w:jc w:val="right"/>
                    <w:jc w:val="center"/>
                  </w:pPr>
                  <w:r>
                    <w:t xml:space="preserve">17</w:t>
                  </w:r>
                </w:p>
              </w:tc>
              <w:tc>
                <w:tcPr/>
                <w:p>
                  <w:pPr>
                    <w:pStyle w:val="Compact"/>
                    <w:jc w:val="right"/>
                    <w:jc w:val="center"/>
                  </w:pPr>
                  <w:r>
                    <w:t xml:space="preserve">100</w:t>
                  </w:r>
                </w:p>
              </w:tc>
              <w:tc>
                <w:tcPr/>
                <w:p>
                  <w:pPr>
                    <w:pStyle w:val="Compact"/>
                    <w:jc w:val="center"/>
                    <w:jc w:val="center"/>
                  </w:pPr>
                  <w:r>
                    <w:t xml:space="preserve">No</w:t>
                  </w:r>
                </w:p>
              </w:tc>
              <w:tc>
                <w:tcPr/>
                <w:p>
                  <w:pPr>
                    <w:pStyle w:val="Compact"/>
                    <w:jc w:val="center"/>
                    <w:jc w:val="center"/>
                  </w:pPr>
                  <w:r>
                    <w:t xml:space="preserve">No</w:t>
                  </w:r>
                </w:p>
              </w:tc>
            </w:tr>
            <w:tr>
              <w:tc>
                <w:tcPr/>
                <w:p>
                  <w:pPr>
                    <w:pStyle w:val="Compact"/>
                    <w:jc w:val="left"/>
                    <w:jc w:val="center"/>
                  </w:pPr>
                  <w:r>
                    <w:t xml:space="preserve">GSG</w:t>
                  </w:r>
                </w:p>
              </w:tc>
              <w:tc>
                <w:tcPr/>
                <w:p>
                  <w:pPr>
                    <w:pStyle w:val="Compact"/>
                    <w:jc w:val="right"/>
                    <w:jc w:val="center"/>
                  </w:pPr>
                  <w:r>
                    <w:t xml:space="preserve">2</w:t>
                  </w:r>
                </w:p>
              </w:tc>
              <w:tc>
                <w:tcPr/>
                <w:p>
                  <w:pPr>
                    <w:pStyle w:val="Compact"/>
                    <w:jc w:val="right"/>
                    <w:jc w:val="center"/>
                  </w:pPr>
                  <w:r>
                    <w:t xml:space="preserve">31.2 +/- 0.16</w:t>
                  </w:r>
                </w:p>
              </w:tc>
              <w:tc>
                <w:tcPr/>
                <w:p>
                  <w:pPr>
                    <w:pStyle w:val="Compact"/>
                    <w:jc w:val="right"/>
                    <w:jc w:val="center"/>
                  </w:pPr>
                  <w:r>
                    <w:t xml:space="preserve">410</w:t>
                  </w:r>
                </w:p>
              </w:tc>
              <w:tc>
                <w:tcPr/>
                <w:p>
                  <w:pPr>
                    <w:pStyle w:val="Compact"/>
                    <w:jc w:val="right"/>
                    <w:jc w:val="center"/>
                  </w:pPr>
                  <w:r>
                    <w:t xml:space="preserve">11</w:t>
                  </w:r>
                </w:p>
              </w:tc>
              <w:tc>
                <w:tcPr/>
                <w:p>
                  <w:pPr>
                    <w:pStyle w:val="Compact"/>
                    <w:jc w:val="right"/>
                    <w:jc w:val="center"/>
                  </w:pPr>
                  <w:r>
                    <w:t xml:space="preserve">100</w:t>
                  </w:r>
                </w:p>
              </w:tc>
              <w:tc>
                <w:tcPr/>
                <w:p>
                  <w:pPr>
                    <w:pStyle w:val="Compact"/>
                    <w:jc w:val="center"/>
                    <w:jc w:val="center"/>
                  </w:pPr>
                  <w:r>
                    <w:t xml:space="preserve">No</w:t>
                  </w:r>
                </w:p>
              </w:tc>
              <w:tc>
                <w:tcPr/>
                <w:p>
                  <w:pPr>
                    <w:pStyle w:val="Compact"/>
                    <w:jc w:val="center"/>
                    <w:jc w:val="center"/>
                  </w:pPr>
                  <w:r>
                    <w:t xml:space="preserve">No</w:t>
                  </w:r>
                </w:p>
              </w:tc>
            </w:tr>
            <w:tr>
              <w:tc>
                <w:tcPr/>
                <w:p>
                  <w:pPr>
                    <w:pStyle w:val="Compact"/>
                    <w:jc w:val="left"/>
                    <w:jc w:val="center"/>
                  </w:pPr>
                  <w:r>
                    <w:t xml:space="preserve">GSG</w:t>
                  </w:r>
                </w:p>
              </w:tc>
              <w:tc>
                <w:tcPr/>
                <w:p>
                  <w:pPr>
                    <w:pStyle w:val="Compact"/>
                    <w:jc w:val="right"/>
                    <w:jc w:val="center"/>
                  </w:pPr>
                  <w:r>
                    <w:t xml:space="preserve">20</w:t>
                  </w:r>
                </w:p>
              </w:tc>
              <w:tc>
                <w:tcPr/>
                <w:p>
                  <w:pPr>
                    <w:pStyle w:val="Compact"/>
                    <w:jc w:val="right"/>
                    <w:jc w:val="center"/>
                  </w:pPr>
                  <w:r>
                    <w:t xml:space="preserve">27.9 +/- 0.05</w:t>
                  </w:r>
                </w:p>
              </w:tc>
              <w:tc>
                <w:tcPr/>
                <w:p>
                  <w:pPr>
                    <w:pStyle w:val="Compact"/>
                    <w:jc w:val="right"/>
                    <w:jc w:val="center"/>
                  </w:pPr>
                  <w:r>
                    <w:t xml:space="preserve">4.08e3</w:t>
                  </w:r>
                </w:p>
              </w:tc>
              <w:tc>
                <w:tcPr/>
                <w:p>
                  <w:pPr>
                    <w:pStyle w:val="Compact"/>
                    <w:jc w:val="right"/>
                    <w:jc w:val="center"/>
                  </w:pPr>
                  <w:r>
                    <w:t xml:space="preserve">3</w:t>
                  </w:r>
                </w:p>
              </w:tc>
              <w:tc>
                <w:tcPr/>
                <w:p>
                  <w:pPr>
                    <w:pStyle w:val="Compact"/>
                    <w:jc w:val="right"/>
                    <w:jc w:val="center"/>
                  </w:pPr>
                  <w:r>
                    <w:t xml:space="preserve">100</w:t>
                  </w:r>
                </w:p>
              </w:tc>
              <w:tc>
                <w:tcPr/>
                <w:p>
                  <w:pPr>
                    <w:pStyle w:val="Compact"/>
                    <w:jc w:val="center"/>
                    <w:jc w:val="center"/>
                  </w:pPr>
                  <w:r>
                    <w:t xml:space="preserve">No</w:t>
                  </w:r>
                </w:p>
              </w:tc>
              <w:tc>
                <w:tcPr/>
                <w:p>
                  <w:pPr>
                    <w:pStyle w:val="Compact"/>
                    <w:jc w:val="center"/>
                    <w:jc w:val="center"/>
                  </w:pPr>
                  <w:r>
                    <w:t xml:space="preserve">No</w:t>
                  </w:r>
                </w:p>
              </w:tc>
            </w:tr>
            <w:tr>
              <w:tc>
                <w:tcPr/>
                <w:p>
                  <w:pPr>
                    <w:pStyle w:val="Compact"/>
                    <w:jc w:val="left"/>
                    <w:jc w:val="center"/>
                  </w:pPr>
                  <w:r>
                    <w:t xml:space="preserve">GSG</w:t>
                  </w:r>
                </w:p>
              </w:tc>
              <w:tc>
                <w:tcPr/>
                <w:p>
                  <w:pPr>
                    <w:pStyle w:val="Compact"/>
                    <w:jc w:val="right"/>
                    <w:jc w:val="center"/>
                  </w:pPr>
                  <w:r>
                    <w:t xml:space="preserve">200</w:t>
                  </w:r>
                </w:p>
              </w:tc>
              <w:tc>
                <w:tcPr/>
                <w:p>
                  <w:pPr>
                    <w:pStyle w:val="Compact"/>
                    <w:jc w:val="right"/>
                    <w:jc w:val="center"/>
                  </w:pPr>
                  <w:r>
                    <w:t xml:space="preserve">24.7 +/- 0.08</w:t>
                  </w:r>
                </w:p>
              </w:tc>
              <w:tc>
                <w:tcPr/>
                <w:p>
                  <w:pPr>
                    <w:pStyle w:val="Compact"/>
                    <w:jc w:val="right"/>
                    <w:jc w:val="center"/>
                  </w:pPr>
                  <w:r>
                    <w:t xml:space="preserve">3.83e4</w:t>
                  </w:r>
                </w:p>
              </w:tc>
              <w:tc>
                <w:tcPr/>
                <w:p>
                  <w:pPr>
                    <w:pStyle w:val="Compact"/>
                    <w:jc w:val="right"/>
                    <w:jc w:val="center"/>
                  </w:pPr>
                  <w:r>
                    <w:t xml:space="preserve">6</w:t>
                  </w:r>
                </w:p>
              </w:tc>
              <w:tc>
                <w:tcPr/>
                <w:p>
                  <w:pPr>
                    <w:pStyle w:val="Compact"/>
                    <w:jc w:val="right"/>
                    <w:jc w:val="center"/>
                  </w:pPr>
                  <w:r>
                    <w:t xml:space="preserve">100</w:t>
                  </w:r>
                </w:p>
              </w:tc>
              <w:tc>
                <w:tcPr/>
                <w:p>
                  <w:pPr>
                    <w:pStyle w:val="Compact"/>
                    <w:jc w:val="center"/>
                    <w:jc w:val="center"/>
                  </w:pPr>
                  <w:r>
                    <w:t xml:space="preserve">No</w:t>
                  </w:r>
                </w:p>
              </w:tc>
              <w:tc>
                <w:tcPr/>
                <w:p>
                  <w:pPr>
                    <w:pStyle w:val="Compact"/>
                    <w:jc w:val="center"/>
                    <w:jc w:val="center"/>
                  </w:pPr>
                  <w:r>
                    <w:t xml:space="preserve">No</w:t>
                  </w:r>
                </w:p>
              </w:tc>
            </w:tr>
            <w:tr>
              <w:tc>
                <w:tcPr/>
                <w:p>
                  <w:pPr>
                    <w:pStyle w:val="Compact"/>
                    <w:jc w:val="left"/>
                    <w:jc w:val="center"/>
                  </w:pPr>
                  <w:r>
                    <w:t xml:space="preserve">GSG</w:t>
                  </w:r>
                </w:p>
              </w:tc>
              <w:tc>
                <w:tcPr/>
                <w:p>
                  <w:pPr>
                    <w:pStyle w:val="Compact"/>
                    <w:jc w:val="right"/>
                    <w:jc w:val="center"/>
                  </w:pPr>
                  <w:r>
                    <w:t xml:space="preserve">2,000</w:t>
                  </w:r>
                </w:p>
              </w:tc>
              <w:tc>
                <w:tcPr/>
                <w:p>
                  <w:pPr>
                    <w:pStyle w:val="Compact"/>
                    <w:jc w:val="right"/>
                    <w:jc w:val="center"/>
                  </w:pPr>
                  <w:r>
                    <w:t xml:space="preserve">21.2 +/- 0.10</w:t>
                  </w:r>
                </w:p>
              </w:tc>
              <w:tc>
                <w:tcPr/>
                <w:p>
                  <w:pPr>
                    <w:pStyle w:val="Compact"/>
                    <w:jc w:val="right"/>
                    <w:jc w:val="center"/>
                  </w:pPr>
                  <w:r>
                    <w:t xml:space="preserve">4.51e5</w:t>
                  </w:r>
                </w:p>
              </w:tc>
              <w:tc>
                <w:tcPr/>
                <w:p>
                  <w:pPr>
                    <w:pStyle w:val="Compact"/>
                    <w:jc w:val="right"/>
                    <w:jc w:val="center"/>
                  </w:pPr>
                  <w:r>
                    <w:t xml:space="preserve">7</w:t>
                  </w:r>
                </w:p>
              </w:tc>
              <w:tc>
                <w:tcPr/>
                <w:p>
                  <w:pPr>
                    <w:pStyle w:val="Compact"/>
                    <w:jc w:val="right"/>
                    <w:jc w:val="center"/>
                  </w:pPr>
                  <w:r>
                    <w:t xml:space="preserve">100</w:t>
                  </w:r>
                </w:p>
              </w:tc>
              <w:tc>
                <w:tcPr/>
                <w:p>
                  <w:pPr>
                    <w:pStyle w:val="Compact"/>
                    <w:jc w:val="center"/>
                    <w:jc w:val="center"/>
                  </w:pPr>
                  <w:r>
                    <w:t xml:space="preserve">No</w:t>
                  </w:r>
                </w:p>
              </w:tc>
              <w:tc>
                <w:tcPr/>
                <w:p>
                  <w:pPr>
                    <w:pStyle w:val="Compact"/>
                    <w:jc w:val="center"/>
                    <w:jc w:val="center"/>
                  </w:pPr>
                  <w:r>
                    <w:t xml:space="preserve">No</w:t>
                  </w:r>
                </w:p>
              </w:tc>
            </w:tr>
            <w:tr>
              <w:tc>
                <w:tcPr/>
                <w:p>
                  <w:pPr>
                    <w:pStyle w:val="Compact"/>
                    <w:jc w:val="left"/>
                    <w:jc w:val="center"/>
                  </w:pPr>
                  <w:r>
                    <w:t xml:space="preserve">GSG</w:t>
                  </w:r>
                </w:p>
              </w:tc>
              <w:tc>
                <w:tcPr/>
                <w:p>
                  <w:pPr>
                    <w:pStyle w:val="Compact"/>
                    <w:jc w:val="right"/>
                    <w:jc w:val="center"/>
                  </w:pPr>
                  <w:r>
                    <w:t xml:space="preserve">20,000</w:t>
                  </w:r>
                </w:p>
              </w:tc>
              <w:tc>
                <w:tcPr/>
                <w:p>
                  <w:pPr>
                    <w:pStyle w:val="Compact"/>
                    <w:jc w:val="right"/>
                    <w:jc w:val="center"/>
                  </w:pPr>
                  <w:r>
                    <w:t xml:space="preserve">18.3 +/- 0.05</w:t>
                  </w:r>
                </w:p>
              </w:tc>
              <w:tc>
                <w:tcPr/>
                <w:p>
                  <w:pPr>
                    <w:pStyle w:val="Compact"/>
                    <w:jc w:val="right"/>
                    <w:jc w:val="center"/>
                  </w:pPr>
                  <w:r>
                    <w:t xml:space="preserve">3.51e6</w:t>
                  </w:r>
                </w:p>
              </w:tc>
              <w:tc>
                <w:tcPr/>
                <w:p>
                  <w:pPr>
                    <w:pStyle w:val="Compact"/>
                    <w:jc w:val="right"/>
                    <w:jc w:val="center"/>
                  </w:pPr>
                  <w:r>
                    <w:t xml:space="preserve">4</w:t>
                  </w:r>
                </w:p>
              </w:tc>
              <w:tc>
                <w:tcPr/>
                <w:p>
                  <w:pPr>
                    <w:pStyle w:val="Compact"/>
                    <w:jc w:val="right"/>
                    <w:jc w:val="center"/>
                  </w:pPr>
                  <w:r>
                    <w:t xml:space="preserve">100</w:t>
                  </w:r>
                </w:p>
              </w:tc>
              <w:tc>
                <w:tcPr/>
                <w:p>
                  <w:pPr>
                    <w:pStyle w:val="Compact"/>
                    <w:jc w:val="center"/>
                    <w:jc w:val="center"/>
                  </w:pPr>
                  <w:r>
                    <w:t xml:space="preserve">No</w:t>
                  </w:r>
                </w:p>
              </w:tc>
              <w:tc>
                <w:tcPr/>
                <w:p>
                  <w:pPr>
                    <w:pStyle w:val="Compact"/>
                    <w:jc w:val="center"/>
                    <w:jc w:val="center"/>
                  </w:pPr>
                  <w:r>
                    <w:t xml:space="preserve">No</w:t>
                  </w:r>
                </w:p>
              </w:tc>
            </w:tr>
          </w:tbl>
          <w:bookmarkEnd w:id="36"/>
          <w:p/>
        </w:tc>
      </w:tr>
    </w:tbl>
    <w:bookmarkEnd w:id="37"/>
    <w:bookmarkStart w:id="42" w:name="resdiss:standard"/>
    <w:p>
      <w:pPr>
        <w:pStyle w:val="Heading2"/>
      </w:pPr>
      <w:r>
        <w:t xml:space="preserve">Standard curves and linearity for the quantification of</w:t>
      </w:r>
      <w:r>
        <w:t xml:space="preserve"> </w:t>
      </w:r>
      <w:r>
        <w:rPr>
          <w:i/>
          <w:iCs/>
        </w:rPr>
        <w:t xml:space="preserve">Anabaena</w:t>
      </w:r>
      <w:r>
        <w:t xml:space="preserve"> </w:t>
      </w:r>
      <w:r>
        <w:t xml:space="preserve">sp. and geosmin using qPCR</w:t>
      </w:r>
    </w:p>
    <w:p>
      <w:pPr>
        <w:pStyle w:val="BodyText"/>
      </w:pPr>
      <w:r>
        <w:t xml:space="preserve">According to LOQ of both qPCR assays, the standard curves were constructed with 10 fold serial dilution of extracted genomic DNA from the AWQC-ANA318 strain and FADC-0001 strain (data not shown), respectively (</w:t>
      </w:r>
      <w:hyperlink w:anchor="fig-standardcurve">
        <w:r>
          <w:rPr>
            <w:rStyle w:val="Hyperlink"/>
          </w:rPr>
          <w:t xml:space="preserve">Fig. 1</w:t>
        </w:r>
      </w:hyperlink>
      <w:r>
        <w:t xml:space="preserve">). The range of DNA concentration in one reaction is from 0.2 pg (40 copies) to 20 ng (4.0</w:t>
      </w:r>
      <m:oMath>
        <m:r>
          <m:rPr>
            <m:sty m:val="p"/>
          </m:rPr>
          <m:t>×</m:t>
        </m:r>
        <m:sSup>
          <m:e>
            <m:r>
              <m:rPr>
                <m:sty m:val="p"/>
              </m:rPr>
              <m:t>10</m:t>
            </m:r>
          </m:e>
          <m:sup>
            <m:r>
              <m:rPr>
                <m:sty m:val="p"/>
              </m:rPr>
              <m:t>6</m:t>
            </m:r>
          </m:sup>
        </m:sSup>
      </m:oMath>
      <w:r>
        <w:t xml:space="preserve"> </w:t>
      </w:r>
      <w:r>
        <w:t xml:space="preserve">copies) for</w:t>
      </w:r>
      <w:r>
        <w:t xml:space="preserve"> </w:t>
      </w:r>
      <w:r>
        <w:rPr>
          <w:i/>
          <w:iCs/>
        </w:rPr>
        <w:t xml:space="preserve">ARG</w:t>
      </w:r>
      <w:r>
        <w:t xml:space="preserve"> </w:t>
      </w:r>
      <w:r>
        <w:t xml:space="preserve">qPCR, and from 2 pg (400 copies) to 20 ng (4.0</w:t>
      </w:r>
      <m:oMath>
        <m:r>
          <m:rPr>
            <m:sty m:val="p"/>
          </m:rPr>
          <m:t>×</m:t>
        </m:r>
        <m:sSup>
          <m:e>
            <m:r>
              <m:rPr>
                <m:sty m:val="p"/>
              </m:rPr>
              <m:t>10</m:t>
            </m:r>
          </m:e>
          <m:sup>
            <m:r>
              <m:rPr>
                <m:sty m:val="p"/>
              </m:rPr>
              <m:t>6</m:t>
            </m:r>
          </m:sup>
        </m:sSup>
      </m:oMath>
      <w:r>
        <w:t xml:space="preserve"> </w:t>
      </w:r>
      <w:r>
        <w:t xml:space="preserve">copies) for</w:t>
      </w:r>
      <w:r>
        <w:t xml:space="preserve"> </w:t>
      </w:r>
      <w:r>
        <w:rPr>
          <w:i/>
          <w:iCs/>
        </w:rPr>
        <w:t xml:space="preserve">GSG</w:t>
      </w:r>
      <w:r>
        <w:t xml:space="preserve"> </w:t>
      </w:r>
      <w:r>
        <w:t xml:space="preserve">qPCR assay. The following linear relationships between cycle threshold (</w:t>
      </w:r>
      <m:oMath>
        <m:sSub>
          <m:e>
            <m:r>
              <m:t>C</m:t>
            </m:r>
          </m:e>
          <m:sub>
            <m:r>
              <m:t>T</m:t>
            </m:r>
          </m:sub>
        </m:sSub>
      </m:oMath>
      <w:r>
        <w:t xml:space="preserve">) and the log of the gene copies were obtained:</w:t>
      </w:r>
      <w:r>
        <w:t xml:space="preserve"> </w:t>
      </w:r>
      <m:oMath>
        <m:sSub>
          <m:e>
            <m:r>
              <m:t>C</m:t>
            </m:r>
          </m:e>
          <m:sub>
            <m:r>
              <m:t>T</m:t>
            </m:r>
          </m:sub>
        </m:sSub>
        <m:r>
          <m:rPr>
            <m:sty m:val="p"/>
          </m:rPr>
          <m:t>=</m:t>
        </m:r>
        <m:r>
          <m:rPr>
            <m:sty m:val="p"/>
          </m:rPr>
          <m:t>−</m:t>
        </m:r>
        <m:r>
          <m:t>3.34</m:t>
        </m:r>
        <m:r>
          <m:rPr>
            <m:sty m:val="p"/>
          </m:rPr>
          <m:t>log</m:t>
        </m:r>
        <m:sSub>
          <m:e>
            <m:r>
              <m:t>ρ</m:t>
            </m:r>
          </m:e>
          <m:sub>
            <m:r>
              <m:t>p</m:t>
            </m:r>
          </m:sub>
        </m:sSub>
        <m:r>
          <m:rPr>
            <m:sty m:val="p"/>
          </m:rPr>
          <m:t>+</m:t>
        </m:r>
        <m:r>
          <m:t>36.65</m:t>
        </m:r>
      </m:oMath>
      <w:r>
        <w:t xml:space="preserve"> </w:t>
      </w:r>
      <w:r>
        <w:t xml:space="preserve">(r</w:t>
      </w:r>
      <m:oMath>
        <m:sSup>
          <m:e>
            <m:r>
              <m:t>​</m:t>
            </m:r>
          </m:e>
          <m:sup>
            <m:r>
              <m:t>2</m:t>
            </m:r>
          </m:sup>
        </m:sSup>
      </m:oMath>
      <w:r>
        <w:t xml:space="preserve">=0.999) with an efficiency of 99% for</w:t>
      </w:r>
      <w:r>
        <w:t xml:space="preserve"> </w:t>
      </w:r>
      <w:r>
        <w:rPr>
          <w:i/>
          <w:iCs/>
        </w:rPr>
        <w:t xml:space="preserve">ARG</w:t>
      </w:r>
      <w:r>
        <w:t xml:space="preserve"> </w:t>
      </w:r>
      <w:r>
        <w:t xml:space="preserve">qPCR assay and</w:t>
      </w:r>
      <w:r>
        <w:t xml:space="preserve"> </w:t>
      </w:r>
      <m:oMath>
        <m:sSub>
          <m:e>
            <m:r>
              <m:t>C</m:t>
            </m:r>
          </m:e>
          <m:sub>
            <m:r>
              <m:t>T</m:t>
            </m:r>
          </m:sub>
        </m:sSub>
        <m:r>
          <m:rPr>
            <m:sty m:val="p"/>
          </m:rPr>
          <m:t>=</m:t>
        </m:r>
        <m:r>
          <m:rPr>
            <m:sty m:val="p"/>
          </m:rPr>
          <m:t>−</m:t>
        </m:r>
        <m:r>
          <m:t>3.27</m:t>
        </m:r>
        <m:r>
          <m:rPr>
            <m:sty m:val="p"/>
          </m:rPr>
          <m:t>log</m:t>
        </m:r>
        <m:sSub>
          <m:e>
            <m:r>
              <m:t>γ</m:t>
            </m:r>
          </m:e>
          <m:sub>
            <m:r>
              <m:t>p</m:t>
            </m:r>
          </m:sub>
        </m:sSub>
        <m:r>
          <m:rPr>
            <m:sty m:val="p"/>
          </m:rPr>
          <m:t>+</m:t>
        </m:r>
        <m:r>
          <m:t>39.71</m:t>
        </m:r>
      </m:oMath>
      <w:r>
        <w:t xml:space="preserve"> </w:t>
      </w:r>
      <w:r>
        <w:t xml:space="preserve">(r</w:t>
      </w:r>
      <m:oMath>
        <m:sSup>
          <m:e>
            <m:r>
              <m:t>​</m:t>
            </m:r>
          </m:e>
          <m:sup>
            <m:r>
              <m:t>2</m:t>
            </m:r>
          </m:sup>
        </m:sSup>
      </m:oMath>
      <w:r>
        <w:t xml:space="preserve">=0.999) with an efficiency of 102% for</w:t>
      </w:r>
      <w:r>
        <w:t xml:space="preserve"> </w:t>
      </w:r>
      <w:r>
        <w:rPr>
          <w:i/>
          <w:iCs/>
        </w:rPr>
        <w:t xml:space="preserve">GSG</w:t>
      </w:r>
      <w:r>
        <w:t xml:space="preserve"> </w:t>
      </w:r>
      <w:r>
        <w:t xml:space="preserve">qPCR assay, respectively. These results proved that the two qPCR assays developed in this study are reliable for the quantification of</w:t>
      </w:r>
      <w:r>
        <w:t xml:space="preserve"> </w:t>
      </w:r>
      <w:r>
        <w:rPr>
          <w:i/>
          <w:iCs/>
        </w:rPr>
        <w:t xml:space="preserve">Anabaena</w:t>
      </w:r>
      <w:r>
        <w:t xml:space="preserve"> </w:t>
      </w:r>
      <w:r>
        <w:t xml:space="preserve">population and geosmin producing potential.</w:t>
      </w:r>
    </w:p>
    <w:tbl>
      <w:tblPr>
        <w:tblStyle w:val="Table"/>
        <w:tblW w:type="pct" w:w="5000"/>
        <w:tblLayout w:type="fixed"/>
        <w:tblLook w:firstRow="0" w:lastRow="0" w:firstColumn="0" w:lastColumn="0" w:noHBand="0" w:noVBand="0" w:val="0000"/>
      </w:tblPr>
      <w:tblGrid>
        <w:gridCol w:w="7920"/>
      </w:tblGrid>
      <w:tr>
        <w:tc>
          <w:tcPr/>
          <w:bookmarkStart w:id="41" w:name="fig-standardcurve"/>
          <w:p>
            <w:pPr>
              <w:pStyle w:val="Compact"/>
              <w:jc w:val="center"/>
            </w:pPr>
            <w:r>
              <w:drawing>
                <wp:inline>
                  <wp:extent cx="4027170" cy="3068320"/>
                  <wp:effectExtent b="0" l="0" r="0" t="0"/>
                  <wp:docPr descr="" title="" id="39" name="Picture"/>
                  <a:graphic>
                    <a:graphicData uri="http://schemas.openxmlformats.org/drawingml/2006/picture">
                      <pic:pic>
                        <pic:nvPicPr>
                          <pic:cNvPr descr="../figures/standardcurve.png" id="40" name="Picture"/>
                          <pic:cNvPicPr>
                            <a:picLocks noChangeArrowheads="1" noChangeAspect="1"/>
                          </pic:cNvPicPr>
                        </pic:nvPicPr>
                        <pic:blipFill>
                          <a:blip r:embed="rId38"/>
                          <a:stretch>
                            <a:fillRect/>
                          </a:stretch>
                        </pic:blipFill>
                        <pic:spPr bwMode="auto">
                          <a:xfrm>
                            <a:off x="0" y="0"/>
                            <a:ext cx="4027170" cy="3068320"/>
                          </a:xfrm>
                          <a:prstGeom prst="rect">
                            <a:avLst/>
                          </a:prstGeom>
                          <a:noFill/>
                          <a:ln w="9525">
                            <a:noFill/>
                            <a:headEnd/>
                            <a:tailEnd/>
                          </a:ln>
                        </pic:spPr>
                      </pic:pic>
                    </a:graphicData>
                  </a:graphic>
                </wp:inline>
              </w:drawing>
            </w:r>
          </w:p>
          <w:p>
            <w:pPr>
              <w:jc w:val="center"/>
            </w:pPr>
            <w:pPr>
              <w:jc w:val="start"/>
              <w:spacing w:before="200"/>
              <w:pStyle w:val="ImageCaption"/>
            </w:pPr>
            <w:r>
              <w:t xml:space="preserve">Fig. 1: Standard curves for ARG (top) and GSG (bottom) qPCR assays using tenfold serial dilutions of AWQC-ANA318 cultures. Error bars show standard deviations from four independent amplifications.</w:t>
            </w:r>
          </w:p>
          <w:bookmarkEnd w:id="41"/>
        </w:tc>
      </w:tr>
    </w:tbl>
    <w:bookmarkEnd w:id="42"/>
    <w:bookmarkStart w:id="55" w:name="resdiss:microscope"/>
    <w:p>
      <w:pPr>
        <w:pStyle w:val="Heading2"/>
      </w:pPr>
      <w:r>
        <w:t xml:space="preserve">Quantification of</w:t>
      </w:r>
      <w:r>
        <w:t xml:space="preserve"> </w:t>
      </w:r>
      <w:r>
        <w:rPr>
          <w:i/>
          <w:iCs/>
        </w:rPr>
        <w:t xml:space="preserve">ARG</w:t>
      </w:r>
      <w:r>
        <w:t xml:space="preserve"> </w:t>
      </w:r>
      <w:r>
        <w:t xml:space="preserve">and comparison with microscopic count</w:t>
      </w:r>
    </w:p>
    <w:p>
      <w:pPr>
        <w:pStyle w:val="BodyText"/>
      </w:pPr>
      <w:r>
        <w:t xml:space="preserve">Using DNA extracted from 32 AWQC-ANA318 culture samples from the laboratory simulated bloom, amplification results for the</w:t>
      </w:r>
      <w:r>
        <w:t xml:space="preserve"> </w:t>
      </w:r>
      <w:r>
        <w:rPr>
          <w:i/>
          <w:iCs/>
        </w:rPr>
        <w:t xml:space="preserve">ARG</w:t>
      </w:r>
      <w:r>
        <w:t xml:space="preserve"> </w:t>
      </w:r>
      <w:r>
        <w:t xml:space="preserve">qPCR assay were compared to cell density determined by microscopic count.</w:t>
      </w:r>
    </w:p>
    <w:bookmarkStart w:id="52" w:name="resdiss:microscope_lab"/>
    <w:p>
      <w:pPr>
        <w:pStyle w:val="Heading3"/>
      </w:pPr>
      <w:r>
        <w:rPr>
          <w:i/>
          <w:iCs/>
        </w:rPr>
        <w:t xml:space="preserve">In vitro</w:t>
      </w:r>
      <w:r>
        <w:t xml:space="preserve"> </w:t>
      </w:r>
      <w:r>
        <w:t xml:space="preserve">study</w:t>
      </w:r>
    </w:p>
    <w:p>
      <w:pPr>
        <w:pStyle w:val="BodyText"/>
      </w:pPr>
      <w:r>
        <w:t xml:space="preserve">Two independent AWQC-ANA318 cultures named AE1 and AE2 were used to simulate the</w:t>
      </w:r>
      <w:r>
        <w:t xml:space="preserve"> </w:t>
      </w:r>
      <w:r>
        <w:rPr>
          <w:i/>
          <w:iCs/>
        </w:rPr>
        <w:t xml:space="preserve">Anabaena</w:t>
      </w:r>
      <w:r>
        <w:t xml:space="preserve"> </w:t>
      </w:r>
      <w:r>
        <w:t xml:space="preserve">blooms in laboratory. The initial cell densities of the two cultures were 1.28 ($</w:t>
      </w:r>
      <w:r>
        <w:t xml:space="preserve">$0.09)</w:t>
      </w:r>
      <w:r>
        <w:t xml:space="preserve"> </w:t>
      </w:r>
      <m:oMath>
        <m:r>
          <m:rPr>
            <m:sty m:val="p"/>
          </m:rPr>
          <m:t>×</m:t>
        </m:r>
        <m:sSup>
          <m:e>
            <m:r>
              <m:t>10</m:t>
            </m:r>
          </m:e>
          <m:sup>
            <m:r>
              <m:t>6</m:t>
            </m:r>
          </m:sup>
        </m:sSup>
      </m:oMath>
      <w:r>
        <w:t xml:space="preserve"> </w:t>
      </w:r>
      <w:r>
        <w:t xml:space="preserve">and 6.44 ($</w:t>
      </w:r>
      <w:r>
        <w:t xml:space="preserve">$0.04)</w:t>
      </w:r>
      <w:r>
        <w:t xml:space="preserve"> </w:t>
      </w:r>
      <m:oMath>
        <m:r>
          <m:rPr>
            <m:sty m:val="p"/>
          </m:rPr>
          <m:t>×</m:t>
        </m:r>
        <m:sSup>
          <m:e>
            <m:r>
              <m:t>10</m:t>
            </m:r>
          </m:e>
          <m:sup>
            <m:r>
              <m:t>6</m:t>
            </m:r>
          </m:sup>
        </m:sSup>
      </m:oMath>
      <w:r>
        <w:t xml:space="preserve"> </w:t>
      </w:r>
      <w:r>
        <w:t xml:space="preserve">cells L</w:t>
      </w:r>
      <m:oMath>
        <m:sSup>
          <m:e>
            <m:r>
              <m:t>​</m:t>
            </m:r>
          </m:e>
          <m:sup>
            <m:r>
              <m:rPr>
                <m:sty m:val="p"/>
              </m:rPr>
              <m:t>−</m:t>
            </m:r>
            <m:r>
              <m:t>1</m:t>
            </m:r>
          </m:sup>
        </m:sSup>
      </m:oMath>
      <w:r>
        <w:t xml:space="preserve"> </w:t>
      </w:r>
      <w:r>
        <w:t xml:space="preserve">(microscopic count), respectively (</w:t>
      </w:r>
      <w:hyperlink w:anchor="fig-culture">
        <w:r>
          <w:rPr>
            <w:rStyle w:val="Hyperlink"/>
          </w:rPr>
          <w:t xml:space="preserve">Fig. 2</w:t>
        </w:r>
      </w:hyperlink>
      <w:r>
        <w:t xml:space="preserve">, solid line); the cultures were then kept in log-phase for three weeks, forming a bloom-like population. Though the concentrations of the two independent cultures were initially different, the cell density showed no significant difference after 4 weeks (p=0.13), when the stationary-phase started. From week 5 to week 8, both cultures showed a slight decrease of cell density; however, a second growth phase occurred for both cultures, most likely due to the release of the nutrients from dead cells.</w:t>
      </w:r>
    </w:p>
    <w:tbl>
      <w:tblPr>
        <w:tblStyle w:val="Table"/>
        <w:tblW w:type="pct" w:w="5000"/>
        <w:tblLayout w:type="fixed"/>
        <w:tblLook w:firstRow="0" w:lastRow="0" w:firstColumn="0" w:lastColumn="0" w:noHBand="0" w:noVBand="0" w:val="0000"/>
      </w:tblPr>
      <w:tblGrid>
        <w:gridCol w:w="7920"/>
      </w:tblGrid>
      <w:tr>
        <w:tc>
          <w:tcPr/>
          <w:bookmarkStart w:id="46" w:name="fig-culture"/>
          <w:p>
            <w:pPr>
              <w:pStyle w:val="Compact"/>
              <w:jc w:val="center"/>
            </w:pPr>
            <w:r>
              <w:drawing>
                <wp:inline>
                  <wp:extent cx="4027170" cy="3068320"/>
                  <wp:effectExtent b="0" l="0" r="0" t="0"/>
                  <wp:docPr descr="" title="" id="44" name="Picture"/>
                  <a:graphic>
                    <a:graphicData uri="http://schemas.openxmlformats.org/drawingml/2006/picture">
                      <pic:pic>
                        <pic:nvPicPr>
                          <pic:cNvPr descr="../figures/culture.png" id="45" name="Picture"/>
                          <pic:cNvPicPr>
                            <a:picLocks noChangeArrowheads="1" noChangeAspect="1"/>
                          </pic:cNvPicPr>
                        </pic:nvPicPr>
                        <pic:blipFill>
                          <a:blip r:embed="rId43"/>
                          <a:stretch>
                            <a:fillRect/>
                          </a:stretch>
                        </pic:blipFill>
                        <pic:spPr bwMode="auto">
                          <a:xfrm>
                            <a:off x="0" y="0"/>
                            <a:ext cx="4027170" cy="3068320"/>
                          </a:xfrm>
                          <a:prstGeom prst="rect">
                            <a:avLst/>
                          </a:prstGeom>
                          <a:noFill/>
                          <a:ln w="9525">
                            <a:noFill/>
                            <a:headEnd/>
                            <a:tailEnd/>
                          </a:ln>
                        </pic:spPr>
                      </pic:pic>
                    </a:graphicData>
                  </a:graphic>
                </wp:inline>
              </w:drawing>
            </w:r>
          </w:p>
          <w:p>
            <w:pPr>
              <w:jc w:val="center"/>
            </w:pPr>
            <w:pPr>
              <w:jc w:val="start"/>
              <w:spacing w:before="200"/>
              <w:pStyle w:val="ImageCaption"/>
            </w:pPr>
            <w:r>
              <w:t xml:space="preserve">Fig. 2: Cell density and intracellular and extracellular geosmin concentrations in two independent AWQC-ANA318 cultures during cultivation. Error bars show standard deviations from independent cell-count and geosmin measurements.</w:t>
            </w:r>
          </w:p>
          <w:bookmarkEnd w:id="46"/>
        </w:tc>
      </w:tr>
    </w:tbl>
    <w:p>
      <w:pPr>
        <w:pStyle w:val="BodyText"/>
      </w:pPr>
      <w:r>
        <w:t xml:space="preserve">During the simulated</w:t>
      </w:r>
      <w:r>
        <w:t xml:space="preserve"> </w:t>
      </w:r>
      <w:r>
        <w:rPr>
          <w:i/>
          <w:iCs/>
        </w:rPr>
        <w:t xml:space="preserve">Anabaena</w:t>
      </w:r>
      <w:r>
        <w:t xml:space="preserve"> </w:t>
      </w:r>
      <w:r>
        <w:t xml:space="preserve">bloom, the cell density of the AWQC-ANA318 cultures varied from approximately 1</w:t>
      </w:r>
      <m:oMath>
        <m:r>
          <m:rPr>
            <m:sty m:val="p"/>
          </m:rPr>
          <m:t>×</m:t>
        </m:r>
        <m:sSup>
          <m:e>
            <m:r>
              <m:t>10</m:t>
            </m:r>
          </m:e>
          <m:sup>
            <m:r>
              <m:t>6</m:t>
            </m:r>
          </m:sup>
        </m:sSup>
      </m:oMath>
      <w:r>
        <w:t xml:space="preserve"> </w:t>
      </w:r>
      <w:r>
        <w:t xml:space="preserve">to 1</w:t>
      </w:r>
      <m:oMath>
        <m:r>
          <m:rPr>
            <m:sty m:val="p"/>
          </m:rPr>
          <m:t>×</m:t>
        </m:r>
        <m:sSup>
          <m:e>
            <m:r>
              <m:t>10</m:t>
            </m:r>
          </m:e>
          <m:sup>
            <m:r>
              <m:t>9</m:t>
            </m:r>
          </m:sup>
        </m:sSup>
      </m:oMath>
      <w:r>
        <w:t xml:space="preserve"> </w:t>
      </w:r>
      <w:r>
        <w:t xml:space="preserve">cells L</w:t>
      </w:r>
      <m:oMath>
        <m:sSup>
          <m:e>
            <m:r>
              <m:t>​</m:t>
            </m:r>
          </m:e>
          <m:sup>
            <m:r>
              <m:rPr>
                <m:sty m:val="p"/>
              </m:rPr>
              <m:t>−</m:t>
            </m:r>
            <m:r>
              <m:t>1</m:t>
            </m:r>
          </m:sup>
        </m:sSup>
      </m:oMath>
      <w:r>
        <w:t xml:space="preserve"> </w:t>
      </w:r>
      <w:r>
        <w:t xml:space="preserve">(</w:t>
      </w:r>
      <w:hyperlink w:anchor="fig-culture">
        <w:r>
          <w:rPr>
            <w:rStyle w:val="Hyperlink"/>
          </w:rPr>
          <w:t xml:space="preserve">Fig. 2</w:t>
        </w:r>
      </w:hyperlink>
      <w:r>
        <w:t xml:space="preserve">); on the other hand, the</w:t>
      </w:r>
      <w:r>
        <w:t xml:space="preserve"> </w:t>
      </w:r>
      <w:r>
        <w:rPr>
          <w:i/>
          <w:iCs/>
        </w:rPr>
        <w:t xml:space="preserve">ARG</w:t>
      </w:r>
      <w:r>
        <w:t xml:space="preserve"> </w:t>
      </w:r>
      <w:r>
        <w:t xml:space="preserve">concentrations, obtained by</w:t>
      </w:r>
      <w:r>
        <w:t xml:space="preserve"> </w:t>
      </w:r>
      <w:r>
        <w:rPr>
          <w:i/>
          <w:iCs/>
        </w:rPr>
        <w:t xml:space="preserve">ARG</w:t>
      </w:r>
      <w:r>
        <w:t xml:space="preserve"> </w:t>
      </w:r>
      <w:r>
        <w:t xml:space="preserve">qPCR assay, varied from 1</w:t>
      </w:r>
      <m:oMath>
        <m:r>
          <m:rPr>
            <m:sty m:val="p"/>
          </m:rPr>
          <m:t>×</m:t>
        </m:r>
        <m:sSup>
          <m:e>
            <m:r>
              <m:t>10</m:t>
            </m:r>
          </m:e>
          <m:sup>
            <m:r>
              <m:t>6</m:t>
            </m:r>
          </m:sup>
        </m:sSup>
      </m:oMath>
      <w:r>
        <w:t xml:space="preserve"> </w:t>
      </w:r>
      <w:r>
        <w:t xml:space="preserve">to 1</w:t>
      </w:r>
      <m:oMath>
        <m:r>
          <m:rPr>
            <m:sty m:val="p"/>
          </m:rPr>
          <m:t>×</m:t>
        </m:r>
        <m:sSup>
          <m:e>
            <m:r>
              <m:t>10</m:t>
            </m:r>
          </m:e>
          <m:sup>
            <m:r>
              <m:t>11</m:t>
            </m:r>
          </m:sup>
        </m:sSup>
      </m:oMath>
      <w:r>
        <w:t xml:space="preserve"> </w:t>
      </w:r>
      <w:r>
        <w:t xml:space="preserve">copies L</w:t>
      </w:r>
      <m:oMath>
        <m:sSup>
          <m:e>
            <m:r>
              <m:t>​</m:t>
            </m:r>
          </m:e>
          <m:sup>
            <m:r>
              <m:rPr>
                <m:sty m:val="p"/>
              </m:rPr>
              <m:t>−</m:t>
            </m:r>
            <m:r>
              <m:t>1</m:t>
            </m:r>
          </m:sup>
        </m:sSup>
      </m:oMath>
      <w:r>
        <w:t xml:space="preserve">. A positive log-log correlation was found between the data sets determined by the two different methods (</w:t>
      </w:r>
      <m:oMath>
        <m:sSup>
          <m:e>
            <m:r>
              <m:rPr>
                <m:sty m:val="p"/>
              </m:rPr>
              <m:t>r</m:t>
            </m:r>
          </m:e>
          <m:sup>
            <m:r>
              <m:rPr>
                <m:sty m:val="p"/>
              </m:rPr>
              <m:t>2</m:t>
            </m:r>
          </m:sup>
        </m:sSup>
        <m:r>
          <m:rPr>
            <m:sty m:val="p"/>
          </m:rPr>
          <m:t>=</m:t>
        </m:r>
        <m:r>
          <m:t>0.726</m:t>
        </m:r>
        <m:r>
          <m:rPr>
            <m:sty m:val="p"/>
          </m:rPr>
          <m:t>,</m:t>
        </m:r>
        <m:r>
          <m:rPr>
            <m:sty m:val="p"/>
          </m:rPr>
          <m:t>p</m:t>
        </m:r>
        <m:r>
          <m:rPr>
            <m:sty m:val="p"/>
          </m:rPr>
          <m:t>&lt;</m:t>
        </m:r>
        <m:r>
          <m:t>0.001</m:t>
        </m:r>
      </m:oMath>
      <w:r>
        <w:t xml:space="preserve">), as shown in</w:t>
      </w:r>
      <w:r>
        <w:t xml:space="preserve"> </w:t>
      </w:r>
      <w:hyperlink w:anchor="eq-micro">
        <w:r>
          <w:rPr>
            <w:rStyle w:val="Hyperlink"/>
          </w:rPr>
          <w:t xml:space="preserve">Eq. 2</w:t>
        </w:r>
      </w:hyperlink>
      <w:r>
        <w:t xml:space="preserve">.</w:t>
      </w:r>
    </w:p>
    <w:p>
      <w:pPr>
        <w:pStyle w:val="BodyText"/>
      </w:pPr>
      <w:bookmarkStart w:id="47" w:name="eq-micro"/>
      <m:oMathPara>
        <m:oMathParaPr>
          <m:jc m:val="center"/>
        </m:oMathParaPr>
        <m:oMath>
          <m:r>
            <m:rPr>
              <m:sty m:val="p"/>
            </m:rPr>
            <m:t>log</m:t>
          </m:r>
          <m:d>
            <m:dPr>
              <m:begChr m:val="("/>
              <m:sepChr m:val=""/>
              <m:endChr m:val=")"/>
              <m:grow/>
            </m:dPr>
            <m:e>
              <m:sSub>
                <m:e>
                  <m:r>
                    <m:rPr>
                      <m:sty m:val="p"/>
                    </m:rPr>
                    <m:t>ρ</m:t>
                  </m:r>
                </m:e>
                <m:sub>
                  <m:r>
                    <m:rPr>
                      <m:sty m:val="p"/>
                    </m:rPr>
                    <m:t>m</m:t>
                  </m:r>
                </m:sub>
              </m:sSub>
            </m:e>
          </m:d>
          <m:r>
            <m:rPr>
              <m:sty m:val="p"/>
            </m:rPr>
            <m:t>=</m:t>
          </m:r>
          <m:r>
            <m:t>0.6346</m:t>
          </m:r>
          <m:r>
            <m:rPr>
              <m:sty m:val="p"/>
            </m:rPr>
            <m:t>log</m:t>
          </m:r>
          <m:d>
            <m:dPr>
              <m:begChr m:val="("/>
              <m:sepChr m:val=""/>
              <m:endChr m:val=")"/>
              <m:grow/>
            </m:dPr>
            <m:e>
              <m:sSub>
                <m:e>
                  <m:r>
                    <m:rPr>
                      <m:sty m:val="p"/>
                    </m:rPr>
                    <m:t>ρ</m:t>
                  </m:r>
                </m:e>
                <m:sub>
                  <m:r>
                    <m:rPr>
                      <m:sty m:val="p"/>
                    </m:rPr>
                    <m:t>p</m:t>
                  </m:r>
                </m:sub>
              </m:sSub>
            </m:e>
          </m:d>
          <m:r>
            <m:rPr>
              <m:sty m:val="p"/>
            </m:rPr>
            <m:t>+</m:t>
          </m:r>
          <m:r>
            <m:t>1.919</m:t>
          </m:r>
          <m:r>
            <m:t>  </m:t>
          </m:r>
          <m:d>
            <m:dPr>
              <m:begChr m:val="("/>
              <m:sepChr m:val=""/>
              <m:endChr m:val=")"/>
              <m:grow/>
            </m:dPr>
            <m:e>
              <m:r>
                <m:t>2</m:t>
              </m:r>
            </m:e>
          </m:d>
        </m:oMath>
      </m:oMathPara>
      <w:bookmarkEnd w:id="47"/>
    </w:p>
    <w:p>
      <w:pPr>
        <w:pStyle w:val="BodyText"/>
      </w:pPr>
      <w:r>
        <w:t xml:space="preserve">In this equation</w:t>
      </w:r>
      <w:r>
        <w:t xml:space="preserve"> </w:t>
      </w:r>
      <m:oMath>
        <m:sSub>
          <m:e>
            <m:r>
              <m:rPr>
                <m:sty m:val="p"/>
              </m:rPr>
              <m:t>ρ</m:t>
            </m:r>
          </m:e>
          <m:sub>
            <m:r>
              <m:rPr>
                <m:sty m:val="p"/>
              </m:rPr>
              <m:t>p</m:t>
            </m:r>
          </m:sub>
        </m:sSub>
      </m:oMath>
      <w:r>
        <w:t xml:space="preserve"> </w:t>
      </w:r>
      <w:r>
        <w:t xml:space="preserve">and</w:t>
      </w:r>
      <w:r>
        <w:t xml:space="preserve"> </w:t>
      </w:r>
      <m:oMath>
        <m:sSub>
          <m:e>
            <m:r>
              <m:rPr>
                <m:sty m:val="p"/>
              </m:rPr>
              <m:t>ρ</m:t>
            </m:r>
          </m:e>
          <m:sub>
            <m:r>
              <m:rPr>
                <m:sty m:val="p"/>
              </m:rPr>
              <m:t>m</m:t>
            </m:r>
          </m:sub>
        </m:sSub>
      </m:oMath>
      <w:r>
        <w:t xml:space="preserve"> </w:t>
      </w:r>
      <w:r>
        <w:t xml:space="preserve">represent respectively the</w:t>
      </w:r>
      <w:r>
        <w:t xml:space="preserve"> </w:t>
      </w:r>
      <w:r>
        <w:rPr>
          <w:i/>
          <w:iCs/>
        </w:rPr>
        <w:t xml:space="preserve">Anabaena</w:t>
      </w:r>
      <w:r>
        <w:t xml:space="preserve"> </w:t>
      </w:r>
      <m:oMath>
        <m:r>
          <m:t>r</m:t>
        </m:r>
        <m:r>
          <m:t>p</m:t>
        </m:r>
        <m:r>
          <m:t>o</m:t>
        </m:r>
        <m:sSub>
          <m:e>
            <m:r>
              <m:t>C</m:t>
            </m:r>
          </m:e>
          <m:sub>
            <m:r>
              <m:t>1</m:t>
            </m:r>
          </m:sub>
        </m:sSub>
      </m:oMath>
      <w:r>
        <w:t xml:space="preserve"> </w:t>
      </w:r>
      <w:r>
        <w:t xml:space="preserve">gene density obtained from the qPCR method and the cell density determined by microscopic count. At the same time, the comparison was plotted in</w:t>
      </w:r>
      <w:r>
        <w:t xml:space="preserve"> </w:t>
      </w:r>
      <w:hyperlink w:anchor="fig-microcount">
        <w:r>
          <w:rPr>
            <w:rStyle w:val="Hyperlink"/>
          </w:rPr>
          <w:t xml:space="preserve">Fig. 3</w:t>
        </w:r>
      </w:hyperlink>
      <w:r>
        <w:t xml:space="preserve"> </w:t>
      </w:r>
      <w:r>
        <w:t xml:space="preserve">(filled circle), where the thick solid line is the log-log regression line, and the two thin long dashed lines are the 99% confidence interval (CI). According to the equation, approximately 5 to 100</w:t>
      </w:r>
      <w:r>
        <w:t xml:space="preserve"> </w:t>
      </w:r>
      <w:r>
        <w:rPr>
          <w:i/>
          <w:iCs/>
        </w:rPr>
        <w:t xml:space="preserve">ARG</w:t>
      </w:r>
      <w:r>
        <w:t xml:space="preserve"> </w:t>
      </w:r>
      <w:r>
        <w:t xml:space="preserve">copies were present in one AWQC-ANA318 cell.</w:t>
      </w:r>
    </w:p>
    <w:tbl>
      <w:tblPr>
        <w:tblStyle w:val="Table"/>
        <w:tblW w:type="pct" w:w="5000"/>
        <w:tblLayout w:type="fixed"/>
        <w:tblLook w:firstRow="0" w:lastRow="0" w:firstColumn="0" w:lastColumn="0" w:noHBand="0" w:noVBand="0" w:val="0000"/>
      </w:tblPr>
      <w:tblGrid>
        <w:gridCol w:w="7920"/>
      </w:tblGrid>
      <w:tr>
        <w:tc>
          <w:tcPr/>
          <w:bookmarkStart w:id="51" w:name="fig-microcount"/>
          <w:p>
            <w:pPr>
              <w:pStyle w:val="Compact"/>
              <w:jc w:val="center"/>
            </w:pPr>
            <w:r>
              <w:drawing>
                <wp:inline>
                  <wp:extent cx="4027170" cy="3068320"/>
                  <wp:effectExtent b="0" l="0" r="0" t="0"/>
                  <wp:docPr descr="" title="" id="49" name="Picture"/>
                  <a:graphic>
                    <a:graphicData uri="http://schemas.openxmlformats.org/drawingml/2006/picture">
                      <pic:pic>
                        <pic:nvPicPr>
                          <pic:cNvPr descr="../figures/ARGCompare.png" id="50" name="Picture"/>
                          <pic:cNvPicPr>
                            <a:picLocks noChangeArrowheads="1" noChangeAspect="1"/>
                          </pic:cNvPicPr>
                        </pic:nvPicPr>
                        <pic:blipFill>
                          <a:blip r:embed="rId48"/>
                          <a:stretch>
                            <a:fillRect/>
                          </a:stretch>
                        </pic:blipFill>
                        <pic:spPr bwMode="auto">
                          <a:xfrm>
                            <a:off x="0" y="0"/>
                            <a:ext cx="4027170" cy="3068320"/>
                          </a:xfrm>
                          <a:prstGeom prst="rect">
                            <a:avLst/>
                          </a:prstGeom>
                          <a:noFill/>
                          <a:ln w="9525">
                            <a:noFill/>
                            <a:headEnd/>
                            <a:tailEnd/>
                          </a:ln>
                        </pic:spPr>
                      </pic:pic>
                    </a:graphicData>
                  </a:graphic>
                </wp:inline>
              </w:drawing>
            </w:r>
          </w:p>
          <w:p>
            <w:pPr>
              <w:jc w:val="center"/>
            </w:pPr>
            <w:pPr>
              <w:jc w:val="start"/>
              <w:spacing w:before="200"/>
              <w:pStyle w:val="ImageCaption"/>
            </w:pPr>
            <w:r>
              <w:t xml:space="preserve">Fig. 3: Comparison of Anabaena cell density measured by microscopy and ARG copy number measured by qPCR in culture and field samples. Error bars show standard deviations; lines show log-log regressions and 99% confidence intervals.</w:t>
            </w:r>
          </w:p>
          <w:bookmarkEnd w:id="51"/>
        </w:tc>
      </w:tr>
    </w:tbl>
    <w:bookmarkEnd w:id="52"/>
    <w:bookmarkStart w:id="54" w:name="resdiss:microscope_field"/>
    <w:p>
      <w:pPr>
        <w:pStyle w:val="Heading3"/>
      </w:pPr>
      <w:r>
        <w:t xml:space="preserve">Validation on field samples</w:t>
      </w:r>
    </w:p>
    <w:p>
      <w:pPr>
        <w:pStyle w:val="BodyText"/>
      </w:pPr>
      <w:r>
        <w:t xml:space="preserve">In order to evaluate the inhibition factor linked to the quality of field water samples, 63 field samples were tested using both methods; the samples were collected from 5 freshwater ponds and 2 rivers which showed greatly dissimilar physiochemical properties and ecological bio-community compositions. As shown in</w:t>
      </w:r>
      <w:r>
        <w:t xml:space="preserve"> </w:t>
      </w:r>
      <w:hyperlink w:anchor="tbl-fieldsample">
        <w:r>
          <w:rPr>
            <w:rStyle w:val="Hyperlink"/>
          </w:rPr>
          <w:t xml:space="preserve">Table 4</w:t>
        </w:r>
      </w:hyperlink>
      <w:r>
        <w:t xml:space="preserve">,</w:t>
      </w:r>
      <w:r>
        <w:t xml:space="preserve"> </w:t>
      </w:r>
      <w:r>
        <w:rPr>
          <w:b/>
          <w:bCs/>
        </w:rPr>
        <w:t xml:space="preserve">QR</w:t>
      </w:r>
      <w:r>
        <w:t xml:space="preserve"> </w:t>
      </w:r>
      <w:r>
        <w:t xml:space="preserve">showed the lowest pH level (6.71) and highest conductivity (1.192 ms</w:t>
      </w:r>
      <w:r>
        <w:t xml:space="preserve"> </w:t>
      </w:r>
      <m:oMath>
        <m:r>
          <m:rPr>
            <m:sty m:val="p"/>
          </m:rPr>
          <m:t>μ</m:t>
        </m:r>
        <m:sSup>
          <m:e>
            <m:r>
              <m:rPr>
                <m:sty m:val="p"/>
              </m:rPr>
              <m:t>s</m:t>
            </m:r>
          </m:e>
          <m:sup>
            <m:r>
              <m:rPr>
                <m:sty m:val="p"/>
              </m:rPr>
              <m:t>−</m:t>
            </m:r>
            <m:r>
              <m:rPr>
                <m:sty m:val="p"/>
              </m:rPr>
              <m:t>1</m:t>
            </m:r>
          </m:sup>
        </m:sSup>
      </m:oMath>
      <w:r>
        <w:t xml:space="preserve">) and salinity (0.59 ng L</w:t>
      </w:r>
      <m:oMath>
        <m:sSup>
          <m:e>
            <m:r>
              <m:t>​</m:t>
            </m:r>
          </m:e>
          <m:sup>
            <m:r>
              <m:rPr>
                <m:sty m:val="p"/>
              </m:rPr>
              <m:t>−</m:t>
            </m:r>
            <m:r>
              <m:t>1</m:t>
            </m:r>
          </m:sup>
        </m:sSup>
      </m:oMath>
      <w:r>
        <w:t xml:space="preserve">), and contained diverse algal species with</w:t>
      </w:r>
      <w:r>
        <w:t xml:space="preserve"> </w:t>
      </w:r>
      <w:r>
        <w:rPr>
          <w:i/>
          <w:iCs/>
        </w:rPr>
        <w:t xml:space="preserve">Fragilaria</w:t>
      </w:r>
      <w:r>
        <w:t xml:space="preserve"> </w:t>
      </w:r>
      <w:r>
        <w:t xml:space="preserve">as the dominant one</w:t>
      </w:r>
      <w:r>
        <w:t xml:space="preserve"> </w:t>
      </w:r>
      <w:r>
        <w:t xml:space="preserve">(Morales, 2005)</w:t>
      </w:r>
      <w:r>
        <w:t xml:space="preserve">;</w:t>
      </w:r>
      <w:r>
        <w:t xml:space="preserve"> </w:t>
      </w:r>
      <w:r>
        <w:rPr>
          <w:b/>
          <w:bCs/>
        </w:rPr>
        <w:t xml:space="preserve">HH</w:t>
      </w:r>
      <w:r>
        <w:t xml:space="preserve"> </w:t>
      </w:r>
      <w:r>
        <w:t xml:space="preserve">exhibited the highest pH and low salinity and conductivity, and was dominated by</w:t>
      </w:r>
      <w:r>
        <w:t xml:space="preserve"> </w:t>
      </w:r>
      <w:r>
        <w:rPr>
          <w:i/>
          <w:iCs/>
        </w:rPr>
        <w:t xml:space="preserve">Melosira</w:t>
      </w:r>
      <w:r>
        <w:t xml:space="preserve">, a filamentous diatom with thick cell walls;</w:t>
      </w:r>
      <w:r>
        <w:t xml:space="preserve"> </w:t>
      </w:r>
      <w:r>
        <w:rPr>
          <w:b/>
          <w:bCs/>
        </w:rPr>
        <w:t xml:space="preserve">FP</w:t>
      </w:r>
      <w:r>
        <w:t xml:space="preserve"> </w:t>
      </w:r>
      <w:r>
        <w:t xml:space="preserve">and</w:t>
      </w:r>
      <w:r>
        <w:t xml:space="preserve"> </w:t>
      </w:r>
      <w:r>
        <w:rPr>
          <w:b/>
          <w:bCs/>
        </w:rPr>
        <w:t xml:space="preserve">LP</w:t>
      </w:r>
      <w:r>
        <w:t xml:space="preserve"> </w:t>
      </w:r>
      <w:r>
        <w:t xml:space="preserve">exhibited high algal density and were dominated by</w:t>
      </w:r>
      <w:r>
        <w:t xml:space="preserve"> </w:t>
      </w:r>
      <w:r>
        <w:rPr>
          <w:i/>
          <w:iCs/>
        </w:rPr>
        <w:t xml:space="preserve">Lyngbya</w:t>
      </w:r>
      <w:r>
        <w:t xml:space="preserve">, which could temporarily monopolize aquatic ecosystems when they form dense floating mats in water</w:t>
      </w:r>
      <w:r>
        <w:t xml:space="preserve"> </w:t>
      </w:r>
      <w:r>
        <w:t xml:space="preserve">(Beer et al., 1986)</w:t>
      </w:r>
      <w:r>
        <w:t xml:space="preserve">;</w:t>
      </w:r>
      <w:r>
        <w:t xml:space="preserve"> </w:t>
      </w:r>
      <w:r>
        <w:rPr>
          <w:b/>
          <w:bCs/>
        </w:rPr>
        <w:t xml:space="preserve">WML</w:t>
      </w:r>
      <w:r>
        <w:t xml:space="preserve"> </w:t>
      </w:r>
      <w:r>
        <w:t xml:space="preserve">was dominated by</w:t>
      </w:r>
      <w:r>
        <w:t xml:space="preserve"> </w:t>
      </w:r>
      <w:r>
        <w:rPr>
          <w:i/>
          <w:iCs/>
        </w:rPr>
        <w:t xml:space="preserve">Pediastrum</w:t>
      </w:r>
      <w:r>
        <w:t xml:space="preserve">, a genus of green algae commonly present in freshwater microhabitats</w:t>
      </w:r>
      <w:r>
        <w:t xml:space="preserve"> </w:t>
      </w:r>
      <w:r>
        <w:t xml:space="preserve">(Haas, 1996)</w:t>
      </w:r>
      <w:r>
        <w:t xml:space="preserve">.</w:t>
      </w:r>
      <w:r>
        <w:t xml:space="preserve"> </w:t>
      </w:r>
      <w:r>
        <w:rPr>
          <w:i/>
          <w:iCs/>
        </w:rPr>
        <w:t xml:space="preserve">Chlamydomonas</w:t>
      </w:r>
      <w:r>
        <w:t xml:space="preserve">, a genus of green algae consisting of unicellular flagellates</w:t>
      </w:r>
      <w:r>
        <w:t xml:space="preserve"> </w:t>
      </w:r>
      <w:r>
        <w:t xml:space="preserve">(Harris et al., 1989)</w:t>
      </w:r>
      <w:r>
        <w:t xml:space="preserve">, was dominant in</w:t>
      </w:r>
      <w:r>
        <w:t xml:space="preserve"> </w:t>
      </w:r>
      <w:r>
        <w:rPr>
          <w:b/>
          <w:bCs/>
        </w:rPr>
        <w:t xml:space="preserve">YYT</w:t>
      </w:r>
      <w:r>
        <w:t xml:space="preserve">; and</w:t>
      </w:r>
      <w:r>
        <w:t xml:space="preserve"> </w:t>
      </w:r>
      <w:r>
        <w:rPr>
          <w:i/>
          <w:iCs/>
        </w:rPr>
        <w:t xml:space="preserve">Euglena</w:t>
      </w:r>
      <w:r>
        <w:t xml:space="preserve">, a widely studied member of the phylum</w:t>
      </w:r>
      <w:r>
        <w:t xml:space="preserve"> </w:t>
      </w:r>
      <w:r>
        <w:rPr>
          <w:i/>
          <w:iCs/>
        </w:rPr>
        <w:t xml:space="preserve">Euglenozoa</w:t>
      </w:r>
      <w:r>
        <w:t xml:space="preserve"> </w:t>
      </w:r>
      <w:r>
        <w:t xml:space="preserve">(Cramer and Myers, 1952)</w:t>
      </w:r>
      <w:r>
        <w:t xml:space="preserve">, was dominant in</w:t>
      </w:r>
      <w:r>
        <w:t xml:space="preserve"> </w:t>
      </w:r>
      <w:r>
        <w:rPr>
          <w:b/>
          <w:bCs/>
        </w:rPr>
        <w:t xml:space="preserve">WYR</w:t>
      </w:r>
      <w:r>
        <w:t xml:space="preserve">. With regard to bio-community characteristics, only 4 species were observed in</w:t>
      </w:r>
      <w:r>
        <w:t xml:space="preserve"> </w:t>
      </w:r>
      <w:r>
        <w:rPr>
          <w:b/>
          <w:bCs/>
        </w:rPr>
        <w:t xml:space="preserve">QR</w:t>
      </w:r>
      <w:r>
        <w:t xml:space="preserve"> </w:t>
      </w:r>
      <w:r>
        <w:t xml:space="preserve">with a diversity index of 1.46; however,</w:t>
      </w:r>
      <w:r>
        <w:t xml:space="preserve"> </w:t>
      </w:r>
      <w:r>
        <w:rPr>
          <w:b/>
          <w:bCs/>
        </w:rPr>
        <w:t xml:space="preserve">FP</w:t>
      </w:r>
      <w:r>
        <w:t xml:space="preserve">,</w:t>
      </w:r>
      <w:r>
        <w:t xml:space="preserve"> </w:t>
      </w:r>
      <w:r>
        <w:rPr>
          <w:b/>
          <w:bCs/>
        </w:rPr>
        <w:t xml:space="preserve">LP</w:t>
      </w:r>
      <w:r>
        <w:t xml:space="preserve">,</w:t>
      </w:r>
      <w:r>
        <w:t xml:space="preserve"> </w:t>
      </w:r>
      <w:r>
        <w:rPr>
          <w:b/>
          <w:bCs/>
        </w:rPr>
        <w:t xml:space="preserve">YYT</w:t>
      </w:r>
      <w:r>
        <w:t xml:space="preserve"> </w:t>
      </w:r>
      <w:r>
        <w:t xml:space="preserve">and</w:t>
      </w:r>
      <w:r>
        <w:t xml:space="preserve"> </w:t>
      </w:r>
      <w:r>
        <w:rPr>
          <w:b/>
          <w:bCs/>
        </w:rPr>
        <w:t xml:space="preserve">WML</w:t>
      </w:r>
      <w:r>
        <w:t xml:space="preserve"> </w:t>
      </w:r>
      <w:r>
        <w:t xml:space="preserve">showed a much higher Richness index</w:t>
      </w:r>
      <w:r>
        <w:t xml:space="preserve"> </w:t>
      </w:r>
      <w:r>
        <w:t xml:space="preserve">(Colwell, 2009)</w:t>
      </w:r>
      <w:r>
        <w:t xml:space="preserve"> </w:t>
      </w:r>
      <w:r>
        <w:t xml:space="preserve">around 20, while the diversity index</w:t>
      </w:r>
      <w:r>
        <w:t xml:space="preserve"> </w:t>
      </w:r>
      <w:r>
        <w:t xml:space="preserve">(Shannon et al., 1949)</w:t>
      </w:r>
      <w:r>
        <w:t xml:space="preserve"> </w:t>
      </w:r>
      <w:r>
        <w:t xml:space="preserve">varied from 1.35 to 10.62, implying a greatly dissimilar traits between sites.</w:t>
      </w:r>
    </w:p>
    <w:tbl>
      <w:tblPr>
        <w:tblStyle w:val="Table"/>
        <w:tblW w:type="pct" w:w="5000"/>
        <w:tblLayout w:type="fixed"/>
        <w:tblLook w:firstRow="0" w:lastRow="0" w:firstColumn="0" w:lastColumn="0" w:noHBand="0" w:noVBand="0" w:val="0000"/>
      </w:tblPr>
      <w:tblGrid>
        <w:gridCol w:w="7920"/>
      </w:tblGrid>
      <w:tr>
        <w:tc>
          <w:tcPr/>
          <w:bookmarkStart w:id="53" w:name="tbl-fieldsample"/>
          <w:p>
            <w:pPr>
              <w:jc w:val="center"/>
            </w:pPr>
            <w:pPr>
              <w:jc w:val="start"/>
              <w:spacing w:before="200"/>
              <w:pStyle w:val="ImageCaption"/>
            </w:pPr>
            <w:r>
              <w:t xml:space="preserve">Table 4: Physicochemical properties and ecological community composition of field sampling sites. Richness is the number of genera or species per sample; S-W is the Shannon-Weaver diversity index.</w:t>
            </w:r>
          </w:p>
          <w:tbl>
            <w:tblPr>
              <w:tblStyle w:val="Table"/>
              <w:tblW w:type="pct" w:w="5000"/>
              <w:tblLayout w:type="fixed"/>
              <w:tblLook w:firstRow="1" w:lastRow="0" w:firstColumn="0" w:lastColumn="0" w:noHBand="0" w:noVBand="0" w:val="0020"/>
            </w:tblPr>
            <w:tblGrid>
              <w:gridCol w:w="792"/>
              <w:gridCol w:w="792"/>
              <w:gridCol w:w="792"/>
              <w:gridCol w:w="792"/>
              <w:gridCol w:w="792"/>
              <w:gridCol w:w="792"/>
              <w:gridCol w:w="792"/>
              <w:gridCol w:w="792"/>
              <w:gridCol w:w="792"/>
              <w:gridCol w:w="792"/>
            </w:tblGrid>
            <w:tr>
              <w:trPr>
                <w:tblHeader w:val="on"/>
              </w:trPr>
              <w:tc>
                <w:tcPr/>
                <w:p>
                  <w:pPr>
                    <w:pStyle w:val="Compact"/>
                    <w:jc w:val="left"/>
                    <w:jc w:val="center"/>
                  </w:pPr>
                  <w:r>
                    <w:t xml:space="preserve">Site</w:t>
                  </w:r>
                </w:p>
              </w:tc>
              <w:tc>
                <w:tcPr/>
                <w:p>
                  <w:pPr>
                    <w:pStyle w:val="Compact"/>
                    <w:jc w:val="right"/>
                    <w:jc w:val="center"/>
                  </w:pPr>
                  <w:r>
                    <w:t xml:space="preserve">Depth (m)</w:t>
                  </w:r>
                </w:p>
              </w:tc>
              <w:tc>
                <w:tcPr/>
                <w:p>
                  <w:pPr>
                    <w:pStyle w:val="Compact"/>
                    <w:jc w:val="right"/>
                    <w:jc w:val="center"/>
                  </w:pPr>
                  <w:r>
                    <w:t xml:space="preserve">Salinity</w:t>
                  </w:r>
                </w:p>
              </w:tc>
              <w:tc>
                <w:tcPr/>
                <w:p>
                  <w:pPr>
                    <w:pStyle w:val="Compact"/>
                    <w:jc w:val="right"/>
                    <w:jc w:val="center"/>
                  </w:pPr>
                  <w:r>
                    <w:t xml:space="preserve">pH</w:t>
                  </w:r>
                </w:p>
              </w:tc>
              <w:tc>
                <w:tcPr/>
                <w:p>
                  <w:pPr>
                    <w:pStyle w:val="Compact"/>
                    <w:jc w:val="right"/>
                    <w:jc w:val="center"/>
                  </w:pPr>
                  <w:r>
                    <w:t xml:space="preserve">Conductivity</w:t>
                  </w:r>
                </w:p>
              </w:tc>
              <w:tc>
                <w:tcPr/>
                <w:p>
                  <w:pPr>
                    <w:pStyle w:val="Compact"/>
                    <w:jc w:val="right"/>
                    <w:jc w:val="center"/>
                  </w:pPr>
                  <w:r>
                    <w:t xml:space="preserve">Algal density (cells L</w:t>
                  </w:r>
                  <w:r>
                    <w:rPr>
                      <w:vertAlign w:val="superscript"/>
                    </w:rPr>
                    <w:t xml:space="preserve">-1</w:t>
                  </w:r>
                  <w:r>
                    <w:t xml:space="preserve">)</w:t>
                  </w:r>
                </w:p>
              </w:tc>
              <w:tc>
                <w:tcPr/>
                <w:p>
                  <w:pPr>
                    <w:pStyle w:val="Compact"/>
                    <w:jc w:val="left"/>
                    <w:jc w:val="center"/>
                  </w:pPr>
                  <w:r>
                    <w:t xml:space="preserve">Dominant genus</w:t>
                  </w:r>
                </w:p>
              </w:tc>
              <w:tc>
                <w:tcPr/>
                <w:p>
                  <w:pPr>
                    <w:pStyle w:val="Compact"/>
                    <w:jc w:val="left"/>
                    <w:jc w:val="center"/>
                  </w:pPr>
                  <w:r>
                    <w:t xml:space="preserve">Other present genera</w:t>
                  </w:r>
                </w:p>
              </w:tc>
              <w:tc>
                <w:tcPr/>
                <w:p>
                  <w:pPr>
                    <w:pStyle w:val="Compact"/>
                    <w:jc w:val="right"/>
                    <w:jc w:val="center"/>
                  </w:pPr>
                  <w:r>
                    <w:t xml:space="preserve">Richness</w:t>
                  </w:r>
                </w:p>
              </w:tc>
              <w:tc>
                <w:tcPr/>
                <w:p>
                  <w:pPr>
                    <w:pStyle w:val="Compact"/>
                    <w:jc w:val="right"/>
                    <w:jc w:val="center"/>
                  </w:pPr>
                  <w:r>
                    <w:t xml:space="preserve">S-W index</w:t>
                  </w:r>
                </w:p>
              </w:tc>
            </w:tr>
            <w:tr>
              <w:tc>
                <w:tcPr/>
                <w:p>
                  <w:pPr>
                    <w:pStyle w:val="Compact"/>
                    <w:jc w:val="left"/>
                    <w:jc w:val="center"/>
                  </w:pPr>
                  <w:r>
                    <w:t xml:space="preserve">WML</w:t>
                  </w:r>
                </w:p>
              </w:tc>
              <w:tc>
                <w:tcPr/>
                <w:p>
                  <w:pPr>
                    <w:pStyle w:val="Compact"/>
                    <w:jc w:val="right"/>
                    <w:jc w:val="center"/>
                  </w:pPr>
                  <w:r>
                    <w:t xml:space="preserve">&lt;5</w:t>
                  </w:r>
                </w:p>
              </w:tc>
              <w:tc>
                <w:tcPr/>
                <w:p>
                  <w:pPr>
                    <w:pStyle w:val="Compact"/>
                    <w:jc w:val="right"/>
                    <w:jc w:val="center"/>
                  </w:pPr>
                  <w:r>
                    <w:t xml:space="preserve">0.29</w:t>
                  </w:r>
                </w:p>
              </w:tc>
              <w:tc>
                <w:tcPr/>
                <w:p>
                  <w:pPr>
                    <w:pStyle w:val="Compact"/>
                    <w:jc w:val="right"/>
                    <w:jc w:val="center"/>
                  </w:pPr>
                  <w:r>
                    <w:t xml:space="preserve">7.14</w:t>
                  </w:r>
                </w:p>
              </w:tc>
              <w:tc>
                <w:tcPr/>
                <w:p>
                  <w:pPr>
                    <w:pStyle w:val="Compact"/>
                    <w:jc w:val="right"/>
                    <w:jc w:val="center"/>
                  </w:pPr>
                  <w:r>
                    <w:t xml:space="preserve">0.598</w:t>
                  </w:r>
                </w:p>
              </w:tc>
              <w:tc>
                <w:tcPr/>
                <w:p>
                  <w:pPr>
                    <w:pStyle w:val="Compact"/>
                    <w:jc w:val="right"/>
                    <w:jc w:val="center"/>
                  </w:pPr>
                  <w:r>
                    <w:t xml:space="preserve">8,925,000</w:t>
                  </w:r>
                </w:p>
              </w:tc>
              <w:tc>
                <w:tcPr/>
                <w:p>
                  <w:pPr>
                    <w:pStyle w:val="Compact"/>
                    <w:jc w:val="left"/>
                    <w:jc w:val="center"/>
                  </w:pPr>
                  <w:r>
                    <w:rPr>
                      <w:i/>
                      <w:iCs/>
                    </w:rPr>
                    <w:t xml:space="preserve">Pediastrum</w:t>
                  </w:r>
                </w:p>
              </w:tc>
              <w:tc>
                <w:tcPr/>
                <w:p>
                  <w:pPr>
                    <w:pStyle w:val="Compact"/>
                    <w:jc w:val="left"/>
                    <w:jc w:val="center"/>
                  </w:pPr>
                  <w:r>
                    <w:t xml:space="preserve">Chlorococcales,</w:t>
                  </w:r>
                  <w:r>
                    <w:t xml:space="preserve"> </w:t>
                  </w:r>
                  <w:r>
                    <w:rPr>
                      <w:i/>
                      <w:iCs/>
                    </w:rPr>
                    <w:t xml:space="preserve">Synedra</w:t>
                  </w:r>
                  <w:r>
                    <w:t xml:space="preserve">,</w:t>
                  </w:r>
                  <w:r>
                    <w:t xml:space="preserve"> </w:t>
                  </w:r>
                  <w:r>
                    <w:rPr>
                      <w:i/>
                      <w:iCs/>
                    </w:rPr>
                    <w:t xml:space="preserve">Scenedesmus</w:t>
                  </w:r>
                  <w:r>
                    <w:t xml:space="preserve">,</w:t>
                  </w:r>
                  <w:r>
                    <w:t xml:space="preserve"> </w:t>
                  </w:r>
                  <w:r>
                    <w:rPr>
                      <w:i/>
                      <w:iCs/>
                    </w:rPr>
                    <w:t xml:space="preserve">Diatoma</w:t>
                  </w:r>
                </w:p>
              </w:tc>
              <w:tc>
                <w:tcPr/>
                <w:p>
                  <w:pPr>
                    <w:pStyle w:val="Compact"/>
                    <w:jc w:val="right"/>
                    <w:jc w:val="center"/>
                  </w:pPr>
                  <w:r>
                    <w:t xml:space="preserve">18</w:t>
                  </w:r>
                </w:p>
              </w:tc>
              <w:tc>
                <w:tcPr/>
                <w:p>
                  <w:pPr>
                    <w:pStyle w:val="Compact"/>
                    <w:jc w:val="right"/>
                    <w:jc w:val="center"/>
                  </w:pPr>
                  <w:r>
                    <w:t xml:space="preserve">6.44</w:t>
                  </w:r>
                </w:p>
              </w:tc>
            </w:tr>
            <w:tr>
              <w:tc>
                <w:tcPr/>
                <w:p>
                  <w:pPr>
                    <w:pStyle w:val="Compact"/>
                    <w:jc w:val="left"/>
                    <w:jc w:val="center"/>
                  </w:pPr>
                  <w:r>
                    <w:t xml:space="preserve">FP</w:t>
                  </w:r>
                </w:p>
              </w:tc>
              <w:tc>
                <w:tcPr/>
                <w:p>
                  <w:pPr>
                    <w:pStyle w:val="Compact"/>
                    <w:jc w:val="right"/>
                    <w:jc w:val="center"/>
                  </w:pPr>
                  <w:r>
                    <w:t xml:space="preserve">&lt;3</w:t>
                  </w:r>
                </w:p>
              </w:tc>
              <w:tc>
                <w:tcPr/>
                <w:p>
                  <w:pPr>
                    <w:pStyle w:val="Compact"/>
                    <w:jc w:val="right"/>
                    <w:jc w:val="center"/>
                  </w:pPr>
                  <w:r>
                    <w:t xml:space="preserve">0.29</w:t>
                  </w:r>
                </w:p>
              </w:tc>
              <w:tc>
                <w:tcPr/>
                <w:p>
                  <w:pPr>
                    <w:pStyle w:val="Compact"/>
                    <w:jc w:val="right"/>
                    <w:jc w:val="center"/>
                  </w:pPr>
                  <w:r>
                    <w:t xml:space="preserve">7.14</w:t>
                  </w:r>
                </w:p>
              </w:tc>
              <w:tc>
                <w:tcPr/>
                <w:p>
                  <w:pPr>
                    <w:pStyle w:val="Compact"/>
                    <w:jc w:val="right"/>
                    <w:jc w:val="center"/>
                  </w:pPr>
                  <w:r>
                    <w:t xml:space="preserve">0.598</w:t>
                  </w:r>
                </w:p>
              </w:tc>
              <w:tc>
                <w:tcPr/>
                <w:p>
                  <w:pPr>
                    <w:pStyle w:val="Compact"/>
                    <w:jc w:val="right"/>
                    <w:jc w:val="center"/>
                  </w:pPr>
                  <w:r>
                    <w:t xml:space="preserve">461,100,000</w:t>
                  </w:r>
                </w:p>
              </w:tc>
              <w:tc>
                <w:tcPr/>
                <w:p>
                  <w:pPr>
                    <w:pStyle w:val="Compact"/>
                    <w:jc w:val="left"/>
                    <w:jc w:val="center"/>
                  </w:pPr>
                  <w:r>
                    <w:rPr>
                      <w:i/>
                      <w:iCs/>
                    </w:rPr>
                    <w:t xml:space="preserve">Lyngbya</w:t>
                  </w:r>
                </w:p>
              </w:tc>
              <w:tc>
                <w:tcPr/>
                <w:p>
                  <w:pPr>
                    <w:pStyle w:val="Compact"/>
                    <w:jc w:val="left"/>
                    <w:jc w:val="center"/>
                  </w:pPr>
                  <w:r>
                    <w:rPr>
                      <w:i/>
                      <w:iCs/>
                    </w:rPr>
                    <w:t xml:space="preserve">Synedra</w:t>
                  </w:r>
                  <w:r>
                    <w:t xml:space="preserve">,</w:t>
                  </w:r>
                  <w:r>
                    <w:t xml:space="preserve"> </w:t>
                  </w:r>
                  <w:r>
                    <w:rPr>
                      <w:i/>
                      <w:iCs/>
                    </w:rPr>
                    <w:t xml:space="preserve">Scenedesmus</w:t>
                  </w:r>
                  <w:r>
                    <w:t xml:space="preserve">,</w:t>
                  </w:r>
                  <w:r>
                    <w:t xml:space="preserve"> </w:t>
                  </w:r>
                  <w:r>
                    <w:rPr>
                      <w:i/>
                      <w:iCs/>
                    </w:rPr>
                    <w:t xml:space="preserve">Merismopedia</w:t>
                  </w:r>
                  <w:r>
                    <w:t xml:space="preserve">,</w:t>
                  </w:r>
                  <w:r>
                    <w:t xml:space="preserve"> </w:t>
                  </w:r>
                  <w:r>
                    <w:rPr>
                      <w:i/>
                      <w:iCs/>
                    </w:rPr>
                    <w:t xml:space="preserve">Selenastrum</w:t>
                  </w:r>
                </w:p>
              </w:tc>
              <w:tc>
                <w:tcPr/>
                <w:p>
                  <w:pPr>
                    <w:pStyle w:val="Compact"/>
                    <w:jc w:val="right"/>
                    <w:jc w:val="center"/>
                  </w:pPr>
                  <w:r>
                    <w:t xml:space="preserve">22</w:t>
                  </w:r>
                </w:p>
              </w:tc>
              <w:tc>
                <w:tcPr/>
                <w:p>
                  <w:pPr>
                    <w:pStyle w:val="Compact"/>
                    <w:jc w:val="right"/>
                    <w:jc w:val="center"/>
                  </w:pPr>
                  <w:r>
                    <w:t xml:space="preserve">1.99</w:t>
                  </w:r>
                </w:p>
              </w:tc>
            </w:tr>
            <w:tr>
              <w:tc>
                <w:tcPr/>
                <w:p>
                  <w:pPr>
                    <w:pStyle w:val="Compact"/>
                    <w:jc w:val="left"/>
                    <w:jc w:val="center"/>
                  </w:pPr>
                  <w:r>
                    <w:t xml:space="preserve">YYT</w:t>
                  </w:r>
                </w:p>
              </w:tc>
              <w:tc>
                <w:tcPr/>
                <w:p>
                  <w:pPr>
                    <w:pStyle w:val="Compact"/>
                    <w:jc w:val="right"/>
                    <w:jc w:val="center"/>
                  </w:pPr>
                  <w:r>
                    <w:t xml:space="preserve">&lt;4</w:t>
                  </w:r>
                </w:p>
              </w:tc>
              <w:tc>
                <w:tcPr/>
                <w:p>
                  <w:pPr>
                    <w:pStyle w:val="Compact"/>
                    <w:jc w:val="right"/>
                    <w:jc w:val="center"/>
                  </w:pPr>
                  <w:r>
                    <w:t xml:space="preserve">0.20</w:t>
                  </w:r>
                </w:p>
              </w:tc>
              <w:tc>
                <w:tcPr/>
                <w:p>
                  <w:pPr>
                    <w:pStyle w:val="Compact"/>
                    <w:jc w:val="right"/>
                    <w:jc w:val="center"/>
                  </w:pPr>
                  <w:r>
                    <w:t xml:space="preserve">7.09</w:t>
                  </w:r>
                </w:p>
              </w:tc>
              <w:tc>
                <w:tcPr/>
                <w:p>
                  <w:pPr>
                    <w:pStyle w:val="Compact"/>
                    <w:jc w:val="right"/>
                    <w:jc w:val="center"/>
                  </w:pPr>
                  <w:r>
                    <w:t xml:space="preserve">0.414</w:t>
                  </w:r>
                </w:p>
              </w:tc>
              <w:tc>
                <w:tcPr/>
                <w:p>
                  <w:pPr>
                    <w:pStyle w:val="Compact"/>
                    <w:jc w:val="right"/>
                    <w:jc w:val="center"/>
                  </w:pPr>
                  <w:r>
                    <w:t xml:space="preserve">9,390,000</w:t>
                  </w:r>
                </w:p>
              </w:tc>
              <w:tc>
                <w:tcPr/>
                <w:p>
                  <w:pPr>
                    <w:pStyle w:val="Compact"/>
                    <w:jc w:val="left"/>
                    <w:jc w:val="center"/>
                  </w:pPr>
                  <w:r>
                    <w:rPr>
                      <w:i/>
                      <w:iCs/>
                    </w:rPr>
                    <w:t xml:space="preserve">Chlamydomonas</w:t>
                  </w:r>
                </w:p>
              </w:tc>
              <w:tc>
                <w:tcPr/>
                <w:p>
                  <w:pPr>
                    <w:pStyle w:val="Compact"/>
                    <w:jc w:val="left"/>
                    <w:jc w:val="center"/>
                  </w:pPr>
                  <w:r>
                    <w:rPr>
                      <w:i/>
                      <w:iCs/>
                    </w:rPr>
                    <w:t xml:space="preserve">Cyclotella</w:t>
                  </w:r>
                  <w:r>
                    <w:t xml:space="preserve">,</w:t>
                  </w:r>
                  <w:r>
                    <w:t xml:space="preserve"> </w:t>
                  </w:r>
                  <w:r>
                    <w:rPr>
                      <w:i/>
                      <w:iCs/>
                    </w:rPr>
                    <w:t xml:space="preserve">Scenedesmus</w:t>
                  </w:r>
                  <w:r>
                    <w:t xml:space="preserve">,</w:t>
                  </w:r>
                  <w:r>
                    <w:t xml:space="preserve"> </w:t>
                  </w:r>
                  <w:r>
                    <w:rPr>
                      <w:i/>
                      <w:iCs/>
                    </w:rPr>
                    <w:t xml:space="preserve">Melosira</w:t>
                  </w:r>
                  <w:r>
                    <w:t xml:space="preserve">,</w:t>
                  </w:r>
                  <w:r>
                    <w:t xml:space="preserve"> </w:t>
                  </w:r>
                  <w:r>
                    <w:rPr>
                      <w:i/>
                      <w:iCs/>
                    </w:rPr>
                    <w:t xml:space="preserve">Diatoma</w:t>
                  </w:r>
                </w:p>
              </w:tc>
              <w:tc>
                <w:tcPr/>
                <w:p>
                  <w:pPr>
                    <w:pStyle w:val="Compact"/>
                    <w:jc w:val="right"/>
                    <w:jc w:val="center"/>
                  </w:pPr>
                  <w:r>
                    <w:t xml:space="preserve">19</w:t>
                  </w:r>
                </w:p>
              </w:tc>
              <w:tc>
                <w:tcPr/>
                <w:p>
                  <w:pPr>
                    <w:pStyle w:val="Compact"/>
                    <w:jc w:val="right"/>
                    <w:jc w:val="center"/>
                  </w:pPr>
                  <w:r>
                    <w:t xml:space="preserve">10.62</w:t>
                  </w:r>
                </w:p>
              </w:tc>
            </w:tr>
            <w:tr>
              <w:tc>
                <w:tcPr/>
                <w:p>
                  <w:pPr>
                    <w:pStyle w:val="Compact"/>
                    <w:jc w:val="left"/>
                    <w:jc w:val="center"/>
                  </w:pPr>
                  <w:r>
                    <w:t xml:space="preserve">HH</w:t>
                  </w:r>
                </w:p>
              </w:tc>
              <w:tc>
                <w:tcPr/>
                <w:p>
                  <w:pPr>
                    <w:pStyle w:val="Compact"/>
                    <w:jc w:val="right"/>
                    <w:jc w:val="center"/>
                  </w:pPr>
                  <w:r>
                    <w:t xml:space="preserve">&lt;2</w:t>
                  </w:r>
                </w:p>
              </w:tc>
              <w:tc>
                <w:tcPr/>
                <w:p>
                  <w:pPr>
                    <w:pStyle w:val="Compact"/>
                    <w:jc w:val="right"/>
                    <w:jc w:val="center"/>
                  </w:pPr>
                  <w:r>
                    <w:t xml:space="preserve">0.20</w:t>
                  </w:r>
                </w:p>
              </w:tc>
              <w:tc>
                <w:tcPr/>
                <w:p>
                  <w:pPr>
                    <w:pStyle w:val="Compact"/>
                    <w:jc w:val="right"/>
                    <w:jc w:val="center"/>
                  </w:pPr>
                  <w:r>
                    <w:t xml:space="preserve">7.82</w:t>
                  </w:r>
                </w:p>
              </w:tc>
              <w:tc>
                <w:tcPr/>
                <w:p>
                  <w:pPr>
                    <w:pStyle w:val="Compact"/>
                    <w:jc w:val="right"/>
                    <w:jc w:val="center"/>
                  </w:pPr>
                  <w:r>
                    <w:t xml:space="preserve">0.420</w:t>
                  </w:r>
                </w:p>
              </w:tc>
              <w:tc>
                <w:tcPr/>
                <w:p>
                  <w:pPr>
                    <w:pStyle w:val="Compact"/>
                    <w:jc w:val="right"/>
                    <w:jc w:val="center"/>
                  </w:pPr>
                  <w:r>
                    <w:t xml:space="preserve">2,600,000</w:t>
                  </w:r>
                </w:p>
              </w:tc>
              <w:tc>
                <w:tcPr/>
                <w:p>
                  <w:pPr>
                    <w:pStyle w:val="Compact"/>
                    <w:jc w:val="left"/>
                    <w:jc w:val="center"/>
                  </w:pPr>
                  <w:r>
                    <w:rPr>
                      <w:i/>
                      <w:iCs/>
                    </w:rPr>
                    <w:t xml:space="preserve">Melosira</w:t>
                  </w:r>
                </w:p>
              </w:tc>
              <w:tc>
                <w:tcPr/>
                <w:p>
                  <w:pPr>
                    <w:pStyle w:val="Compact"/>
                    <w:jc w:val="left"/>
                    <w:jc w:val="center"/>
                  </w:pPr>
                  <w:r>
                    <w:rPr>
                      <w:i/>
                      <w:iCs/>
                    </w:rPr>
                    <w:t xml:space="preserve">Diatoma</w:t>
                  </w:r>
                  <w:r>
                    <w:t xml:space="preserve">,</w:t>
                  </w:r>
                  <w:r>
                    <w:t xml:space="preserve"> </w:t>
                  </w:r>
                  <w:r>
                    <w:rPr>
                      <w:i/>
                      <w:iCs/>
                    </w:rPr>
                    <w:t xml:space="preserve">Cyclotella</w:t>
                  </w:r>
                  <w:r>
                    <w:t xml:space="preserve">,</w:t>
                  </w:r>
                  <w:r>
                    <w:t xml:space="preserve"> </w:t>
                  </w:r>
                  <w:r>
                    <w:rPr>
                      <w:i/>
                      <w:iCs/>
                    </w:rPr>
                    <w:t xml:space="preserve">Pediastrum</w:t>
                  </w:r>
                  <w:r>
                    <w:t xml:space="preserve">,</w:t>
                  </w:r>
                  <w:r>
                    <w:t xml:space="preserve"> </w:t>
                  </w:r>
                  <w:r>
                    <w:rPr>
                      <w:i/>
                      <w:iCs/>
                    </w:rPr>
                    <w:t xml:space="preserve">Scenedesmus</w:t>
                  </w:r>
                </w:p>
              </w:tc>
              <w:tc>
                <w:tcPr/>
                <w:p>
                  <w:pPr>
                    <w:pStyle w:val="Compact"/>
                    <w:jc w:val="right"/>
                    <w:jc w:val="center"/>
                  </w:pPr>
                  <w:r>
                    <w:t xml:space="preserve">16</w:t>
                  </w:r>
                </w:p>
              </w:tc>
              <w:tc>
                <w:tcPr/>
                <w:p>
                  <w:pPr>
                    <w:pStyle w:val="Compact"/>
                    <w:jc w:val="right"/>
                    <w:jc w:val="center"/>
                  </w:pPr>
                  <w:r>
                    <w:t xml:space="preserve">8.41</w:t>
                  </w:r>
                </w:p>
              </w:tc>
            </w:tr>
            <w:tr>
              <w:tc>
                <w:tcPr/>
                <w:p>
                  <w:pPr>
                    <w:pStyle w:val="Compact"/>
                    <w:jc w:val="left"/>
                    <w:jc w:val="center"/>
                  </w:pPr>
                  <w:r>
                    <w:t xml:space="preserve">LP</w:t>
                  </w:r>
                </w:p>
              </w:tc>
              <w:tc>
                <w:tcPr/>
                <w:p>
                  <w:pPr>
                    <w:pStyle w:val="Compact"/>
                    <w:jc w:val="right"/>
                    <w:jc w:val="center"/>
                  </w:pPr>
                  <w:r>
                    <w:t xml:space="preserve">&lt;5</w:t>
                  </w:r>
                </w:p>
              </w:tc>
              <w:tc>
                <w:tcPr/>
                <w:p>
                  <w:pPr>
                    <w:pStyle w:val="Compact"/>
                    <w:jc w:val="right"/>
                    <w:jc w:val="center"/>
                  </w:pPr>
                  <w:r>
                    <w:t xml:space="preserve">0.39</w:t>
                  </w:r>
                </w:p>
              </w:tc>
              <w:tc>
                <w:tcPr/>
                <w:p>
                  <w:pPr>
                    <w:pStyle w:val="Compact"/>
                    <w:jc w:val="right"/>
                    <w:jc w:val="center"/>
                  </w:pPr>
                  <w:r>
                    <w:t xml:space="preserve">7.25</w:t>
                  </w:r>
                </w:p>
              </w:tc>
              <w:tc>
                <w:tcPr/>
                <w:p>
                  <w:pPr>
                    <w:pStyle w:val="Compact"/>
                    <w:jc w:val="right"/>
                    <w:jc w:val="center"/>
                  </w:pPr>
                  <w:r>
                    <w:t xml:space="preserve">0.797</w:t>
                  </w:r>
                </w:p>
              </w:tc>
              <w:tc>
                <w:tcPr/>
                <w:p>
                  <w:pPr>
                    <w:pStyle w:val="Compact"/>
                    <w:jc w:val="right"/>
                    <w:jc w:val="center"/>
                  </w:pPr>
                  <w:r>
                    <w:t xml:space="preserve">301,700,000</w:t>
                  </w:r>
                </w:p>
              </w:tc>
              <w:tc>
                <w:tcPr/>
                <w:p>
                  <w:pPr>
                    <w:pStyle w:val="Compact"/>
                    <w:jc w:val="left"/>
                    <w:jc w:val="center"/>
                  </w:pPr>
                  <w:r>
                    <w:rPr>
                      <w:i/>
                      <w:iCs/>
                    </w:rPr>
                    <w:t xml:space="preserve">Lyngbya</w:t>
                  </w:r>
                </w:p>
              </w:tc>
              <w:tc>
                <w:tcPr/>
                <w:p>
                  <w:pPr>
                    <w:pStyle w:val="Compact"/>
                    <w:jc w:val="left"/>
                    <w:jc w:val="center"/>
                  </w:pPr>
                  <w:r>
                    <w:rPr>
                      <w:i/>
                      <w:iCs/>
                    </w:rPr>
                    <w:t xml:space="preserve">Aphanocapsa</w:t>
                  </w:r>
                  <w:r>
                    <w:t xml:space="preserve">,</w:t>
                  </w:r>
                  <w:r>
                    <w:t xml:space="preserve"> </w:t>
                  </w:r>
                  <w:r>
                    <w:rPr>
                      <w:i/>
                      <w:iCs/>
                    </w:rPr>
                    <w:t xml:space="preserve">Merismopedia</w:t>
                  </w:r>
                  <w:r>
                    <w:t xml:space="preserve">,</w:t>
                  </w:r>
                  <w:r>
                    <w:t xml:space="preserve"> </w:t>
                  </w:r>
                  <w:r>
                    <w:rPr>
                      <w:i/>
                      <w:iCs/>
                    </w:rPr>
                    <w:t xml:space="preserve">Scenedesmus</w:t>
                  </w:r>
                  <w:r>
                    <w:t xml:space="preserve">,</w:t>
                  </w:r>
                  <w:r>
                    <w:t xml:space="preserve"> </w:t>
                  </w:r>
                  <w:r>
                    <w:rPr>
                      <w:i/>
                      <w:iCs/>
                    </w:rPr>
                    <w:t xml:space="preserve">Pediastrum</w:t>
                  </w:r>
                </w:p>
              </w:tc>
              <w:tc>
                <w:tcPr/>
                <w:p>
                  <w:pPr>
                    <w:pStyle w:val="Compact"/>
                    <w:jc w:val="right"/>
                    <w:jc w:val="center"/>
                  </w:pPr>
                  <w:r>
                    <w:t xml:space="preserve">20</w:t>
                  </w:r>
                </w:p>
              </w:tc>
              <w:tc>
                <w:tcPr/>
                <w:p>
                  <w:pPr>
                    <w:pStyle w:val="Compact"/>
                    <w:jc w:val="right"/>
                    <w:jc w:val="center"/>
                  </w:pPr>
                  <w:r>
                    <w:t xml:space="preserve">1.35</w:t>
                  </w:r>
                </w:p>
              </w:tc>
            </w:tr>
            <w:tr>
              <w:tc>
                <w:tcPr/>
                <w:p>
                  <w:pPr>
                    <w:pStyle w:val="Compact"/>
                    <w:jc w:val="left"/>
                    <w:jc w:val="center"/>
                  </w:pPr>
                  <w:r>
                    <w:t xml:space="preserve">WYR</w:t>
                  </w:r>
                </w:p>
              </w:tc>
              <w:tc>
                <w:tcPr/>
                <w:p>
                  <w:pPr>
                    <w:pStyle w:val="Compact"/>
                    <w:jc w:val="right"/>
                    <w:jc w:val="center"/>
                  </w:pPr>
                  <w:r>
                    <w:t xml:space="preserve">-</w:t>
                  </w:r>
                </w:p>
              </w:tc>
              <w:tc>
                <w:tcPr/>
                <w:p>
                  <w:pPr>
                    <w:pStyle w:val="Compact"/>
                    <w:jc w:val="right"/>
                    <w:jc w:val="center"/>
                  </w:pPr>
                  <w:r>
                    <w:t xml:space="preserve">0.41</w:t>
                  </w:r>
                </w:p>
              </w:tc>
              <w:tc>
                <w:tcPr/>
                <w:p>
                  <w:pPr>
                    <w:pStyle w:val="Compact"/>
                    <w:jc w:val="right"/>
                    <w:jc w:val="center"/>
                  </w:pPr>
                  <w:r>
                    <w:t xml:space="preserve">7.53</w:t>
                  </w:r>
                </w:p>
              </w:tc>
              <w:tc>
                <w:tcPr/>
                <w:p>
                  <w:pPr>
                    <w:pStyle w:val="Compact"/>
                    <w:jc w:val="right"/>
                    <w:jc w:val="center"/>
                  </w:pPr>
                  <w:r>
                    <w:t xml:space="preserve">0.834</w:t>
                  </w:r>
                </w:p>
              </w:tc>
              <w:tc>
                <w:tcPr/>
                <w:p>
                  <w:pPr>
                    <w:pStyle w:val="Compact"/>
                    <w:jc w:val="right"/>
                    <w:jc w:val="center"/>
                  </w:pPr>
                  <w:r>
                    <w:t xml:space="preserve">4,701,000</w:t>
                  </w:r>
                </w:p>
              </w:tc>
              <w:tc>
                <w:tcPr/>
                <w:p>
                  <w:pPr>
                    <w:pStyle w:val="Compact"/>
                    <w:jc w:val="left"/>
                    <w:jc w:val="center"/>
                  </w:pPr>
                  <w:r>
                    <w:rPr>
                      <w:i/>
                      <w:iCs/>
                    </w:rPr>
                    <w:t xml:space="preserve">Euglena</w:t>
                  </w:r>
                </w:p>
              </w:tc>
              <w:tc>
                <w:tcPr/>
                <w:p>
                  <w:pPr>
                    <w:pStyle w:val="Compact"/>
                    <w:jc w:val="left"/>
                    <w:jc w:val="center"/>
                  </w:pPr>
                  <w:r>
                    <w:rPr>
                      <w:i/>
                      <w:iCs/>
                    </w:rPr>
                    <w:t xml:space="preserve">Frustulia</w:t>
                  </w:r>
                  <w:r>
                    <w:t xml:space="preserve">,</w:t>
                  </w:r>
                  <w:r>
                    <w:t xml:space="preserve"> </w:t>
                  </w:r>
                  <w:r>
                    <w:rPr>
                      <w:i/>
                      <w:iCs/>
                    </w:rPr>
                    <w:t xml:space="preserve">Aphanizomenon</w:t>
                  </w:r>
                  <w:r>
                    <w:t xml:space="preserve">,</w:t>
                  </w:r>
                  <w:r>
                    <w:t xml:space="preserve"> </w:t>
                  </w:r>
                  <w:r>
                    <w:rPr>
                      <w:i/>
                      <w:iCs/>
                    </w:rPr>
                    <w:t xml:space="preserve">Synedra</w:t>
                  </w:r>
                  <w:r>
                    <w:t xml:space="preserve">,</w:t>
                  </w:r>
                  <w:r>
                    <w:t xml:space="preserve"> </w:t>
                  </w:r>
                  <w:r>
                    <w:rPr>
                      <w:i/>
                      <w:iCs/>
                    </w:rPr>
                    <w:t xml:space="preserve">Cyclotella</w:t>
                  </w:r>
                </w:p>
              </w:tc>
              <w:tc>
                <w:tcPr/>
                <w:p>
                  <w:pPr>
                    <w:pStyle w:val="Compact"/>
                    <w:jc w:val="right"/>
                    <w:jc w:val="center"/>
                  </w:pPr>
                  <w:r>
                    <w:t xml:space="preserve">8</w:t>
                  </w:r>
                </w:p>
              </w:tc>
              <w:tc>
                <w:tcPr/>
                <w:p>
                  <w:pPr>
                    <w:pStyle w:val="Compact"/>
                    <w:jc w:val="right"/>
                    <w:jc w:val="center"/>
                  </w:pPr>
                  <w:r>
                    <w:t xml:space="preserve">1.63</w:t>
                  </w:r>
                </w:p>
              </w:tc>
            </w:tr>
            <w:tr>
              <w:tc>
                <w:tcPr/>
                <w:p>
                  <w:pPr>
                    <w:pStyle w:val="Compact"/>
                    <w:jc w:val="left"/>
                    <w:jc w:val="center"/>
                  </w:pPr>
                  <w:r>
                    <w:t xml:space="preserve">QR</w:t>
                  </w:r>
                </w:p>
              </w:tc>
              <w:tc>
                <w:tcPr/>
                <w:p>
                  <w:pPr>
                    <w:pStyle w:val="Compact"/>
                    <w:jc w:val="right"/>
                    <w:jc w:val="center"/>
                  </w:pPr>
                  <w:r>
                    <w:t xml:space="preserve">-</w:t>
                  </w:r>
                </w:p>
              </w:tc>
              <w:tc>
                <w:tcPr/>
                <w:p>
                  <w:pPr>
                    <w:pStyle w:val="Compact"/>
                    <w:jc w:val="right"/>
                    <w:jc w:val="center"/>
                  </w:pPr>
                  <w:r>
                    <w:t xml:space="preserve">0.59</w:t>
                  </w:r>
                </w:p>
              </w:tc>
              <w:tc>
                <w:tcPr/>
                <w:p>
                  <w:pPr>
                    <w:pStyle w:val="Compact"/>
                    <w:jc w:val="right"/>
                    <w:jc w:val="center"/>
                  </w:pPr>
                  <w:r>
                    <w:t xml:space="preserve">6.71</w:t>
                  </w:r>
                </w:p>
              </w:tc>
              <w:tc>
                <w:tcPr/>
                <w:p>
                  <w:pPr>
                    <w:pStyle w:val="Compact"/>
                    <w:jc w:val="right"/>
                    <w:jc w:val="center"/>
                  </w:pPr>
                  <w:r>
                    <w:t xml:space="preserve">1.192</w:t>
                  </w:r>
                </w:p>
              </w:tc>
              <w:tc>
                <w:tcPr/>
                <w:p>
                  <w:pPr>
                    <w:pStyle w:val="Compact"/>
                    <w:jc w:val="right"/>
                    <w:jc w:val="center"/>
                  </w:pPr>
                  <w:r>
                    <w:t xml:space="preserve">4,750,000</w:t>
                  </w:r>
                </w:p>
              </w:tc>
              <w:tc>
                <w:tcPr/>
                <w:p>
                  <w:pPr>
                    <w:pStyle w:val="Compact"/>
                    <w:jc w:val="left"/>
                    <w:jc w:val="center"/>
                  </w:pPr>
                  <w:r>
                    <w:rPr>
                      <w:i/>
                      <w:iCs/>
                    </w:rPr>
                    <w:t xml:space="preserve">Fragilaria</w:t>
                  </w:r>
                </w:p>
              </w:tc>
              <w:tc>
                <w:tcPr/>
                <w:p>
                  <w:pPr>
                    <w:pStyle w:val="Compact"/>
                    <w:jc w:val="left"/>
                    <w:jc w:val="center"/>
                  </w:pPr>
                  <w:r>
                    <w:rPr>
                      <w:i/>
                      <w:iCs/>
                    </w:rPr>
                    <w:t xml:space="preserve">Cyclotella</w:t>
                  </w:r>
                  <w:r>
                    <w:t xml:space="preserve">,</w:t>
                  </w:r>
                  <w:r>
                    <w:t xml:space="preserve"> </w:t>
                  </w:r>
                  <w:r>
                    <w:rPr>
                      <w:i/>
                      <w:iCs/>
                    </w:rPr>
                    <w:t xml:space="preserve">Scenedesmus</w:t>
                  </w:r>
                  <w:r>
                    <w:t xml:space="preserve">,</w:t>
                  </w:r>
                  <w:r>
                    <w:t xml:space="preserve"> </w:t>
                  </w:r>
                  <w:r>
                    <w:rPr>
                      <w:i/>
                      <w:iCs/>
                    </w:rPr>
                    <w:t xml:space="preserve">Melosira</w:t>
                  </w:r>
                </w:p>
              </w:tc>
              <w:tc>
                <w:tcPr/>
                <w:p>
                  <w:pPr>
                    <w:pStyle w:val="Compact"/>
                    <w:jc w:val="right"/>
                    <w:jc w:val="center"/>
                  </w:pPr>
                  <w:r>
                    <w:t xml:space="preserve">4</w:t>
                  </w:r>
                </w:p>
              </w:tc>
              <w:tc>
                <w:tcPr/>
                <w:p>
                  <w:pPr>
                    <w:pStyle w:val="Compact"/>
                    <w:jc w:val="right"/>
                    <w:jc w:val="center"/>
                  </w:pPr>
                  <w:r>
                    <w:t xml:space="preserve">1.46</w:t>
                  </w:r>
                </w:p>
              </w:tc>
            </w:tr>
          </w:tbl>
          <w:bookmarkEnd w:id="53"/>
          <w:p/>
        </w:tc>
      </w:tr>
    </w:tbl>
    <w:p>
      <w:pPr>
        <w:pStyle w:val="BodyText"/>
      </w:pPr>
      <w:r>
        <w:t xml:space="preserve">The field samples were initially spiked with different concentrations of FADC-0001 cells, then the cell density was determined by microscopic count, and the</w:t>
      </w:r>
      <w:r>
        <w:t xml:space="preserve"> </w:t>
      </w:r>
      <w:r>
        <w:rPr>
          <w:i/>
          <w:iCs/>
        </w:rPr>
        <w:t xml:space="preserve">ARG</w:t>
      </w:r>
      <w:r>
        <w:t xml:space="preserve"> </w:t>
      </w:r>
      <w:r>
        <w:t xml:space="preserve">density was obtained by</w:t>
      </w:r>
      <w:r>
        <w:t xml:space="preserve"> </w:t>
      </w:r>
      <w:r>
        <w:rPr>
          <w:i/>
          <w:iCs/>
        </w:rPr>
        <w:t xml:space="preserve">ARG</w:t>
      </w:r>
      <w:r>
        <w:t xml:space="preserve"> </w:t>
      </w:r>
      <w:r>
        <w:t xml:space="preserve">qPCR assay. An analysis of variance (ANOVA) was performed to evaluate the effects of the background biomass.</w:t>
      </w:r>
      <w:r>
        <w:t xml:space="preserve"> </w:t>
      </w:r>
      <m:oMath>
        <m:sSub>
          <m:e>
            <m:r>
              <m:t>ι</m:t>
            </m:r>
          </m:e>
          <m:sub>
            <m:r>
              <m:t>1</m:t>
            </m:r>
          </m:sub>
        </m:sSub>
      </m:oMath>
      <w:r>
        <w:t xml:space="preserve"> </w:t>
      </w:r>
      <w:r>
        <w:t xml:space="preserve">(=</w:t>
      </w:r>
      <m:oMath>
        <m:r>
          <m:rPr>
            <m:sty m:val="p"/>
          </m:rPr>
          <m:t>log</m:t>
        </m:r>
        <m:d>
          <m:dPr>
            <m:begChr m:val="("/>
            <m:sepChr m:val=""/>
            <m:endChr m:val=")"/>
            <m:grow/>
          </m:dPr>
          <m:e>
            <m:sSub>
              <m:e>
                <m:r>
                  <m:t>ρ</m:t>
                </m:r>
              </m:e>
              <m:sub>
                <m:r>
                  <m:t>p</m:t>
                </m:r>
              </m:sub>
            </m:sSub>
            <m:r>
              <m:rPr>
                <m:sty m:val="p"/>
              </m:rPr>
              <m:t>/</m:t>
            </m:r>
            <m:sSub>
              <m:e>
                <m:r>
                  <m:t>ρ</m:t>
                </m:r>
              </m:e>
              <m:sub>
                <m:r>
                  <m:t>m</m:t>
                </m:r>
              </m:sub>
            </m:sSub>
          </m:e>
        </m:d>
      </m:oMath>
      <w:r>
        <w:t xml:space="preserve">) is logarithmic</w:t>
      </w:r>
      <w:r>
        <w:t xml:space="preserve"> </w:t>
      </w:r>
      <w:r>
        <w:rPr>
          <w:i/>
          <w:iCs/>
        </w:rPr>
        <w:t xml:space="preserve">ARG</w:t>
      </w:r>
      <w:r>
        <w:t xml:space="preserve"> </w:t>
      </w:r>
      <w:r>
        <w:t xml:space="preserve">copy density normalized by cell density, the mean</w:t>
      </w:r>
      <w:r>
        <w:t xml:space="preserve"> </w:t>
      </w:r>
      <m:oMath>
        <m:sSub>
          <m:e>
            <m:r>
              <m:t>ι</m:t>
            </m:r>
          </m:e>
          <m:sub>
            <m:r>
              <m:t>1</m:t>
            </m:r>
          </m:sub>
        </m:sSub>
      </m:oMath>
      <w:r>
        <w:t xml:space="preserve"> </w:t>
      </w:r>
      <w:r>
        <w:t xml:space="preserve">of each site are in the range of 1.17 (</w:t>
      </w:r>
      <w:r>
        <w:rPr>
          <w:b/>
          <w:bCs/>
        </w:rPr>
        <w:t xml:space="preserve">FP</w:t>
      </w:r>
      <w:r>
        <w:t xml:space="preserve">) to 1.54 (</w:t>
      </w:r>
      <w:r>
        <w:rPr>
          <w:b/>
          <w:bCs/>
        </w:rPr>
        <w:t xml:space="preserve">QR</w:t>
      </w:r>
      <w:r>
        <w:t xml:space="preserve">), and the ANOVA result showed no significant difference between the sites (F=1.003, p=0.43, Figure A.4). The evaluation of the effect from the cell density on amplification was performed using the ANOVA; the samples were grouped by 3 levels (L</w:t>
      </w:r>
      <m:oMath>
        <m:sSub>
          <m:e>
            <m:r>
              <m:t>​</m:t>
            </m:r>
          </m:e>
          <m:sub>
            <m:r>
              <m:t>1</m:t>
            </m:r>
          </m:sub>
        </m:sSub>
      </m:oMath>
      <w:r>
        <w:t xml:space="preserve">: bottom 1/3, $&lt;</w:t>
      </w:r>
      <m:oMath>
        <m:r>
          <m:t>8.0</m:t>
        </m:r>
      </m:oMath>
      <w:r>
        <w:t xml:space="preserve">^7$ cells L</w:t>
      </w:r>
      <m:oMath>
        <m:sSup>
          <m:e>
            <m:r>
              <m:t>​</m:t>
            </m:r>
          </m:e>
          <m:sup>
            <m:r>
              <m:rPr>
                <m:sty m:val="p"/>
              </m:rPr>
              <m:t>−</m:t>
            </m:r>
            <m:r>
              <m:t>1</m:t>
            </m:r>
          </m:sup>
        </m:sSup>
      </m:oMath>
      <w:r>
        <w:t xml:space="preserve">, L</w:t>
      </w:r>
      <m:oMath>
        <m:sSub>
          <m:e>
            <m:r>
              <m:t>​</m:t>
            </m:r>
          </m:e>
          <m:sub>
            <m:r>
              <m:t>2</m:t>
            </m:r>
          </m:sub>
        </m:sSub>
      </m:oMath>
      <w:r>
        <w:t xml:space="preserve">: middle 1/3, $&lt;</w:t>
      </w:r>
      <m:oMath>
        <m:r>
          <m:t>3.3</m:t>
        </m:r>
      </m:oMath>
      <w:r>
        <w:t xml:space="preserve">^8$ cells L</w:t>
      </w:r>
      <m:oMath>
        <m:sSup>
          <m:e>
            <m:r>
              <m:t>​</m:t>
            </m:r>
          </m:e>
          <m:sup>
            <m:r>
              <m:rPr>
                <m:sty m:val="p"/>
              </m:rPr>
              <m:t>−</m:t>
            </m:r>
            <m:r>
              <m:t>1</m:t>
            </m:r>
          </m:sup>
        </m:sSup>
      </m:oMath>
      <w:r>
        <w:t xml:space="preserve"> </w:t>
      </w:r>
      <w:r>
        <w:t xml:space="preserve">and L</w:t>
      </w:r>
      <m:oMath>
        <m:sSub>
          <m:e>
            <m:r>
              <m:t>​</m:t>
            </m:r>
          </m:e>
          <m:sub>
            <m:r>
              <m:t>3</m:t>
            </m:r>
          </m:sub>
        </m:sSub>
      </m:oMath>
      <w:r>
        <w:t xml:space="preserve">: top 1/3, $&lt;</w:t>
      </w:r>
      <m:oMath>
        <m:r>
          <m:t>3.0</m:t>
        </m:r>
      </m:oMath>
      <w:r>
        <w:t xml:space="preserve">^9$ cells L</w:t>
      </w:r>
      <m:oMath>
        <m:sSup>
          <m:e>
            <m:r>
              <m:t>​</m:t>
            </m:r>
          </m:e>
          <m:sup>
            <m:r>
              <m:rPr>
                <m:sty m:val="p"/>
              </m:rPr>
              <m:t>−</m:t>
            </m:r>
            <m:r>
              <m:t>1</m:t>
            </m:r>
          </m:sup>
        </m:sSup>
      </m:oMath>
      <w:r>
        <w:t xml:space="preserve"> </w:t>
      </w:r>
      <w:r>
        <w:t xml:space="preserve">) of FADC-0001 cell density, showing no significant difference between L</w:t>
      </w:r>
      <m:oMath>
        <m:sSub>
          <m:e>
            <m:r>
              <m:t>​</m:t>
            </m:r>
          </m:e>
          <m:sub>
            <m:r>
              <m:t>1</m:t>
            </m:r>
          </m:sub>
        </m:sSub>
      </m:oMath>
      <w:r>
        <w:t xml:space="preserve"> </w:t>
      </w:r>
      <w:r>
        <w:t xml:space="preserve">and L</w:t>
      </w:r>
      <m:oMath>
        <m:sSub>
          <m:e>
            <m:r>
              <m:t>​</m:t>
            </m:r>
          </m:e>
          <m:sub>
            <m:r>
              <m:t>2</m:t>
            </m:r>
          </m:sub>
        </m:sSub>
      </m:oMath>
      <w:r>
        <w:t xml:space="preserve"> </w:t>
      </w:r>
      <w:r>
        <w:t xml:space="preserve">(F=1.614, p=0.212), but significant difference between L</w:t>
      </w:r>
      <m:oMath>
        <m:sSub>
          <m:e>
            <m:r>
              <m:t>​</m:t>
            </m:r>
          </m:e>
          <m:sub>
            <m:r>
              <m:t>1</m:t>
            </m:r>
          </m:sub>
        </m:sSub>
      </m:oMath>
      <w:r>
        <w:t xml:space="preserve">/L</w:t>
      </w:r>
      <m:oMath>
        <m:sSub>
          <m:e>
            <m:r>
              <m:t>​</m:t>
            </m:r>
          </m:e>
          <m:sub>
            <m:r>
              <m:t>2</m:t>
            </m:r>
          </m:sub>
        </m:sSub>
      </m:oMath>
      <w:r>
        <w:t xml:space="preserve"> </w:t>
      </w:r>
      <w:r>
        <w:t xml:space="preserve">and L</w:t>
      </w:r>
      <m:oMath>
        <m:sSub>
          <m:e>
            <m:r>
              <m:t>​</m:t>
            </m:r>
          </m:e>
          <m:sub>
            <m:r>
              <m:t>3</m:t>
            </m:r>
          </m:sub>
        </m:sSub>
      </m:oMath>
      <w:r>
        <w:t xml:space="preserve"> </w:t>
      </w:r>
      <w:r>
        <w:t xml:space="preserve">(F=13.7, p$&lt;$0.01). The results indicate that the impact of the inhibition due to the background biomass was not the most important issue here, while</w:t>
      </w:r>
      <w:r>
        <w:t xml:space="preserve"> </w:t>
      </w:r>
      <w:r>
        <w:rPr>
          <w:i/>
          <w:iCs/>
        </w:rPr>
        <w:t xml:space="preserve">Anabaena</w:t>
      </w:r>
      <w:r>
        <w:t xml:space="preserve"> </w:t>
      </w:r>
      <w:r>
        <w:t xml:space="preserve">cell density should be taken into consideration to get a better estimation.</w:t>
      </w:r>
    </w:p>
    <w:p>
      <w:pPr>
        <w:pStyle w:val="BodyText"/>
      </w:pPr>
      <w:r>
        <w:t xml:space="preserve">The compared data are shown in</w:t>
      </w:r>
      <w:r>
        <w:t xml:space="preserve"> </w:t>
      </w:r>
      <w:hyperlink w:anchor="fig-microcount">
        <w:r>
          <w:rPr>
            <w:rStyle w:val="Hyperlink"/>
          </w:rPr>
          <w:t xml:space="preserve">Fig. 3</w:t>
        </w:r>
      </w:hyperlink>
      <w:r>
        <w:t xml:space="preserve"> </w:t>
      </w:r>
      <w:r>
        <w:t xml:space="preserve">(hollow circle), where the thick dot-dashed line is the log-log regression model, and the thin dot-dashed curves are the 99% CI. The qPCR results were in agreement with microscopic count (</w:t>
      </w:r>
      <m:oMath>
        <m:r>
          <m:rPr>
            <m:sty m:val="p"/>
          </m:rPr>
          <m:t>log</m:t>
        </m:r>
        <m:sSub>
          <m:e>
            <m:r>
              <m:t>ρ</m:t>
            </m:r>
          </m:e>
          <m:sub>
            <m:r>
              <m:t>m</m:t>
            </m:r>
          </m:sub>
        </m:sSub>
        <m:r>
          <m:rPr>
            <m:sty m:val="p"/>
          </m:rPr>
          <m:t>=</m:t>
        </m:r>
        <m:r>
          <m:t>0.7301</m:t>
        </m:r>
        <m:r>
          <m:rPr>
            <m:sty m:val="p"/>
          </m:rPr>
          <m:t>log</m:t>
        </m:r>
        <m:sSub>
          <m:e>
            <m:r>
              <m:t>ρ</m:t>
            </m:r>
          </m:e>
          <m:sub>
            <m:r>
              <m:t>p</m:t>
            </m:r>
          </m:sub>
        </m:sSub>
      </m:oMath>
      <w:r>
        <w:t xml:space="preserve">+1.181, r</w:t>
      </w:r>
      <m:oMath>
        <m:sSup>
          <m:e>
            <m:r>
              <m:t>​</m:t>
            </m:r>
          </m:e>
          <m:sup>
            <m:r>
              <m:t>2</m:t>
            </m:r>
          </m:sup>
        </m:sSup>
        <m:r>
          <m:rPr>
            <m:sty m:val="p"/>
          </m:rPr>
          <m:t>=</m:t>
        </m:r>
        <m:r>
          <m:t>0.906</m:t>
        </m:r>
      </m:oMath>
      <w:r>
        <w:t xml:space="preserve">, p$&lt;$0.001); furthermore, the regression line of field samples was consistent with that of culture sample, indicating that the</w:t>
      </w:r>
      <w:r>
        <w:t xml:space="preserve"> </w:t>
      </w:r>
      <w:r>
        <w:rPr>
          <w:i/>
          <w:iCs/>
        </w:rPr>
        <w:t xml:space="preserve">ARG</w:t>
      </w:r>
      <w:r>
        <w:t xml:space="preserve"> </w:t>
      </w:r>
      <w:r>
        <w:t xml:space="preserve">qPCR assay is a good potential tool to track down the</w:t>
      </w:r>
      <w:r>
        <w:t xml:space="preserve"> </w:t>
      </w:r>
      <w:r>
        <w:rPr>
          <w:i/>
          <w:iCs/>
        </w:rPr>
        <w:t xml:space="preserve">Anabaena</w:t>
      </w:r>
      <w:r>
        <w:t xml:space="preserve"> </w:t>
      </w:r>
      <w:r>
        <w:t xml:space="preserve">population in natural water bodies.</w:t>
      </w:r>
    </w:p>
    <w:p>
      <w:pPr>
        <w:pStyle w:val="BodyText"/>
      </w:pPr>
      <w:r>
        <w:t xml:space="preserve">Previous studies have established qPCR methods for the quantification of algal cells in water with a correlation coefficient between 0.6 and 0.9</w:t>
      </w:r>
      <w:r>
        <w:t xml:space="preserve"> </w:t>
      </w:r>
      <w:r>
        <w:t xml:space="preserve">(Behets et al., 2007; Koskenniemi et al., 2007)</w:t>
      </w:r>
      <w:r>
        <w:t xml:space="preserve">. In comparison, this study has used a larger sample set, and it provides a relatively high correlation coefficient, which could be attributed to the highly discriminatory</w:t>
      </w:r>
      <w:r>
        <w:t xml:space="preserve"> </w:t>
      </w:r>
      <m:oMath>
        <m:r>
          <m:t>r</m:t>
        </m:r>
        <m:r>
          <m:t>p</m:t>
        </m:r>
        <m:r>
          <m:t>o</m:t>
        </m:r>
        <m:sSub>
          <m:e>
            <m:r>
              <m:t>C</m:t>
            </m:r>
          </m:e>
          <m:sub>
            <m:r>
              <m:t>1</m:t>
            </m:r>
          </m:sub>
        </m:sSub>
      </m:oMath>
      <w:r>
        <w:t xml:space="preserve"> </w:t>
      </w:r>
      <w:r>
        <w:t xml:space="preserve">gene providing sufficient sequence variation to assign more specifically cyanobacteria. Thus, the</w:t>
      </w:r>
      <w:r>
        <w:t xml:space="preserve"> </w:t>
      </w:r>
      <w:r>
        <w:rPr>
          <w:i/>
          <w:iCs/>
        </w:rPr>
        <w:t xml:space="preserve">ARG</w:t>
      </w:r>
      <w:r>
        <w:t xml:space="preserve"> </w:t>
      </w:r>
      <w:r>
        <w:t xml:space="preserve">qPCR assay represents a useful tool to track down</w:t>
      </w:r>
      <w:r>
        <w:t xml:space="preserve"> </w:t>
      </w:r>
      <w:r>
        <w:rPr>
          <w:i/>
          <w:iCs/>
        </w:rPr>
        <w:t xml:space="preserve">Anabaena</w:t>
      </w:r>
      <w:r>
        <w:t xml:space="preserve"> </w:t>
      </w:r>
      <w:r>
        <w:t xml:space="preserve">especially during a bloom episode.</w:t>
      </w:r>
    </w:p>
    <w:bookmarkEnd w:id="54"/>
    <w:bookmarkEnd w:id="55"/>
    <w:bookmarkStart w:id="63" w:name="resdiss:GSGlab"/>
    <w:p>
      <w:pPr>
        <w:pStyle w:val="Heading2"/>
      </w:pPr>
      <w:r>
        <w:t xml:space="preserve">Quantification of</w:t>
      </w:r>
      <w:r>
        <w:t xml:space="preserve"> </w:t>
      </w:r>
      <w:r>
        <w:rPr>
          <w:i/>
          <w:iCs/>
        </w:rPr>
        <w:t xml:space="preserve">GSG</w:t>
      </w:r>
      <w:r>
        <w:t xml:space="preserve"> </w:t>
      </w:r>
      <w:r>
        <w:t xml:space="preserve">and comparison with the GC-MS results</w:t>
      </w:r>
    </w:p>
    <w:bookmarkStart w:id="61" w:name="resdiss:geosmin:lab"/>
    <w:p>
      <w:pPr>
        <w:pStyle w:val="Heading3"/>
      </w:pPr>
      <w:r>
        <w:t xml:space="preserve">Laboratory study</w:t>
      </w:r>
    </w:p>
    <w:p>
      <w:pPr>
        <w:pStyle w:val="BodyText"/>
      </w:pPr>
      <w:r>
        <w:t xml:space="preserve">The geosmin concentrations of two independent AWQC-ANA318 cultures are shown in</w:t>
      </w:r>
      <w:r>
        <w:t xml:space="preserve"> </w:t>
      </w:r>
      <w:hyperlink w:anchor="fig-culture">
        <w:r>
          <w:rPr>
            <w:rStyle w:val="Hyperlink"/>
          </w:rPr>
          <w:t xml:space="preserve">Fig. 2</w:t>
        </w:r>
      </w:hyperlink>
      <w:r>
        <w:t xml:space="preserve"> </w:t>
      </w:r>
      <w:r>
        <w:t xml:space="preserve">(intracellular geosmin: dashed line, extracellular geosmin: dotted line); the intracellular geosmin increased along with the bloom stage and cell density, while the extracellular geosmin concentration increased during the first 7 weeks, and then decreased to a very low level after 3 weeks. The intracellular geosmin concentrations of these cultures were in the range from 1</w:t>
      </w:r>
      <m:oMath>
        <m:r>
          <m:rPr>
            <m:sty m:val="p"/>
          </m:rPr>
          <m:t>×</m:t>
        </m:r>
        <m:sSup>
          <m:e>
            <m:r>
              <m:t>10</m:t>
            </m:r>
          </m:e>
          <m:sup>
            <m:r>
              <m:t>2</m:t>
            </m:r>
          </m:sup>
        </m:sSup>
      </m:oMath>
      <w:r>
        <w:t xml:space="preserve"> </w:t>
      </w:r>
      <w:r>
        <w:t xml:space="preserve">to 1</w:t>
      </w:r>
      <m:oMath>
        <m:r>
          <m:rPr>
            <m:sty m:val="p"/>
          </m:rPr>
          <m:t>×</m:t>
        </m:r>
        <m:sSup>
          <m:e>
            <m:r>
              <m:rPr>
                <m:sty m:val="p"/>
              </m:rPr>
              <m:t>10</m:t>
            </m:r>
          </m:e>
          <m:sup>
            <m:r>
              <m:rPr>
                <m:sty m:val="p"/>
              </m:rPr>
              <m:t>5</m:t>
            </m:r>
          </m:sup>
        </m:sSup>
      </m:oMath>
      <w:r>
        <w:t xml:space="preserve"> </w:t>
      </w:r>
      <w:r>
        <w:t xml:space="preserve">ng L</w:t>
      </w:r>
      <m:oMath>
        <m:sSup>
          <m:e>
            <m:r>
              <m:t>​</m:t>
            </m:r>
          </m:e>
          <m:sup>
            <m:r>
              <m:rPr>
                <m:sty m:val="p"/>
              </m:rPr>
              <m:t>−</m:t>
            </m:r>
            <m:r>
              <m:t>1</m:t>
            </m:r>
          </m:sup>
        </m:sSup>
      </m:oMath>
      <w:r>
        <w:t xml:space="preserve">, thus the</w:t>
      </w:r>
      <w:r>
        <w:t xml:space="preserve"> </w:t>
      </w:r>
      <w:r>
        <w:rPr>
          <w:i/>
          <w:iCs/>
        </w:rPr>
        <w:t xml:space="preserve">GSG</w:t>
      </w:r>
      <w:r>
        <w:t xml:space="preserve"> </w:t>
      </w:r>
      <w:r>
        <w:t xml:space="preserve">qPCR assay was valid for the quantification of geosmin production. However, most of geosmin (82.9%-100.0%, data shown in Table A.1) was present within the cells, which was consistent with previous reports</w:t>
      </w:r>
      <w:r>
        <w:t xml:space="preserve"> </w:t>
      </w:r>
      <w:r>
        <w:t xml:space="preserve">(Giglio et al., 2011; Li et al., 2010; Wu and Jüttner, 1988; Zhang et al., 2009)</w:t>
      </w:r>
      <w:r>
        <w:t xml:space="preserve">, thus the intracellular geosmin is more representative of the population growth and health.</w:t>
      </w:r>
    </w:p>
    <w:p>
      <w:pPr>
        <w:pStyle w:val="BodyText"/>
      </w:pPr>
      <w:r>
        <w:t xml:space="preserve">On the other hand, the</w:t>
      </w:r>
      <w:r>
        <w:t xml:space="preserve"> </w:t>
      </w:r>
      <w:r>
        <w:rPr>
          <w:i/>
          <w:iCs/>
        </w:rPr>
        <w:t xml:space="preserve">GSG</w:t>
      </w:r>
      <w:r>
        <w:t xml:space="preserve"> </w:t>
      </w:r>
      <w:r>
        <w:t xml:space="preserve">density in culture samples was determined by</w:t>
      </w:r>
      <w:r>
        <w:t xml:space="preserve"> </w:t>
      </w:r>
      <w:r>
        <w:rPr>
          <w:i/>
          <w:iCs/>
        </w:rPr>
        <w:t xml:space="preserve">GSG</w:t>
      </w:r>
      <w:r>
        <w:t xml:space="preserve"> </w:t>
      </w:r>
      <w:r>
        <w:t xml:space="preserve">qPCR assay, which was then compared with the geosmin concentration measured by GC-MS. We found that the</w:t>
      </w:r>
      <w:r>
        <w:t xml:space="preserve"> </w:t>
      </w:r>
      <w:r>
        <w:rPr>
          <w:i/>
          <w:iCs/>
        </w:rPr>
        <w:t xml:space="preserve">GSG</w:t>
      </w:r>
      <w:r>
        <w:t xml:space="preserve"> </w:t>
      </w:r>
      <w:r>
        <w:t xml:space="preserve">density exhibited stronger correlation with the intracellular geosmin concentration (r</w:t>
      </w:r>
      <m:oMath>
        <m:sSup>
          <m:e>
            <m:r>
              <m:t>​</m:t>
            </m:r>
          </m:e>
          <m:sup>
            <m:r>
              <m:t>2</m:t>
            </m:r>
          </m:sup>
        </m:sSup>
      </m:oMath>
      <w:r>
        <w:t xml:space="preserve">=0.742, p$&lt;</w:t>
      </w:r>
      <m:oMath>
        <m:r>
          <m:t>0.01</m:t>
        </m:r>
        <m:r>
          <m:rPr>
            <m:sty m:val="p"/>
          </m:rPr>
          <m:t>,</m:t>
        </m:r>
        <m:r>
          <m:rPr>
            <m:sty m:val="p"/>
          </m:rPr>
          <m:t>@</m:t>
        </m:r>
        <m:r>
          <m:t>e</m:t>
        </m:r>
        <m:r>
          <m:t>q</m:t>
        </m:r>
        <m:r>
          <m:rPr>
            <m:sty m:val="p"/>
          </m:rPr>
          <m:t>−</m:t>
        </m:r>
        <m:r>
          <m:t>g</m:t>
        </m:r>
        <m:r>
          <m:t>s</m:t>
        </m:r>
        <m:r>
          <m:t>g</m:t>
        </m:r>
        <m:r>
          <m:rPr>
            <m:sty m:val="p"/>
          </m:rPr>
          <m:t>)</m:t>
        </m:r>
        <m:r>
          <m:t>t</m:t>
        </m:r>
        <m:r>
          <m:t>h</m:t>
        </m:r>
        <m:r>
          <m:t>a</m:t>
        </m:r>
        <m:r>
          <m:t>n</m:t>
        </m:r>
        <m:r>
          <m:t>e</m:t>
        </m:r>
        <m:r>
          <m:t>x</m:t>
        </m:r>
        <m:r>
          <m:t>t</m:t>
        </m:r>
        <m:r>
          <m:t>r</m:t>
        </m:r>
        <m:r>
          <m:t>a</m:t>
        </m:r>
        <m:r>
          <m:t>c</m:t>
        </m:r>
        <m:r>
          <m:t>e</m:t>
        </m:r>
        <m:r>
          <m:t>l</m:t>
        </m:r>
        <m:r>
          <m:t>l</m:t>
        </m:r>
        <m:r>
          <m:t>u</m:t>
        </m:r>
        <m:r>
          <m:t>l</m:t>
        </m:r>
        <m:r>
          <m:t>a</m:t>
        </m:r>
        <m:r>
          <m:t>r</m:t>
        </m:r>
        <m:r>
          <m:t>g</m:t>
        </m:r>
        <m:r>
          <m:t>e</m:t>
        </m:r>
        <m:r>
          <m:t>o</m:t>
        </m:r>
        <m:r>
          <m:t>s</m:t>
        </m:r>
        <m:r>
          <m:t>m</m:t>
        </m:r>
        <m:r>
          <m:t>i</m:t>
        </m:r>
        <m:r>
          <m:t>n</m:t>
        </m:r>
        <m:r>
          <m:rPr>
            <m:sty m:val="p"/>
          </m:rPr>
          <m:t>(</m:t>
        </m:r>
        <m:r>
          <m:t>r</m:t>
        </m:r>
      </m:oMath>
      <w:r>
        <w:t xml:space="preserve">^2</w:t>
      </w:r>
      <m:oMath>
        <m:r>
          <m:rPr>
            <m:sty m:val="p"/>
          </m:rPr>
          <m:t>=</m:t>
        </m:r>
        <m:r>
          <m:t>0.253</m:t>
        </m:r>
        <m:r>
          <m:rPr>
            <m:sty m:val="p"/>
          </m:rPr>
          <m:t>,</m:t>
        </m:r>
        <m:r>
          <m:t>p</m:t>
        </m:r>
      </m:oMath>
      <w:r>
        <w:t xml:space="preserve">&lt;$0.01, Figure A.6), possibly due to the rapid biodegradation of extracellular geosmin</w:t>
      </w:r>
      <w:r>
        <w:t xml:space="preserve"> </w:t>
      </w:r>
      <w:r>
        <w:t xml:space="preserve">(Li et al., 2010)</w:t>
      </w:r>
      <w:r>
        <w:t xml:space="preserve">.</w:t>
      </w:r>
    </w:p>
    <w:p>
      <w:pPr>
        <w:pStyle w:val="BodyText"/>
      </w:pPr>
      <w:bookmarkStart w:id="56" w:name="eq-gsg"/>
      <m:oMathPara>
        <m:oMathParaPr>
          <m:jc m:val="center"/>
        </m:oMathParaPr>
        <m:oMath>
          <m:r>
            <m:rPr>
              <m:sty m:val="p"/>
            </m:rPr>
            <m:t>log</m:t>
          </m:r>
          <m:d>
            <m:dPr>
              <m:begChr m:val="("/>
              <m:sepChr m:val=""/>
              <m:endChr m:val=")"/>
              <m:grow/>
            </m:dPr>
            <m:e>
              <m:sSub>
                <m:e>
                  <m:r>
                    <m:rPr>
                      <m:sty m:val="p"/>
                    </m:rPr>
                    <m:t>γ</m:t>
                  </m:r>
                </m:e>
                <m:sub>
                  <m:r>
                    <m:rPr>
                      <m:sty m:val="p"/>
                    </m:rPr>
                    <m:t>g</m:t>
                  </m:r>
                </m:sub>
              </m:sSub>
            </m:e>
          </m:d>
          <m:r>
            <m:rPr>
              <m:sty m:val="p"/>
            </m:rPr>
            <m:t>=</m:t>
          </m:r>
          <m:r>
            <m:t>0.664</m:t>
          </m:r>
          <m:r>
            <m:rPr>
              <m:sty m:val="p"/>
            </m:rPr>
            <m:t>log</m:t>
          </m:r>
          <m:d>
            <m:dPr>
              <m:begChr m:val="("/>
              <m:sepChr m:val=""/>
              <m:endChr m:val=")"/>
              <m:grow/>
            </m:dPr>
            <m:e>
              <m:sSub>
                <m:e>
                  <m:r>
                    <m:rPr>
                      <m:sty m:val="p"/>
                    </m:rPr>
                    <m:t>γ</m:t>
                  </m:r>
                </m:e>
                <m:sub>
                  <m:r>
                    <m:rPr>
                      <m:sty m:val="p"/>
                    </m:rPr>
                    <m:t>p</m:t>
                  </m:r>
                </m:sub>
              </m:sSub>
            </m:e>
          </m:d>
          <m:r>
            <m:rPr>
              <m:sty m:val="p"/>
            </m:rPr>
            <m:t>−</m:t>
          </m:r>
          <m:r>
            <m:t>2.100</m:t>
          </m:r>
          <m:r>
            <m:t>  </m:t>
          </m:r>
          <m:d>
            <m:dPr>
              <m:begChr m:val="("/>
              <m:sepChr m:val=""/>
              <m:endChr m:val=")"/>
              <m:grow/>
            </m:dPr>
            <m:e>
              <m:r>
                <m:t>3</m:t>
              </m:r>
            </m:e>
          </m:d>
        </m:oMath>
      </m:oMathPara>
      <w:bookmarkEnd w:id="56"/>
    </w:p>
    <w:p>
      <w:pPr>
        <w:pStyle w:val="BodyText"/>
      </w:pPr>
      <w:r>
        <w:t xml:space="preserve">In this equation</w:t>
      </w:r>
      <w:r>
        <w:t xml:space="preserve"> </w:t>
      </w:r>
      <m:oMath>
        <m:sSub>
          <m:e>
            <m:r>
              <m:rPr>
                <m:sty m:val="p"/>
              </m:rPr>
              <m:t>γ</m:t>
            </m:r>
          </m:e>
          <m:sub>
            <m:r>
              <m:rPr>
                <m:sty m:val="p"/>
              </m:rPr>
              <m:t>g</m:t>
            </m:r>
          </m:sub>
        </m:sSub>
      </m:oMath>
      <w:r>
        <w:t xml:space="preserve"> </w:t>
      </w:r>
      <w:r>
        <w:t xml:space="preserve">represents the intracellular geosmin concentration obtained by GC-MS method in ng L</w:t>
      </w:r>
      <m:oMath>
        <m:sSup>
          <m:e>
            <m:r>
              <m:t>​</m:t>
            </m:r>
          </m:e>
          <m:sup>
            <m:r>
              <m:rPr>
                <m:sty m:val="p"/>
              </m:rPr>
              <m:t>−</m:t>
            </m:r>
            <m:r>
              <m:t>1</m:t>
            </m:r>
          </m:sup>
        </m:sSup>
      </m:oMath>
      <w:r>
        <w:t xml:space="preserve"> </w:t>
      </w:r>
      <w:r>
        <w:t xml:space="preserve">and</w:t>
      </w:r>
      <w:r>
        <w:t xml:space="preserve"> </w:t>
      </w:r>
      <m:oMath>
        <m:sSub>
          <m:e>
            <m:r>
              <m:rPr>
                <m:sty m:val="p"/>
              </m:rPr>
              <m:t>γ</m:t>
            </m:r>
          </m:e>
          <m:sub>
            <m:r>
              <m:rPr>
                <m:sty m:val="p"/>
              </m:rPr>
              <m:t>p</m:t>
            </m:r>
          </m:sub>
        </m:sSub>
      </m:oMath>
      <w:r>
        <w:t xml:space="preserve"> </w:t>
      </w:r>
      <w:r>
        <w:t xml:space="preserve">represents the</w:t>
      </w:r>
      <w:r>
        <w:t xml:space="preserve"> </w:t>
      </w:r>
      <w:r>
        <w:rPr>
          <w:i/>
          <w:iCs/>
        </w:rPr>
        <w:t xml:space="preserve">GSG</w:t>
      </w:r>
      <w:r>
        <w:t xml:space="preserve"> </w:t>
      </w:r>
      <w:r>
        <w:t xml:space="preserve">copy number obtained by qPCR method in copies L</w:t>
      </w:r>
      <m:oMath>
        <m:sSup>
          <m:e>
            <m:r>
              <m:t>​</m:t>
            </m:r>
          </m:e>
          <m:sup>
            <m:r>
              <m:rPr>
                <m:sty m:val="p"/>
              </m:rPr>
              <m:t>−</m:t>
            </m:r>
            <m:r>
              <m:t>1</m:t>
            </m:r>
          </m:sup>
        </m:sSup>
      </m:oMath>
      <w:r>
        <w:t xml:space="preserve">.</w:t>
      </w:r>
      <w:r>
        <w:t xml:space="preserve"> </w:t>
      </w:r>
      <w:hyperlink w:anchor="fig-geosminconc">
        <w:r>
          <w:rPr>
            <w:rStyle w:val="Hyperlink"/>
          </w:rPr>
          <w:t xml:space="preserve">Fig. 4</w:t>
        </w:r>
      </w:hyperlink>
      <w:r>
        <w:t xml:space="preserve"> </w:t>
      </w:r>
      <w:r>
        <w:t xml:space="preserve">shows the comparison between</w:t>
      </w:r>
      <w:r>
        <w:t xml:space="preserve"> </w:t>
      </w:r>
      <w:r>
        <w:rPr>
          <w:i/>
          <w:iCs/>
        </w:rPr>
        <w:t xml:space="preserve">GSG</w:t>
      </w:r>
      <w:r>
        <w:t xml:space="preserve"> </w:t>
      </w:r>
      <w:r>
        <w:t xml:space="preserve">copy number (</w:t>
      </w:r>
      <m:oMath>
        <m:sSub>
          <m:e>
            <m:r>
              <m:rPr>
                <m:sty m:val="p"/>
              </m:rPr>
              <m:t>γ</m:t>
            </m:r>
          </m:e>
          <m:sub>
            <m:r>
              <m:rPr>
                <m:sty m:val="p"/>
              </m:rPr>
              <m:t>p</m:t>
            </m:r>
          </m:sub>
        </m:sSub>
      </m:oMath>
      <w:r>
        <w:t xml:space="preserve">, x-axis) and intracellular geosmin concentration (</w:t>
      </w:r>
      <m:oMath>
        <m:sSub>
          <m:e>
            <m:r>
              <m:rPr>
                <m:sty m:val="p"/>
              </m:rPr>
              <m:t>γ</m:t>
            </m:r>
          </m:e>
          <m:sub>
            <m:r>
              <m:rPr>
                <m:sty m:val="p"/>
              </m:rPr>
              <m:t>g</m:t>
            </m:r>
          </m:sub>
        </m:sSub>
      </m:oMath>
      <w:r>
        <w:t xml:space="preserve">, y-axis) of the culture samples. According to the log-log model, the intracellular geosmin production potential was in the range of 1 to 40 fg geosmin per copy</w:t>
      </w:r>
      <w:r>
        <w:t xml:space="preserve"> </w:t>
      </w:r>
      <w:r>
        <w:rPr>
          <w:i/>
          <w:iCs/>
        </w:rPr>
        <w:t xml:space="preserve">GSG</w:t>
      </w:r>
      <w:r>
        <w:t xml:space="preserve">.</w:t>
      </w:r>
      <w:r>
        <w:t xml:space="preserve"> </w:t>
      </w:r>
      <w:r>
        <w:t xml:space="preserve">(Li et al., 2010)</w:t>
      </w:r>
      <w:r>
        <w:t xml:space="preserve"> </w:t>
      </w:r>
      <w:r>
        <w:t xml:space="preserve">reported that the average geosmin production potential for</w:t>
      </w:r>
      <w:r>
        <w:t xml:space="preserve"> </w:t>
      </w:r>
      <w:r>
        <w:rPr>
          <w:i/>
          <w:iCs/>
        </w:rPr>
        <w:t xml:space="preserve">Anabaena spiroides</w:t>
      </w:r>
      <w:r>
        <w:t xml:space="preserve"> </w:t>
      </w:r>
      <w:r>
        <w:t xml:space="preserve">cells during a bloom in 2007 was approximately 0.1 pg cell</w:t>
      </w:r>
      <m:oMath>
        <m:sSup>
          <m:e>
            <m:r>
              <m:t>​</m:t>
            </m:r>
          </m:e>
          <m:sup>
            <m:r>
              <m:rPr>
                <m:sty m:val="p"/>
              </m:rPr>
              <m:t>−</m:t>
            </m:r>
            <m:r>
              <m:t>1</m:t>
            </m:r>
          </m:sup>
        </m:sSup>
      </m:oMath>
      <w:r>
        <w:t xml:space="preserve">.</w:t>
      </w:r>
    </w:p>
    <w:tbl>
      <w:tblPr>
        <w:tblStyle w:val="Table"/>
        <w:tblW w:type="pct" w:w="5000"/>
        <w:tblLayout w:type="fixed"/>
        <w:tblLook w:firstRow="0" w:lastRow="0" w:firstColumn="0" w:lastColumn="0" w:noHBand="0" w:noVBand="0" w:val="0000"/>
      </w:tblPr>
      <w:tblGrid>
        <w:gridCol w:w="7920"/>
      </w:tblGrid>
      <w:tr>
        <w:tc>
          <w:tcPr/>
          <w:bookmarkStart w:id="60" w:name="fig-geosminconc"/>
          <w:p>
            <w:pPr>
              <w:pStyle w:val="Compact"/>
              <w:jc w:val="center"/>
            </w:pPr>
            <w:r>
              <w:drawing>
                <wp:inline>
                  <wp:extent cx="4027170" cy="3068320"/>
                  <wp:effectExtent b="0" l="0" r="0" t="0"/>
                  <wp:docPr descr="" title="" id="58" name="Picture"/>
                  <a:graphic>
                    <a:graphicData uri="http://schemas.openxmlformats.org/drawingml/2006/picture">
                      <pic:pic>
                        <pic:nvPicPr>
                          <pic:cNvPr descr="../figures/GSGCompare.png" id="59" name="Picture"/>
                          <pic:cNvPicPr>
                            <a:picLocks noChangeArrowheads="1" noChangeAspect="1"/>
                          </pic:cNvPicPr>
                        </pic:nvPicPr>
                        <pic:blipFill>
                          <a:blip r:embed="rId57"/>
                          <a:stretch>
                            <a:fillRect/>
                          </a:stretch>
                        </pic:blipFill>
                        <pic:spPr bwMode="auto">
                          <a:xfrm>
                            <a:off x="0" y="0"/>
                            <a:ext cx="4027170" cy="3068320"/>
                          </a:xfrm>
                          <a:prstGeom prst="rect">
                            <a:avLst/>
                          </a:prstGeom>
                          <a:noFill/>
                          <a:ln w="9525">
                            <a:noFill/>
                            <a:headEnd/>
                            <a:tailEnd/>
                          </a:ln>
                        </pic:spPr>
                      </pic:pic>
                    </a:graphicData>
                  </a:graphic>
                </wp:inline>
              </w:drawing>
            </w:r>
          </w:p>
          <w:p>
            <w:pPr>
              <w:jc w:val="center"/>
            </w:pPr>
            <w:pPr>
              <w:jc w:val="start"/>
              <w:spacing w:before="200"/>
              <w:pStyle w:val="ImageCaption"/>
            </w:pPr>
            <w:r>
              <w:t xml:space="preserve">Fig. 4: Relationship between GSG copy number measured by qPCR and intracellular geosmin concentration measured by GC-MS in culture and field samples. Error bars show standard deviations; lines show log-log regressions and 99% confidence intervals.</w:t>
            </w:r>
          </w:p>
          <w:bookmarkEnd w:id="60"/>
        </w:tc>
      </w:tr>
    </w:tbl>
    <w:bookmarkEnd w:id="61"/>
    <w:bookmarkStart w:id="62" w:name="resdiss:geosmin:field"/>
    <w:p>
      <w:pPr>
        <w:pStyle w:val="Heading3"/>
      </w:pPr>
      <w:r>
        <w:t xml:space="preserve">Validation on field study</w:t>
      </w:r>
    </w:p>
    <w:p>
      <w:pPr>
        <w:pStyle w:val="BodyText"/>
      </w:pPr>
      <w:r>
        <w:t xml:space="preserve">The 63 field samples spiked with FADC-0001 cells were used to evaluate the applicability of</w:t>
      </w:r>
      <w:r>
        <w:t xml:space="preserve"> </w:t>
      </w:r>
      <w:r>
        <w:rPr>
          <w:i/>
          <w:iCs/>
        </w:rPr>
        <w:t xml:space="preserve">GSG</w:t>
      </w:r>
      <w:r>
        <w:t xml:space="preserve"> </w:t>
      </w:r>
      <w:r>
        <w:t xml:space="preserve">qPCR assay on environmental samples, by comparing the obtained results with geosmin concentration determined by GC-MS. Firstly, ANOVA was performed to analyze the impact of the background biomass.</w:t>
      </w:r>
      <w:r>
        <w:t xml:space="preserve"> </w:t>
      </w:r>
      <m:oMath>
        <m:sSub>
          <m:e>
            <m:r>
              <m:t>ι</m:t>
            </m:r>
          </m:e>
          <m:sub>
            <m:r>
              <m:t>2</m:t>
            </m:r>
          </m:sub>
        </m:sSub>
      </m:oMath>
      <w:r>
        <w:t xml:space="preserve"> </w:t>
      </w:r>
      <w:r>
        <w:t xml:space="preserve">(</w:t>
      </w:r>
      <m:oMath>
        <m:r>
          <m:rPr>
            <m:sty m:val="p"/>
          </m:rPr>
          <m:t>=</m:t>
        </m:r>
        <m:r>
          <m:rPr>
            <m:sty m:val="p"/>
          </m:rPr>
          <m:t>log</m:t>
        </m:r>
        <m:d>
          <m:dPr>
            <m:begChr m:val="("/>
            <m:sepChr m:val=""/>
            <m:endChr m:val=")"/>
            <m:grow/>
          </m:dPr>
          <m:e>
            <m:sSub>
              <m:e>
                <m:r>
                  <m:t>γ</m:t>
                </m:r>
              </m:e>
              <m:sub>
                <m:r>
                  <m:t>g</m:t>
                </m:r>
              </m:sub>
            </m:sSub>
            <m:r>
              <m:rPr>
                <m:sty m:val="p"/>
              </m:rPr>
              <m:t>/</m:t>
            </m:r>
            <m:sSub>
              <m:e>
                <m:r>
                  <m:t>γ</m:t>
                </m:r>
              </m:e>
              <m:sub>
                <m:r>
                  <m:t>p</m:t>
                </m:r>
              </m:sub>
            </m:sSub>
          </m:e>
        </m:d>
      </m:oMath>
      <w:r>
        <w:t xml:space="preserve">) is the logarithmic geosmin production potential of single</w:t>
      </w:r>
      <w:r>
        <w:t xml:space="preserve"> </w:t>
      </w:r>
      <w:r>
        <w:rPr>
          <w:i/>
          <w:iCs/>
        </w:rPr>
        <w:t xml:space="preserve">GSG</w:t>
      </w:r>
      <w:r>
        <w:t xml:space="preserve"> </w:t>
      </w:r>
      <w:r>
        <w:t xml:space="preserve">copy, the mean</w:t>
      </w:r>
      <w:r>
        <w:t xml:space="preserve"> </w:t>
      </w:r>
      <m:oMath>
        <m:sSub>
          <m:e>
            <m:r>
              <m:t>ι</m:t>
            </m:r>
          </m:e>
          <m:sub>
            <m:r>
              <m:t>2</m:t>
            </m:r>
          </m:sub>
        </m:sSub>
      </m:oMath>
      <w:r>
        <w:t xml:space="preserve"> </w:t>
      </w:r>
      <w:r>
        <w:t xml:space="preserve">of all sites are in the range of 4.96 (</w:t>
      </w:r>
      <w:r>
        <w:rPr>
          <w:b/>
          <w:bCs/>
        </w:rPr>
        <w:t xml:space="preserve">QR</w:t>
      </w:r>
      <w:r>
        <w:t xml:space="preserve">) to 5.7 (</w:t>
      </w:r>
      <w:r>
        <w:rPr>
          <w:b/>
          <w:bCs/>
        </w:rPr>
        <w:t xml:space="preserve">WML</w:t>
      </w:r>
      <w:r>
        <w:t xml:space="preserve">, Figure A.5), and the ANOVA showed no significant difference between the sites (F=2.27, p=0.053).</w:t>
      </w:r>
    </w:p>
    <w:p>
      <w:pPr>
        <w:pStyle w:val="BodyText"/>
      </w:pPr>
      <w:hyperlink w:anchor="fig-geosminconc">
        <w:r>
          <w:rPr>
            <w:rStyle w:val="Hyperlink"/>
          </w:rPr>
          <w:t xml:space="preserve">Fig. 4</w:t>
        </w:r>
      </w:hyperlink>
      <w:r>
        <w:t xml:space="preserve"> </w:t>
      </w:r>
      <w:r>
        <w:t xml:space="preserve">illustrates the comparison between the</w:t>
      </w:r>
      <w:r>
        <w:t xml:space="preserve"> </w:t>
      </w:r>
      <w:r>
        <w:rPr>
          <w:i/>
          <w:iCs/>
        </w:rPr>
        <w:t xml:space="preserve">GSG</w:t>
      </w:r>
      <w:r>
        <w:t xml:space="preserve"> </w:t>
      </w:r>
      <w:r>
        <w:t xml:space="preserve">copy numbers determined by qPCR and geosmin concentration; the results were significantly correlated (</w:t>
      </w:r>
      <m:oMath>
        <m:r>
          <m:rPr>
            <m:sty m:val="p"/>
          </m:rPr>
          <m:t>log</m:t>
        </m:r>
        <m:sSub>
          <m:e>
            <m:r>
              <m:t>γ</m:t>
            </m:r>
          </m:e>
          <m:sub>
            <m:r>
              <m:t>g</m:t>
            </m:r>
          </m:sub>
        </m:sSub>
        <m:r>
          <m:rPr>
            <m:sty m:val="p"/>
          </m:rPr>
          <m:t>=</m:t>
        </m:r>
        <m:r>
          <m:t>0.763</m:t>
        </m:r>
        <m:r>
          <m:rPr>
            <m:sty m:val="p"/>
          </m:rPr>
          <m:t>log</m:t>
        </m:r>
        <m:sSub>
          <m:e>
            <m:r>
              <m:t>γ</m:t>
            </m:r>
          </m:e>
          <m:sub>
            <m:r>
              <m:t>p</m:t>
            </m:r>
          </m:sub>
        </m:sSub>
      </m:oMath>
      <w:r>
        <w:t xml:space="preserve">-2.98, r</w:t>
      </w:r>
      <m:oMath>
        <m:sSup>
          <m:e>
            <m:r>
              <m:t>​</m:t>
            </m:r>
          </m:e>
          <m:sup>
            <m:r>
              <m:t>2</m:t>
            </m:r>
          </m:sup>
        </m:sSup>
      </m:oMath>
      <w:r>
        <w:t xml:space="preserve">=0.694, p$&lt;</w:t>
      </w:r>
      <m:oMath>
        <m:r>
          <m:t>0.001</m:t>
        </m:r>
        <m:r>
          <m:rPr>
            <m:sty m:val="p"/>
          </m:rPr>
          <m:t>,</m:t>
        </m:r>
        <m:r>
          <m:t>t</m:t>
        </m:r>
        <m:r>
          <m:t>h</m:t>
        </m:r>
        <m:r>
          <m:t>i</m:t>
        </m:r>
        <m:r>
          <m:t>c</m:t>
        </m:r>
        <m:r>
          <m:t>k</m:t>
        </m:r>
        <m:r>
          <m:t>d</m:t>
        </m:r>
        <m:r>
          <m:t>o</m:t>
        </m:r>
        <m:r>
          <m:t>t</m:t>
        </m:r>
        <m:r>
          <m:rPr>
            <m:sty m:val="p"/>
          </m:rPr>
          <m:t>−</m:t>
        </m:r>
        <m:r>
          <m:t>d</m:t>
        </m:r>
        <m:r>
          <m:t>a</m:t>
        </m:r>
        <m:r>
          <m:t>s</m:t>
        </m:r>
        <m:r>
          <m:t>h</m:t>
        </m:r>
        <m:r>
          <m:t>e</m:t>
        </m:r>
        <m:r>
          <m:t>d</m:t>
        </m:r>
        <m:r>
          <m:t>l</m:t>
        </m:r>
        <m:r>
          <m:t>i</m:t>
        </m:r>
        <m:r>
          <m:t>n</m:t>
        </m:r>
        <m:r>
          <m:t>e</m:t>
        </m:r>
        <m:r>
          <m:rPr>
            <m:sty m:val="p"/>
          </m:rPr>
          <m:t>)</m:t>
        </m:r>
        <m:r>
          <m:rPr>
            <m:sty m:val="p"/>
          </m:rPr>
          <m:t>.</m:t>
        </m:r>
        <m:r>
          <m:t>C</m:t>
        </m:r>
        <m:r>
          <m:t>o</m:t>
        </m:r>
        <m:r>
          <m:t>m</m:t>
        </m:r>
        <m:r>
          <m:t>p</m:t>
        </m:r>
        <m:r>
          <m:t>a</m:t>
        </m:r>
        <m:r>
          <m:t>r</m:t>
        </m:r>
        <m:r>
          <m:t>e</m:t>
        </m:r>
        <m:r>
          <m:t>d</m:t>
        </m:r>
        <m:r>
          <m:t>t</m:t>
        </m:r>
        <m:r>
          <m:t>o</m:t>
        </m:r>
        <m:r>
          <m:t>c</m:t>
        </m:r>
        <m:r>
          <m:t>u</m:t>
        </m:r>
        <m:r>
          <m:t>l</m:t>
        </m:r>
        <m:r>
          <m:t>t</m:t>
        </m:r>
        <m:r>
          <m:t>u</m:t>
        </m:r>
        <m:r>
          <m:t>r</m:t>
        </m:r>
        <m:r>
          <m:t>e</m:t>
        </m:r>
        <m:r>
          <m:t>s</m:t>
        </m:r>
        <m:r>
          <m:t>a</m:t>
        </m:r>
        <m:r>
          <m:t>m</m:t>
        </m:r>
        <m:r>
          <m:t>p</m:t>
        </m:r>
        <m:r>
          <m:t>l</m:t>
        </m:r>
        <m:r>
          <m:t>e</m:t>
        </m:r>
        <m:r>
          <m:t>s</m:t>
        </m:r>
        <m:d>
          <m:dPr>
            <m:begChr m:val="("/>
            <m:sepChr m:val=""/>
            <m:endChr m:val=")"/>
            <m:grow/>
          </m:dPr>
          <m:e>
            <m:r>
              <m:t>f</m:t>
            </m:r>
            <m:r>
              <m:t>i</m:t>
            </m:r>
            <m:r>
              <m:t>l</m:t>
            </m:r>
            <m:r>
              <m:t>l</m:t>
            </m:r>
            <m:r>
              <m:t>e</m:t>
            </m:r>
            <m:r>
              <m:t>d</m:t>
            </m:r>
            <m:r>
              <m:t>c</m:t>
            </m:r>
            <m:r>
              <m:t>i</m:t>
            </m:r>
            <m:r>
              <m:t>r</m:t>
            </m:r>
            <m:r>
              <m:t>c</m:t>
            </m:r>
            <m:r>
              <m:t>l</m:t>
            </m:r>
            <m:r>
              <m:t>e</m:t>
            </m:r>
          </m:e>
        </m:d>
        <m:r>
          <m:rPr>
            <m:sty m:val="p"/>
          </m:rPr>
          <m:t>,</m:t>
        </m:r>
        <m:r>
          <m:t>t</m:t>
        </m:r>
        <m:r>
          <m:t>h</m:t>
        </m:r>
        <m:r>
          <m:t>e</m:t>
        </m:r>
        <m:r>
          <m:t>f</m:t>
        </m:r>
        <m:r>
          <m:t>i</m:t>
        </m:r>
        <m:r>
          <m:t>e</m:t>
        </m:r>
        <m:r>
          <m:t>l</m:t>
        </m:r>
        <m:r>
          <m:t>d</m:t>
        </m:r>
        <m:r>
          <m:t>s</m:t>
        </m:r>
        <m:r>
          <m:t>a</m:t>
        </m:r>
        <m:r>
          <m:t>m</m:t>
        </m:r>
        <m:r>
          <m:t>p</m:t>
        </m:r>
        <m:r>
          <m:t>l</m:t>
        </m:r>
        <m:r>
          <m:t>e</m:t>
        </m:r>
        <m:r>
          <m:t>s</m:t>
        </m:r>
        <m:d>
          <m:dPr>
            <m:begChr m:val="("/>
            <m:sepChr m:val=""/>
            <m:endChr m:val=")"/>
            <m:grow/>
          </m:dPr>
          <m:e>
            <m:r>
              <m:t>h</m:t>
            </m:r>
            <m:r>
              <m:t>o</m:t>
            </m:r>
            <m:r>
              <m:t>l</m:t>
            </m:r>
            <m:r>
              <m:t>l</m:t>
            </m:r>
            <m:r>
              <m:t>o</m:t>
            </m:r>
            <m:r>
              <m:t>w</m:t>
            </m:r>
            <m:r>
              <m:t>c</m:t>
            </m:r>
            <m:r>
              <m:t>i</m:t>
            </m:r>
            <m:r>
              <m:t>r</m:t>
            </m:r>
            <m:r>
              <m:t>c</m:t>
            </m:r>
            <m:r>
              <m:t>l</m:t>
            </m:r>
            <m:r>
              <m:t>e</m:t>
            </m:r>
          </m:e>
        </m:d>
        <m:r>
          <m:t>s</m:t>
        </m:r>
        <m:r>
          <m:t>h</m:t>
        </m:r>
        <m:r>
          <m:t>o</m:t>
        </m:r>
        <m:r>
          <m:t>w</m:t>
        </m:r>
        <m:r>
          <m:t>e</m:t>
        </m:r>
        <m:r>
          <m:t>d</m:t>
        </m:r>
        <m:r>
          <m:t>a</m:t>
        </m:r>
        <m:r>
          <m:t>w</m:t>
        </m:r>
        <m:r>
          <m:t>i</m:t>
        </m:r>
        <m:r>
          <m:t>d</m:t>
        </m:r>
        <m:r>
          <m:t>e</m:t>
        </m:r>
        <m:r>
          <m:t>r</m:t>
        </m:r>
        <m:r>
          <m:t>d</m:t>
        </m:r>
        <m:r>
          <m:t>i</m:t>
        </m:r>
        <m:r>
          <m:t>s</m:t>
        </m:r>
        <m:r>
          <m:t>t</m:t>
        </m:r>
        <m:r>
          <m:t>r</m:t>
        </m:r>
        <m:r>
          <m:t>i</m:t>
        </m:r>
        <m:r>
          <m:t>b</m:t>
        </m:r>
        <m:r>
          <m:t>u</m:t>
        </m:r>
        <m:r>
          <m:t>t</m:t>
        </m:r>
        <m:r>
          <m:t>i</m:t>
        </m:r>
        <m:r>
          <m:t>o</m:t>
        </m:r>
        <m:r>
          <m:t>n</m:t>
        </m:r>
        <m:r>
          <m:t>p</m:t>
        </m:r>
        <m:r>
          <m:t>a</m:t>
        </m:r>
        <m:r>
          <m:t>t</m:t>
        </m:r>
        <m:r>
          <m:t>t</m:t>
        </m:r>
        <m:r>
          <m:t>e</m:t>
        </m:r>
        <m:r>
          <m:t>r</m:t>
        </m:r>
        <m:r>
          <m:t>n</m:t>
        </m:r>
        <m:r>
          <m:rPr>
            <m:sty m:val="p"/>
          </m:rPr>
          <m:t>.</m:t>
        </m:r>
        <m:r>
          <m:t>T</m:t>
        </m:r>
        <m:r>
          <m:t>h</m:t>
        </m:r>
        <m:r>
          <m:t>e</m:t>
        </m:r>
        <m:r>
          <m:t>h</m:t>
        </m:r>
        <m:r>
          <m:t>i</m:t>
        </m:r>
        <m:r>
          <m:t>g</m:t>
        </m:r>
        <m:r>
          <m:t>h</m:t>
        </m:r>
        <m:r>
          <m:t>e</m:t>
        </m:r>
        <m:r>
          <m:t>s</m:t>
        </m:r>
        <m:r>
          <m:t>t</m:t>
        </m:r>
        <m:r>
          <m:t>i</m:t>
        </m:r>
        <m:r>
          <m:t>n</m:t>
        </m:r>
        <m:r>
          <m:t>t</m:t>
        </m:r>
        <m:r>
          <m:t>r</m:t>
        </m:r>
        <m:r>
          <m:t>a</m:t>
        </m:r>
        <m:r>
          <m:t>c</m:t>
        </m:r>
        <m:r>
          <m:t>e</m:t>
        </m:r>
        <m:r>
          <m:t>l</m:t>
        </m:r>
        <m:r>
          <m:t>l</m:t>
        </m:r>
        <m:r>
          <m:t>u</m:t>
        </m:r>
        <m:r>
          <m:t>l</m:t>
        </m:r>
        <m:r>
          <m:t>a</m:t>
        </m:r>
        <m:r>
          <m:t>r</m:t>
        </m:r>
        <m:r>
          <m:t>g</m:t>
        </m:r>
        <m:r>
          <m:t>e</m:t>
        </m:r>
        <m:r>
          <m:t>o</m:t>
        </m:r>
        <m:r>
          <m:t>s</m:t>
        </m:r>
        <m:r>
          <m:t>m</m:t>
        </m:r>
        <m:r>
          <m:t>i</m:t>
        </m:r>
        <m:r>
          <m:t>n</m:t>
        </m:r>
        <m:r>
          <m:t>w</m:t>
        </m:r>
        <m:r>
          <m:t>a</m:t>
        </m:r>
        <m:r>
          <m:t>s</m:t>
        </m:r>
        <m:r>
          <m:t>a</m:t>
        </m:r>
        <m:r>
          <m:t>b</m:t>
        </m:r>
        <m:r>
          <m:t>o</m:t>
        </m:r>
        <m:r>
          <m:t>u</m:t>
        </m:r>
        <m:r>
          <m:t>t</m:t>
        </m:r>
        <m:r>
          <m:t>1</m:t>
        </m:r>
      </m:oMath>
      <w:r>
        <w:t xml:space="preserve">^6$ ng L</w:t>
      </w:r>
      <m:oMath>
        <m:sSup>
          <m:e>
            <m:r>
              <m:t>​</m:t>
            </m:r>
          </m:e>
          <m:sup>
            <m:r>
              <m:rPr>
                <m:sty m:val="p"/>
              </m:rPr>
              <m:t>−</m:t>
            </m:r>
            <m:r>
              <m:t>1</m:t>
            </m:r>
          </m:sup>
        </m:sSup>
      </m:oMath>
      <w:r>
        <w:t xml:space="preserve">, which is beyond the range of the culture samples and such concentration usually rarely occurs in natural waters; at this level, the</w:t>
      </w:r>
      <w:r>
        <w:t xml:space="preserve"> </w:t>
      </w:r>
      <w:r>
        <w:rPr>
          <w:i/>
          <w:iCs/>
        </w:rPr>
        <w:t xml:space="preserve">GSG</w:t>
      </w:r>
      <w:r>
        <w:t xml:space="preserve"> </w:t>
      </w:r>
      <w:r>
        <w:t xml:space="preserve">density showed a much higher variance than the geosmin concentration measured by GC-MS, which could be due to the inhibition caused by high concentration of DNA. As a follow-up research of the expression of</w:t>
      </w:r>
      <w:r>
        <w:t xml:space="preserve"> </w:t>
      </w:r>
      <w:r>
        <w:rPr>
          <w:i/>
          <w:iCs/>
        </w:rPr>
        <w:t xml:space="preserve">GSG</w:t>
      </w:r>
      <w:r>
        <w:t xml:space="preserve"> </w:t>
      </w:r>
      <w:r>
        <w:t xml:space="preserve">in</w:t>
      </w:r>
      <w:r>
        <w:t xml:space="preserve"> </w:t>
      </w:r>
      <w:r>
        <w:rPr>
          <w:i/>
          <w:iCs/>
        </w:rPr>
        <w:t xml:space="preserve">A. circinalis</w:t>
      </w:r>
      <w:r>
        <w:t xml:space="preserve"> </w:t>
      </w:r>
      <w:r>
        <w:t xml:space="preserve">(Giglio et al., 2011)</w:t>
      </w:r>
      <w:r>
        <w:t xml:space="preserve">, this study provides justification for the use of the</w:t>
      </w:r>
      <w:r>
        <w:t xml:space="preserve"> </w:t>
      </w:r>
      <w:r>
        <w:rPr>
          <w:i/>
          <w:iCs/>
        </w:rPr>
        <w:t xml:space="preserve">GSG</w:t>
      </w:r>
      <w:r>
        <w:t xml:space="preserve"> </w:t>
      </w:r>
      <w:r>
        <w:t xml:space="preserve">qPCR method as a useful predictive tool to evaluate the geosmin production in fresh water.</w:t>
      </w:r>
    </w:p>
    <w:bookmarkEnd w:id="62"/>
    <w:bookmarkEnd w:id="63"/>
    <w:bookmarkStart w:id="68" w:name="resdiss:methapp"/>
    <w:p>
      <w:pPr>
        <w:pStyle w:val="Heading2"/>
      </w:pPr>
      <w:r>
        <w:t xml:space="preserve">Methods applicability analysis</w:t>
      </w:r>
    </w:p>
    <w:p>
      <w:pPr>
        <w:pStyle w:val="BodyText"/>
      </w:pPr>
      <w:r>
        <w:t xml:space="preserve">Although the two qPCR assays exhibited the capabilities to estimate the</w:t>
      </w:r>
      <w:r>
        <w:t xml:space="preserve"> </w:t>
      </w:r>
      <w:r>
        <w:rPr>
          <w:i/>
          <w:iCs/>
        </w:rPr>
        <w:t xml:space="preserve">Anabaena</w:t>
      </w:r>
      <w:r>
        <w:t xml:space="preserve"> </w:t>
      </w:r>
      <w:r>
        <w:t xml:space="preserve">population level and geosmin concentration, respectively, relatively high variances were observed in qPCR assays in comparison with the traditional microscopic counting and GC-MS analysis methods, which could compromise the applicability of the qPCR assay methods. Therefore identifying the potential sources of variances is very important in this study. On one hand, the field samples were consistent with the culture samples, implying the inhibition by background biomass is not the major cause; on the other hand, there was very high consistency between the</w:t>
      </w:r>
      <w:r>
        <w:t xml:space="preserve"> </w:t>
      </w:r>
      <w:r>
        <w:rPr>
          <w:i/>
          <w:iCs/>
        </w:rPr>
        <w:t xml:space="preserve">ARG</w:t>
      </w:r>
      <w:r>
        <w:t xml:space="preserve"> </w:t>
      </w:r>
      <w:r>
        <w:t xml:space="preserve">and</w:t>
      </w:r>
      <w:r>
        <w:t xml:space="preserve"> </w:t>
      </w:r>
      <w:r>
        <w:rPr>
          <w:i/>
          <w:iCs/>
        </w:rPr>
        <w:t xml:space="preserve">GSG</w:t>
      </w:r>
      <w:r>
        <w:t xml:space="preserve"> </w:t>
      </w:r>
      <w:r>
        <w:t xml:space="preserve">densities in both the culture (</w:t>
      </w:r>
      <w:hyperlink w:anchor="fig-culvar">
        <w:r>
          <w:rPr>
            <w:rStyle w:val="Hyperlink"/>
          </w:rPr>
          <w:t xml:space="preserve">Fig. 5</w:t>
        </w:r>
      </w:hyperlink>
      <w:r>
        <w:t xml:space="preserve">,</w:t>
      </w:r>
      <w:r>
        <w:t xml:space="preserve"> </w:t>
      </w:r>
      <m:oMath>
        <m:sSup>
          <m:e>
            <m:r>
              <m:t>r</m:t>
            </m:r>
          </m:e>
          <m:sup>
            <m:r>
              <m:t>2</m:t>
            </m:r>
          </m:sup>
        </m:sSup>
        <m:r>
          <m:rPr>
            <m:sty m:val="p"/>
          </m:rPr>
          <m:t>=</m:t>
        </m:r>
        <m:r>
          <m:t>0.9455</m:t>
        </m:r>
        <m:r>
          <m:rPr>
            <m:sty m:val="p"/>
          </m:rPr>
          <m:t>,</m:t>
        </m:r>
        <m:r>
          <m:t>p</m:t>
        </m:r>
        <m:r>
          <m:rPr>
            <m:sty m:val="p"/>
          </m:rPr>
          <m:t>&lt;</m:t>
        </m:r>
        <m:r>
          <m:t>0.001</m:t>
        </m:r>
      </m:oMath>
      <w:r>
        <w:t xml:space="preserve">) and field samples (Figure A.7), implying that the main variances are caused by DNA extraction other than the amplification process (since the two qPCR assays shared the sample DNA in this study). In addition, apart from the fact that inhibition is usually more important with high concentration of DNA in qPCR assays, the increased variability observed on the samples with high DNA concentration could be explained by the fact that the commercial DNA extraction kit used for this study was not well adapted for the extraction of samples with high density cells (the reason could be the variance of DNA concentration is strongly affected by operation steps of DNA extraction, while commercial DNA extraction kit usually has 10 to 20 steps to get a high extraction efficiency, but also raises the variances greatly). Therefore, a simple (less steps) method for DNA extraction with relative lower efficiency is a potential solution. A microwave-based method has been shown to be promising for the extraction of cyanobacterial DNA for qPCR amplifications</w:t>
      </w:r>
      <w:r>
        <w:t xml:space="preserve"> </w:t>
      </w:r>
      <w:r>
        <w:t xml:space="preserve">(Orsini and Romano-spica, 2001; Rasmussen et al., 2008a)</w:t>
      </w:r>
      <w:r>
        <w:t xml:space="preserve">; moreover, the two qPCR assays developed in the present study are capable of determining low concentration of DNA as they both have low LODs. Thus, the micro-based method would very likely be applicable in conjunction with the two qPCR assays.</w:t>
      </w:r>
    </w:p>
    <w:tbl>
      <w:tblPr>
        <w:tblStyle w:val="Table"/>
        <w:tblW w:type="pct" w:w="5000"/>
        <w:tblLayout w:type="fixed"/>
        <w:tblLook w:firstRow="0" w:lastRow="0" w:firstColumn="0" w:lastColumn="0" w:noHBand="0" w:noVBand="0" w:val="0000"/>
      </w:tblPr>
      <w:tblGrid>
        <w:gridCol w:w="7920"/>
      </w:tblGrid>
      <w:tr>
        <w:tc>
          <w:tcPr/>
          <w:bookmarkStart w:id="67" w:name="fig-culvar"/>
          <w:p>
            <w:pPr>
              <w:pStyle w:val="Compact"/>
              <w:jc w:val="center"/>
            </w:pPr>
            <w:r>
              <w:drawing>
                <wp:inline>
                  <wp:extent cx="4027170" cy="3068320"/>
                  <wp:effectExtent b="0" l="0" r="0" t="0"/>
                  <wp:docPr descr="" title="" id="65" name="Picture"/>
                  <a:graphic>
                    <a:graphicData uri="http://schemas.openxmlformats.org/drawingml/2006/picture">
                      <pic:pic>
                        <pic:nvPicPr>
                          <pic:cNvPr descr="../figures/culturevar.png" id="66" name="Picture"/>
                          <pic:cNvPicPr>
                            <a:picLocks noChangeArrowheads="1" noChangeAspect="1"/>
                          </pic:cNvPicPr>
                        </pic:nvPicPr>
                        <pic:blipFill>
                          <a:blip r:embed="rId64"/>
                          <a:stretch>
                            <a:fillRect/>
                          </a:stretch>
                        </pic:blipFill>
                        <pic:spPr bwMode="auto">
                          <a:xfrm>
                            <a:off x="0" y="0"/>
                            <a:ext cx="4027170" cy="3068320"/>
                          </a:xfrm>
                          <a:prstGeom prst="rect">
                            <a:avLst/>
                          </a:prstGeom>
                          <a:noFill/>
                          <a:ln w="9525">
                            <a:noFill/>
                            <a:headEnd/>
                            <a:tailEnd/>
                          </a:ln>
                        </pic:spPr>
                      </pic:pic>
                    </a:graphicData>
                  </a:graphic>
                </wp:inline>
              </w:drawing>
            </w:r>
          </w:p>
          <w:p>
            <w:pPr>
              <w:jc w:val="center"/>
            </w:pPr>
            <w:pPr>
              <w:jc w:val="start"/>
              <w:spacing w:before="200"/>
              <w:pStyle w:val="ImageCaption"/>
            </w:pPr>
            <w:r>
              <w:t xml:space="preserve">Fig. 5: Variance comparison for ARG and GSG copy numbers measured by qPCR in the 32 culture samples.</w:t>
            </w:r>
          </w:p>
          <w:bookmarkEnd w:id="67"/>
        </w:tc>
      </w:tr>
    </w:tbl>
    <w:p>
      <w:pPr>
        <w:pStyle w:val="BodyText"/>
      </w:pPr>
      <w:r>
        <w:t xml:space="preserve">Recent studies have shown that the qPCR assay could be used for the quantification of the toxic</w:t>
      </w:r>
      <w:r>
        <w:t xml:space="preserve"> </w:t>
      </w:r>
      <w:r>
        <w:rPr>
          <w:i/>
          <w:iCs/>
        </w:rPr>
        <w:t xml:space="preserve">Microcystis</w:t>
      </w:r>
      <w:r>
        <w:t xml:space="preserve"> </w:t>
      </w:r>
      <w:r>
        <w:t xml:space="preserve">sp. </w:t>
      </w:r>
      <w:r>
        <w:t xml:space="preserve">(Rinta-kanto et al., 2005)</w:t>
      </w:r>
      <w:r>
        <w:t xml:space="preserve">, and cylindrospermopsin-producing cyanobacteria</w:t>
      </w:r>
      <w:r>
        <w:t xml:space="preserve"> </w:t>
      </w:r>
      <w:r>
        <w:t xml:space="preserve">(Behets et al., 2007)</w:t>
      </w:r>
      <w:r>
        <w:t xml:space="preserve">. In comparison with the approaches proposed in the previous studies, the method developed in this study allows the simultaneous detection of the</w:t>
      </w:r>
      <w:r>
        <w:t xml:space="preserve"> </w:t>
      </w:r>
      <w:r>
        <w:rPr>
          <w:i/>
          <w:iCs/>
        </w:rPr>
        <w:t xml:space="preserve">Anabaena</w:t>
      </w:r>
      <w:r>
        <w:t xml:space="preserve"> </w:t>
      </w:r>
      <w:r>
        <w:t xml:space="preserve">sp. and the geosmin-producing potential using the same qPCR protocol. This merit is very important since quantifying both the odor-causing algae and their odor production potential will be necessary during an odor episode caused by algae. In addition, the</w:t>
      </w:r>
      <w:r>
        <w:t xml:space="preserve"> </w:t>
      </w:r>
      <w:r>
        <w:rPr>
          <w:i/>
          <w:iCs/>
        </w:rPr>
        <w:t xml:space="preserve">ARG</w:t>
      </w:r>
      <w:r>
        <w:t xml:space="preserve"> </w:t>
      </w:r>
      <w:r>
        <w:t xml:space="preserve">and</w:t>
      </w:r>
      <w:r>
        <w:t xml:space="preserve"> </w:t>
      </w:r>
      <w:r>
        <w:rPr>
          <w:i/>
          <w:iCs/>
        </w:rPr>
        <w:t xml:space="preserve">GSG</w:t>
      </w:r>
      <w:r>
        <w:t xml:space="preserve"> </w:t>
      </w:r>
      <w:r>
        <w:t xml:space="preserve">primers are specific to the</w:t>
      </w:r>
      <w:r>
        <w:t xml:space="preserve"> </w:t>
      </w:r>
      <m:oMath>
        <m:r>
          <m:t>r</m:t>
        </m:r>
        <m:r>
          <m:t>p</m:t>
        </m:r>
        <m:r>
          <m:t>o</m:t>
        </m:r>
        <m:sSub>
          <m:e>
            <m:r>
              <m:t>C</m:t>
            </m:r>
          </m:e>
          <m:sub>
            <m:r>
              <m:t>1</m:t>
            </m:r>
          </m:sub>
        </m:sSub>
      </m:oMath>
      <w:r>
        <w:t xml:space="preserve"> </w:t>
      </w:r>
      <w:r>
        <w:t xml:space="preserve">gene and</w:t>
      </w:r>
      <w:r>
        <w:t xml:space="preserve"> </w:t>
      </w:r>
      <w:r>
        <w:rPr>
          <w:i/>
          <w:iCs/>
        </w:rPr>
        <w:t xml:space="preserve">geosmin synthase</w:t>
      </w:r>
      <w:r>
        <w:t xml:space="preserve"> </w:t>
      </w:r>
      <w:r>
        <w:t xml:space="preserve">gene, which are corresponding to amplify several important</w:t>
      </w:r>
      <w:r>
        <w:t xml:space="preserve"> </w:t>
      </w:r>
      <w:r>
        <w:rPr>
          <w:i/>
          <w:iCs/>
        </w:rPr>
        <w:t xml:space="preserve">Anabaena</w:t>
      </w:r>
      <w:r>
        <w:t xml:space="preserve"> </w:t>
      </w:r>
      <w:r>
        <w:t xml:space="preserve">species including</w:t>
      </w:r>
      <w:r>
        <w:t xml:space="preserve"> </w:t>
      </w:r>
      <w:r>
        <w:rPr>
          <w:i/>
          <w:iCs/>
        </w:rPr>
        <w:t xml:space="preserve">A. circinalis</w:t>
      </w:r>
      <w:r>
        <w:t xml:space="preserve">,</w:t>
      </w:r>
      <w:r>
        <w:t xml:space="preserve"> </w:t>
      </w:r>
      <w:r>
        <w:rPr>
          <w:i/>
          <w:iCs/>
        </w:rPr>
        <w:t xml:space="preserve">A. spiroides</w:t>
      </w:r>
      <w:r>
        <w:t xml:space="preserve"> </w:t>
      </w:r>
      <w:r>
        <w:t xml:space="preserve">and</w:t>
      </w:r>
      <w:r>
        <w:t xml:space="preserve"> </w:t>
      </w:r>
      <w:r>
        <w:rPr>
          <w:i/>
          <w:iCs/>
        </w:rPr>
        <w:t xml:space="preserve">A. flos-aquae</w:t>
      </w:r>
      <w:r>
        <w:t xml:space="preserve"> </w:t>
      </w:r>
      <w:r>
        <w:t xml:space="preserve">etc., and</w:t>
      </w:r>
      <w:r>
        <w:t xml:space="preserve"> </w:t>
      </w:r>
      <w:r>
        <w:rPr>
          <w:i/>
          <w:iCs/>
        </w:rPr>
        <w:t xml:space="preserve">Anabaena</w:t>
      </w:r>
      <w:r>
        <w:t xml:space="preserve"> </w:t>
      </w:r>
      <w:r>
        <w:t xml:space="preserve">geosmin-producing potentials, respectively; besides, the LODs and LOQs were very low for both assays, making it possible to track down all</w:t>
      </w:r>
      <w:r>
        <w:t xml:space="preserve"> </w:t>
      </w:r>
      <w:r>
        <w:rPr>
          <w:i/>
          <w:iCs/>
        </w:rPr>
        <w:t xml:space="preserve">Anabaena</w:t>
      </w:r>
      <w:r>
        <w:t xml:space="preserve"> </w:t>
      </w:r>
      <w:r>
        <w:t xml:space="preserve">blooming stages even under the presence of abundant other algal species. Thus, the two assays represent a useful tool to evaluate the</w:t>
      </w:r>
      <w:r>
        <w:t xml:space="preserve"> </w:t>
      </w:r>
      <w:r>
        <w:rPr>
          <w:i/>
          <w:iCs/>
        </w:rPr>
        <w:t xml:space="preserve">Anabaena</w:t>
      </w:r>
      <w:r>
        <w:t xml:space="preserve"> </w:t>
      </w:r>
      <w:r>
        <w:t xml:space="preserve">population and its contribution to the release of geosmin in natural water.</w:t>
      </w:r>
    </w:p>
    <w:bookmarkEnd w:id="68"/>
    <w:bookmarkEnd w:id="69"/>
    <w:bookmarkStart w:id="70" w:name="conclu"/>
    <w:p>
      <w:pPr>
        <w:pStyle w:val="Heading1"/>
      </w:pPr>
      <w:r>
        <w:t xml:space="preserve">Conclusion</w:t>
      </w:r>
    </w:p>
    <w:p>
      <w:pPr>
        <w:pStyle w:val="BodyText"/>
      </w:pPr>
      <w:r>
        <w:t xml:space="preserve">The opportunity for rapid monitoring of potential geosmin-producing</w:t>
      </w:r>
      <w:r>
        <w:t xml:space="preserve"> </w:t>
      </w:r>
      <w:r>
        <w:rPr>
          <w:i/>
          <w:iCs/>
        </w:rPr>
        <w:t xml:space="preserve">Anabaena</w:t>
      </w:r>
      <w:r>
        <w:t xml:space="preserve"> </w:t>
      </w:r>
      <w:r>
        <w:t xml:space="preserve">sp. could greatly improve the capacity for management of freshwater resources used for both drinking water supplies and other uses such as industry and aquaculture. The present work provided two qPCR assays able to identify</w:t>
      </w:r>
      <w:r>
        <w:t xml:space="preserve"> </w:t>
      </w:r>
      <w:r>
        <w:rPr>
          <w:i/>
          <w:iCs/>
        </w:rPr>
        <w:t xml:space="preserve">Anabaena</w:t>
      </w:r>
      <w:r>
        <w:t xml:space="preserve"> </w:t>
      </w:r>
      <w:r>
        <w:t xml:space="preserve">sp., a major taste and odor producing cyanobacteria as well as the</w:t>
      </w:r>
      <w:r>
        <w:t xml:space="preserve"> </w:t>
      </w:r>
      <w:r>
        <w:rPr>
          <w:i/>
          <w:iCs/>
        </w:rPr>
        <w:t xml:space="preserve">geosmin synthase</w:t>
      </w:r>
      <w:r>
        <w:t xml:space="preserve"> </w:t>
      </w:r>
      <w:r>
        <w:t xml:space="preserve">gene in freshwater system for the first time in a peer reviewed study. Both assays were proved to be reliable and showed a good correlation with cell density and geosmin concentration using microscope and GC-MS techniques, respectively. These two assays represent reliable new tools for the monitoring of geosmin-producing</w:t>
      </w:r>
      <w:r>
        <w:t xml:space="preserve"> </w:t>
      </w:r>
      <w:r>
        <w:rPr>
          <w:i/>
          <w:iCs/>
        </w:rPr>
        <w:t xml:space="preserve">Anabaena</w:t>
      </w:r>
      <w:r>
        <w:t xml:space="preserve"> </w:t>
      </w:r>
      <w:r>
        <w:t xml:space="preserve">populations.</w:t>
      </w:r>
    </w:p>
    <w:p>
      <w:r>
        <w:br w:type="page"/>
      </w:r>
    </w:p>
    <w:bookmarkEnd w:id="70"/>
    <w:bookmarkStart w:id="71" w:name="acknowledgements"/>
    <w:p>
      <w:pPr>
        <w:pStyle w:val="Heading1"/>
      </w:pPr>
      <w:r>
        <w:t xml:space="preserve">Acknowledgements</w:t>
      </w:r>
    </w:p>
    <w:p>
      <w:pPr>
        <w:pStyle w:val="BodyText"/>
      </w:pPr>
      <w:r>
        <w:t xml:space="preserve">We greatly thank CRAES for providing two strains FADC-0001 and FADC-0002 in this study. We would like to express our gratitude to the National Natural Science Foundation of China (50938007) and Sinotropia project (6002GJHZ1203), and the AWQC for their support during this study. We would like also to thank the Australian Department of Innovation, Industry, Science and Research for the funding of this work (funding agreement CH080202).</w:t>
      </w:r>
    </w:p>
    <w:bookmarkEnd w:id="71"/>
    <w:bookmarkStart w:id="72" w:name="declaration-of-competing-interest"/>
    <w:p>
      <w:pPr>
        <w:pStyle w:val="Heading1"/>
      </w:pPr>
      <w:r>
        <w:t xml:space="preserve">Declaration of competing interest</w:t>
      </w:r>
    </w:p>
    <w:p>
      <w:pPr>
        <w:pStyle w:val="BodyText"/>
      </w:pPr>
      <w:r>
        <w:t xml:space="preserve">The authors declare that they have no known competing financial interests or personal relationships that could have appeared to influence the work reported in this paper.</w:t>
      </w:r>
    </w:p>
    <w:bookmarkEnd w:id="72"/>
    <w:bookmarkStart w:id="175" w:name="references"/>
    <w:p>
      <w:pPr>
        <w:pStyle w:val="Heading1"/>
      </w:pPr>
      <w:r>
        <w:t xml:space="preserve">References</w:t>
      </w:r>
    </w:p>
    <w:bookmarkStart w:id="174" w:name="refs"/>
    <w:bookmarkStart w:id="74" w:name="ref-auffret2011establishment"/>
    <w:p>
      <w:pPr>
        <w:pStyle w:val="Bibliography"/>
      </w:pPr>
      <w:r>
        <w:t xml:space="preserve">Auffret, M., Pilote, A., Proulx, Émilie, Proulx, D., Vandenberg, G., Villemur, R., 2011. Establishment of a</w:t>
      </w:r>
      <w:r>
        <w:t xml:space="preserve"> </w:t>
      </w:r>
      <w:r>
        <w:t xml:space="preserve">Real-time PCR</w:t>
      </w:r>
      <w:r>
        <w:t xml:space="preserve"> </w:t>
      </w:r>
      <w:r>
        <w:t xml:space="preserve">method for quantification of geosmin-producing</w:t>
      </w:r>
      <w:r>
        <w:t xml:space="preserve"> </w:t>
      </w:r>
      <w:r>
        <w:rPr>
          <w:i/>
          <w:iCs/>
        </w:rPr>
        <w:t xml:space="preserve">Streptomyces</w:t>
      </w:r>
      <w:r>
        <w:t xml:space="preserve"> </w:t>
      </w:r>
      <w:r>
        <w:t xml:space="preserve">spp. In recirculating aquaculture systems. Water Research 45, 6753–6762.</w:t>
      </w:r>
      <w:r>
        <w:t xml:space="preserve"> </w:t>
      </w:r>
      <w:hyperlink r:id="rId73">
        <w:r>
          <w:rPr>
            <w:rStyle w:val="Hyperlink"/>
          </w:rPr>
          <w:t xml:space="preserve">https://doi.org/10.1016/j.watres.2011.10.020</w:t>
        </w:r>
      </w:hyperlink>
    </w:p>
    <w:bookmarkEnd w:id="74"/>
    <w:bookmarkStart w:id="76" w:name="ref-battocchi2010monitoring"/>
    <w:p>
      <w:pPr>
        <w:pStyle w:val="Bibliography"/>
      </w:pPr>
      <w:r>
        <w:t xml:space="preserve">Battocchi, C., Totti, C., Vila, M., Masó, M., Capellacci, S., Accoroni, S., Reñé, A., Scardi, M., Penna, A., 2010. Monitoring toxic microalgae ostreopsis (dinoflagellate) species in coastal waters of the mediterranean sea using molecular PCR-based assay combined with light microscopy. Marine Pollution Bulletin 60, 1074–1084.</w:t>
      </w:r>
      <w:r>
        <w:t xml:space="preserve"> </w:t>
      </w:r>
      <w:hyperlink r:id="rId75">
        <w:r>
          <w:rPr>
            <w:rStyle w:val="Hyperlink"/>
          </w:rPr>
          <w:t xml:space="preserve">https://doi.org/10.1016/j.marpolbul.2010.01.017</w:t>
        </w:r>
      </w:hyperlink>
    </w:p>
    <w:bookmarkEnd w:id="76"/>
    <w:bookmarkStart w:id="77" w:name="ref-beer1986photosynthesis"/>
    <w:p>
      <w:pPr>
        <w:pStyle w:val="Bibliography"/>
      </w:pPr>
      <w:r>
        <w:t xml:space="preserve">Beer, S., Spencer, W., Bowes, G., 1986.</w:t>
      </w:r>
      <w:r>
        <w:t xml:space="preserve"> </w:t>
      </w:r>
      <w:r>
        <w:t xml:space="preserve">Photosynthesis and growth of the filamentous blue-green-alga</w:t>
      </w:r>
      <w:r>
        <w:t xml:space="preserve"> </w:t>
      </w:r>
      <w:r>
        <w:rPr>
          <w:i/>
          <w:iCs/>
        </w:rPr>
        <w:t xml:space="preserve">Lyngbya-birgei</w:t>
      </w:r>
      <w:r>
        <w:t xml:space="preserve"> </w:t>
      </w:r>
      <w:r>
        <w:t xml:space="preserve">in relation to its environment</w:t>
      </w:r>
      <w:r>
        <w:t xml:space="preserve">.</w:t>
      </w:r>
      <w:r>
        <w:t xml:space="preserve"> </w:t>
      </w:r>
      <w:r>
        <w:t xml:space="preserve">Journal of Aquatic Plant Management</w:t>
      </w:r>
      <w:r>
        <w:t xml:space="preserve"> </w:t>
      </w:r>
      <w:r>
        <w:t xml:space="preserve">24</w:t>
      </w:r>
      <w:r>
        <w:t xml:space="preserve">, 61–65.</w:t>
      </w:r>
    </w:p>
    <w:bookmarkEnd w:id="77"/>
    <w:bookmarkStart w:id="79" w:name="ref-behets2007duplex"/>
    <w:p>
      <w:pPr>
        <w:pStyle w:val="Bibliography"/>
      </w:pPr>
      <w:r>
        <w:t xml:space="preserve">Behets, J., Declerck, P., Delaedt, Y., Verelst, L., Ollevier, F., 2007. A duplex</w:t>
      </w:r>
      <w:r>
        <w:t xml:space="preserve"> </w:t>
      </w:r>
      <w:r>
        <w:t xml:space="preserve">Real-time PCR</w:t>
      </w:r>
      <w:r>
        <w:t xml:space="preserve"> </w:t>
      </w:r>
      <w:r>
        <w:t xml:space="preserve">assay for the quantitative detection of</w:t>
      </w:r>
      <w:r>
        <w:t xml:space="preserve"> </w:t>
      </w:r>
      <w:r>
        <w:rPr>
          <w:i/>
          <w:iCs/>
        </w:rPr>
        <w:t xml:space="preserve">Naegleria fowleri</w:t>
      </w:r>
      <w:r>
        <w:t xml:space="preserve"> </w:t>
      </w:r>
      <w:r>
        <w:t xml:space="preserve">in water samples. Water Research 41, 118–126.</w:t>
      </w:r>
      <w:r>
        <w:t xml:space="preserve"> </w:t>
      </w:r>
      <w:hyperlink r:id="rId78">
        <w:r>
          <w:rPr>
            <w:rStyle w:val="Hyperlink"/>
          </w:rPr>
          <w:t xml:space="preserve">https://doi.org/10.1016/j.watres.2006.10.003</w:t>
        </w:r>
      </w:hyperlink>
    </w:p>
    <w:bookmarkEnd w:id="79"/>
    <w:bookmarkStart w:id="81" w:name="ref-bergsland1991evolutionary"/>
    <w:p>
      <w:pPr>
        <w:pStyle w:val="Bibliography"/>
      </w:pPr>
      <w:r>
        <w:t xml:space="preserve">Bergsland, K.J., Haselkorn, R., 1991.</w:t>
      </w:r>
      <w:r>
        <w:t xml:space="preserve"> </w:t>
      </w:r>
      <w:hyperlink r:id="rId80">
        <w:r>
          <w:rPr>
            <w:rStyle w:val="Hyperlink"/>
          </w:rPr>
          <w:t xml:space="preserve">Evolutionary relationships among eubacteria, cyanobacteria, and chloroplasts: Evidence from the</w:t>
        </w:r>
        <w:r>
          <w:rPr>
            <w:rStyle w:val="Hyperlink"/>
          </w:rPr>
          <w:t xml:space="preserve"> </w:t>
        </w:r>
        <m:oMath>
          <m:r>
            <m:t>r</m:t>
          </m:r>
          <m:r>
            <m:t>p</m:t>
          </m:r>
          <m:r>
            <m:t>o</m:t>
          </m:r>
          <m:sSub>
            <m:e>
              <m:r>
                <m:t>C</m:t>
              </m:r>
            </m:e>
            <m:sub>
              <m:r>
                <m:t>1</m:t>
              </m:r>
            </m:sub>
          </m:sSub>
        </m:oMath>
        <w:r>
          <w:rPr>
            <w:rStyle w:val="Hyperlink"/>
          </w:rPr>
          <w:t xml:space="preserve"> </w:t>
        </w:r>
        <w:r>
          <w:rPr>
            <w:rStyle w:val="Hyperlink"/>
          </w:rPr>
          <w:t xml:space="preserve">gene of</w:t>
        </w:r>
        <w:r>
          <w:rPr>
            <w:rStyle w:val="Hyperlink"/>
          </w:rPr>
          <w:t xml:space="preserve"> </w:t>
        </w:r>
        <w:r>
          <w:rPr>
            <w:rStyle w:val="Hyperlink"/>
            <w:i/>
            <w:iCs/>
          </w:rPr>
          <w:t xml:space="preserve">anabaena</w:t>
        </w:r>
        <w:r>
          <w:rPr>
            <w:rStyle w:val="Hyperlink"/>
          </w:rPr>
          <w:t xml:space="preserve"> </w:t>
        </w:r>
        <w:r>
          <w:rPr>
            <w:rStyle w:val="Hyperlink"/>
          </w:rPr>
          <w:t xml:space="preserve">sp. Strain PCC 7120.</w:t>
        </w:r>
      </w:hyperlink>
      <w:r>
        <w:t xml:space="preserve"> Journal of Bacteriology 173, 3446–3455.</w:t>
      </w:r>
    </w:p>
    <w:bookmarkEnd w:id="81"/>
    <w:bookmarkStart w:id="82" w:name="ref-cane2006geosmin"/>
    <w:p>
      <w:pPr>
        <w:pStyle w:val="Bibliography"/>
      </w:pPr>
      <w:r>
        <w:t xml:space="preserve">Cane, D.E., He, X., Kobayashi, S., ömura, S., Ideda, H., 2006. Geosmin biosynthesis in</w:t>
      </w:r>
      <w:r>
        <w:t xml:space="preserve"> </w:t>
      </w:r>
      <w:r>
        <w:rPr>
          <w:i/>
          <w:iCs/>
        </w:rPr>
        <w:t xml:space="preserve">streptomyces avermitilis</w:t>
      </w:r>
      <w:r>
        <w:t xml:space="preserve">. Molecular cloning, expression, and mechanistic study of the germacradienol/geosmin synthase. The Journal of antibiotics 59, 471–479.</w:t>
      </w:r>
    </w:p>
    <w:bookmarkEnd w:id="82"/>
    <w:bookmarkStart w:id="84" w:name="ref-cane2003expression"/>
    <w:p>
      <w:pPr>
        <w:pStyle w:val="Bibliography"/>
      </w:pPr>
      <w:r>
        <w:t xml:space="preserve">Cane, D.E., Watt, R.M., 2003. Expression and mechanistic analysis of a germacradienol synthase from</w:t>
      </w:r>
      <w:r>
        <w:t xml:space="preserve"> </w:t>
      </w:r>
      <w:r>
        <w:rPr>
          <w:i/>
          <w:iCs/>
        </w:rPr>
        <w:t xml:space="preserve">Streptomyces coelicolor</w:t>
      </w:r>
      <w:r>
        <w:t xml:space="preserve"> </w:t>
      </w:r>
      <w:r>
        <w:t xml:space="preserve">implicated in geosmin biosynthesis. Proceedings of the National Academy of Sciences 100, 1547–1551.</w:t>
      </w:r>
      <w:r>
        <w:t xml:space="preserve"> </w:t>
      </w:r>
      <w:hyperlink r:id="rId83">
        <w:r>
          <w:rPr>
            <w:rStyle w:val="Hyperlink"/>
          </w:rPr>
          <w:t xml:space="preserve">https://doi.org/10.1073/pnas.0337625100</w:t>
        </w:r>
      </w:hyperlink>
    </w:p>
    <w:bookmarkEnd w:id="84"/>
    <w:bookmarkStart w:id="86" w:name="ref-christensen2009dose"/>
    <w:p>
      <w:pPr>
        <w:pStyle w:val="Bibliography"/>
      </w:pPr>
      <w:r>
        <w:t xml:space="preserve">Christensen, E.R., Kusk, K.O., Nyholm, N., 2009. Dose-response regressions for algal growth and similar continuous endpoints: Calculation of effective concentrations. Environmental Toxicology and Chemistry 28, 826–835.</w:t>
      </w:r>
      <w:r>
        <w:t xml:space="preserve"> </w:t>
      </w:r>
      <w:hyperlink r:id="rId85">
        <w:r>
          <w:rPr>
            <w:rStyle w:val="Hyperlink"/>
          </w:rPr>
          <w:t xml:space="preserve">https://doi.org/10.1897/08-068r.1</w:t>
        </w:r>
      </w:hyperlink>
    </w:p>
    <w:bookmarkEnd w:id="86"/>
    <w:bookmarkStart w:id="87" w:name="ref-colwell2009biodiversity"/>
    <w:p>
      <w:pPr>
        <w:pStyle w:val="Bibliography"/>
      </w:pPr>
      <w:r>
        <w:t xml:space="preserve">Colwell, R.K., 2009. Biodiversity: Concepts, patterns, and measurement. The Princeton Guide to Ecology 257–63.</w:t>
      </w:r>
    </w:p>
    <w:bookmarkEnd w:id="87"/>
    <w:bookmarkStart w:id="89" w:name="ref-cramer1952growth"/>
    <w:p>
      <w:pPr>
        <w:pStyle w:val="Bibliography"/>
      </w:pPr>
      <w:r>
        <w:t xml:space="preserve">Cramer, M., Myers, J., 1952. Growth and photosynthetic characteristics of euglena gracilis. Archiv Für Mikrobiologie 17, 384–402.</w:t>
      </w:r>
      <w:r>
        <w:t xml:space="preserve"> </w:t>
      </w:r>
      <w:hyperlink r:id="rId88">
        <w:r>
          <w:rPr>
            <w:rStyle w:val="Hyperlink"/>
          </w:rPr>
          <w:t xml:space="preserve">https://doi.org/10.1007/bf00410835</w:t>
        </w:r>
      </w:hyperlink>
    </w:p>
    <w:bookmarkEnd w:id="89"/>
    <w:bookmarkStart w:id="91" w:name="ref-deng2011simultaneous"/>
    <w:p>
      <w:pPr>
        <w:pStyle w:val="Bibliography"/>
      </w:pPr>
      <w:r>
        <w:t xml:space="preserve">Deng, X., Liang, G., Chen, J., Qi, M., Xie, P., 2011. Simultaneous determination of eight common odors in natural water body using automatic purge and trap coupled to gas chromatography with mass spectrometry. Journal of Chromatography A 1218, 3791–3798.</w:t>
      </w:r>
      <w:r>
        <w:t xml:space="preserve"> </w:t>
      </w:r>
      <w:hyperlink r:id="rId90">
        <w:r>
          <w:rPr>
            <w:rStyle w:val="Hyperlink"/>
          </w:rPr>
          <w:t xml:space="preserve">https://doi.org/10.1016/j.chroma.2011.04.041</w:t>
        </w:r>
      </w:hyperlink>
    </w:p>
    <w:bookmarkEnd w:id="91"/>
    <w:bookmarkStart w:id="93" w:name="ref-fergusson2000molecular"/>
    <w:p>
      <w:pPr>
        <w:pStyle w:val="Bibliography"/>
      </w:pPr>
      <w:r>
        <w:t xml:space="preserve">Fergusson, K.M., Saint, C.P., 2000. Molecular phylogeny of</w:t>
      </w:r>
      <w:r>
        <w:t xml:space="preserve"> </w:t>
      </w:r>
      <w:r>
        <w:rPr>
          <w:i/>
          <w:iCs/>
        </w:rPr>
        <w:t xml:space="preserve">Anabaena circinalis</w:t>
      </w:r>
      <w:r>
        <w:t xml:space="preserve"> </w:t>
      </w:r>
      <w:r>
        <w:t xml:space="preserve">and its identification in environmental samples by PCR. Applied and Environmental Microbiology 66, 4145–4148.</w:t>
      </w:r>
      <w:r>
        <w:t xml:space="preserve"> </w:t>
      </w:r>
      <w:hyperlink r:id="rId92">
        <w:r>
          <w:rPr>
            <w:rStyle w:val="Hyperlink"/>
          </w:rPr>
          <w:t xml:space="preserve">https://doi.org/10.1128/aem.66.9.4145-4148.2000</w:t>
        </w:r>
      </w:hyperlink>
    </w:p>
    <w:bookmarkEnd w:id="93"/>
    <w:bookmarkStart w:id="95" w:name="ref-giglio2008isolation"/>
    <w:p>
      <w:pPr>
        <w:pStyle w:val="Bibliography"/>
      </w:pPr>
      <w:r>
        <w:t xml:space="preserve">Giglio, S., Jiang, J., Saint, C.P.S., Cane, D.E., Monis, P.T., 2008. Isolation and characterization of the gene associated with geosmin production in cyanobacteria. Environmental Science &amp; Technology 42, 8027–8032.</w:t>
      </w:r>
      <w:r>
        <w:t xml:space="preserve"> </w:t>
      </w:r>
      <w:hyperlink r:id="rId94">
        <w:r>
          <w:rPr>
            <w:rStyle w:val="Hyperlink"/>
          </w:rPr>
          <w:t xml:space="preserve">https://doi.org/10.1021/es801465w</w:t>
        </w:r>
      </w:hyperlink>
    </w:p>
    <w:bookmarkEnd w:id="95"/>
    <w:bookmarkStart w:id="97" w:name="ref-giglio2011expression"/>
    <w:p>
      <w:pPr>
        <w:pStyle w:val="Bibliography"/>
      </w:pPr>
      <w:r>
        <w:t xml:space="preserve">Giglio, S., Saint, C.P., Monis, P.T., 2011. Expression of the</w:t>
      </w:r>
      <w:r>
        <w:t xml:space="preserve"> </w:t>
      </w:r>
      <w:r>
        <w:rPr>
          <w:i/>
          <w:iCs/>
        </w:rPr>
        <w:t xml:space="preserve">Geosmin Synthase</w:t>
      </w:r>
      <w:r>
        <w:t xml:space="preserve"> </w:t>
      </w:r>
      <w:r>
        <w:t xml:space="preserve">gene in the cyanobacterium</w:t>
      </w:r>
      <w:r>
        <w:t xml:space="preserve"> </w:t>
      </w:r>
      <w:r>
        <w:rPr>
          <w:i/>
          <w:iCs/>
        </w:rPr>
        <w:t xml:space="preserve">Anabaena circinalis</w:t>
      </w:r>
      <w:r>
        <w:t xml:space="preserve"> </w:t>
      </w:r>
      <w:r>
        <w:t xml:space="preserve">AWQC318</w:t>
      </w:r>
      <w:r>
        <w:t xml:space="preserve">. Journal of Phycology 47, 1338–1343.</w:t>
      </w:r>
      <w:r>
        <w:t xml:space="preserve"> </w:t>
      </w:r>
      <w:hyperlink r:id="rId96">
        <w:r>
          <w:rPr>
            <w:rStyle w:val="Hyperlink"/>
          </w:rPr>
          <w:t xml:space="preserve">https://doi.org/10.1111/j.1529-8817.2011.01061.x</w:t>
        </w:r>
      </w:hyperlink>
    </w:p>
    <w:bookmarkEnd w:id="97"/>
    <w:bookmarkStart w:id="99" w:name="ref-gust2003pcr"/>
    <w:p>
      <w:pPr>
        <w:pStyle w:val="Bibliography"/>
      </w:pPr>
      <w:r>
        <w:t xml:space="preserve">Gust, B., Challis, G.L., Fowler, K., Kieser, T., Chater, K.F., 2003. PCR-targeted</w:t>
      </w:r>
      <w:r>
        <w:t xml:space="preserve"> </w:t>
      </w:r>
      <w:r>
        <w:rPr>
          <w:i/>
          <w:iCs/>
        </w:rPr>
        <w:t xml:space="preserve">Streptomyces</w:t>
      </w:r>
      <w:r>
        <w:t xml:space="preserve"> </w:t>
      </w:r>
      <w:r>
        <w:t xml:space="preserve">gene replacement identifies a protein domain needed for biosynthesis of the sesquiterpene soil odor geosmin. Proceedings of the National Academy of Sciences 100, 1541–1546.</w:t>
      </w:r>
      <w:r>
        <w:t xml:space="preserve"> </w:t>
      </w:r>
      <w:hyperlink r:id="rId98">
        <w:r>
          <w:rPr>
            <w:rStyle w:val="Hyperlink"/>
          </w:rPr>
          <w:t xml:space="preserve">https://doi.org/10.1073/pnas.0337542100</w:t>
        </w:r>
      </w:hyperlink>
    </w:p>
    <w:bookmarkEnd w:id="99"/>
    <w:bookmarkStart w:id="101" w:name="ref-haas1996neorhabdocoela"/>
    <w:p>
      <w:pPr>
        <w:pStyle w:val="Bibliography"/>
      </w:pPr>
      <w:r>
        <w:t xml:space="preserve">Haas, J.N., 1996.</w:t>
      </w:r>
      <w:r>
        <w:t xml:space="preserve"> </w:t>
      </w:r>
      <w:r>
        <w:rPr>
          <w:i/>
          <w:iCs/>
        </w:rPr>
        <w:t xml:space="preserve">Neorhabdocoela oocytes</w:t>
      </w:r>
      <w:r>
        <w:t xml:space="preserve"> </w:t>
      </w:r>
      <w:r>
        <w:t xml:space="preserve">- palaeoecological indicators found in pollen preparations from holocene freshwater lake sediments. Review of Palaeobotany and Palynology 91, 371–382.</w:t>
      </w:r>
      <w:r>
        <w:t xml:space="preserve"> </w:t>
      </w:r>
      <w:hyperlink r:id="rId100">
        <w:r>
          <w:rPr>
            <w:rStyle w:val="Hyperlink"/>
          </w:rPr>
          <w:t xml:space="preserve">https://doi.org/10.1016/0034-6667(95)00074-7</w:t>
        </w:r>
      </w:hyperlink>
    </w:p>
    <w:bookmarkEnd w:id="101"/>
    <w:bookmarkStart w:id="102" w:name="ref-harris1989chlamydomonas"/>
    <w:p>
      <w:pPr>
        <w:pStyle w:val="Bibliography"/>
      </w:pPr>
      <w:r>
        <w:t xml:space="preserve">Harris, E.H., Stern, D.B., Witman, G.B., 1989. The chlamydomonas sourcebook. Cambridge Univ Press.</w:t>
      </w:r>
    </w:p>
    <w:bookmarkEnd w:id="102"/>
    <w:bookmarkStart w:id="103" w:name="ref-hasle1978sournia"/>
    <w:p>
      <w:pPr>
        <w:pStyle w:val="Bibliography"/>
      </w:pPr>
      <w:r>
        <w:t xml:space="preserve">Hasle, G.R., 1978. A. Sournia (ed) phytoplankton manual, Diatom. Unesco (Paris).</w:t>
      </w:r>
    </w:p>
    <w:bookmarkEnd w:id="103"/>
    <w:bookmarkStart w:id="105" w:name="ref-ho2007biodegradation"/>
    <w:p>
      <w:pPr>
        <w:pStyle w:val="Bibliography"/>
      </w:pPr>
      <w:r>
        <w:t xml:space="preserve">Ho, L., Hoefel, D., Bock, F., Saint, C.P., Newcombe, G., 2007. Biodegradation rates of 2-methylisoborneol (MIB) and geosmin through sand filters and in bioreactors. Chemosphere 66, 2210–2218.</w:t>
      </w:r>
      <w:r>
        <w:t xml:space="preserve"> </w:t>
      </w:r>
      <w:hyperlink r:id="rId104">
        <w:r>
          <w:rPr>
            <w:rStyle w:val="Hyperlink"/>
          </w:rPr>
          <w:t xml:space="preserve">https://doi.org/10.1016/j.chemosphere.2006.08.016</w:t>
        </w:r>
      </w:hyperlink>
    </w:p>
    <w:bookmarkEnd w:id="105"/>
    <w:bookmarkStart w:id="106" w:name="ref-hotzel1994long"/>
    <w:p>
      <w:pPr>
        <w:pStyle w:val="Bibliography"/>
      </w:pPr>
      <w:r>
        <w:t xml:space="preserve">Hotzel, G., Croome, R., 1994.</w:t>
      </w:r>
      <w:r>
        <w:t xml:space="preserve"> </w:t>
      </w:r>
      <w:r>
        <w:t xml:space="preserve">Long-term phytoplankton monitoring of the darling river at burtundy, new-south-wales - incidence and significance of cyanobacterial blooms</w:t>
      </w:r>
      <w:r>
        <w:t xml:space="preserve">.</w:t>
      </w:r>
      <w:r>
        <w:t xml:space="preserve"> </w:t>
      </w:r>
      <w:r>
        <w:t xml:space="preserve">Australian Journal of Marine and Freshwater Research</w:t>
      </w:r>
      <w:r>
        <w:t xml:space="preserve"> </w:t>
      </w:r>
      <w:r>
        <w:t xml:space="preserve">45</w:t>
      </w:r>
      <w:r>
        <w:t xml:space="preserve">, 747–759.</w:t>
      </w:r>
    </w:p>
    <w:bookmarkEnd w:id="106"/>
    <w:bookmarkStart w:id="108" w:name="ref-humbert2010molecular"/>
    <w:p>
      <w:pPr>
        <w:pStyle w:val="Bibliography"/>
      </w:pPr>
      <w:r>
        <w:t xml:space="preserve">Humbert, J.f., Quiblier, C., Gugger, M., 2010. Molecular approaches for monitoring potentially toxic marine and freshwater phytoplankton species. Analytical and Bioanalytical Chemistry 397, 1723–1732.</w:t>
      </w:r>
      <w:r>
        <w:t xml:space="preserve"> </w:t>
      </w:r>
      <w:hyperlink r:id="rId107">
        <w:r>
          <w:rPr>
            <w:rStyle w:val="Hyperlink"/>
          </w:rPr>
          <w:t xml:space="preserve">https://doi.org/10.1007/s00216-010-3642-7</w:t>
        </w:r>
      </w:hyperlink>
    </w:p>
    <w:bookmarkEnd w:id="108"/>
    <w:bookmarkStart w:id="110" w:name="ref-innok2005detection"/>
    <w:p>
      <w:pPr>
        <w:pStyle w:val="Bibliography"/>
      </w:pPr>
      <w:r>
        <w:t xml:space="preserve">Innok, S., Matsumura, M., Boonkerd, N., Teaumroong, N., 2005. Detection of</w:t>
      </w:r>
      <w:r>
        <w:t xml:space="preserve"> </w:t>
      </w:r>
      <w:r>
        <w:rPr>
          <w:i/>
          <w:iCs/>
        </w:rPr>
        <w:t xml:space="preserve">Microcystis</w:t>
      </w:r>
      <w:r>
        <w:t xml:space="preserve"> </w:t>
      </w:r>
      <w:r>
        <w:t xml:space="preserve">in lake sediment using molecular genetic techniques. World Journal of Microbiology and Biotechnology 21, 1559–1568.</w:t>
      </w:r>
      <w:r>
        <w:t xml:space="preserve"> </w:t>
      </w:r>
      <w:hyperlink r:id="rId109">
        <w:r>
          <w:rPr>
            <w:rStyle w:val="Hyperlink"/>
          </w:rPr>
          <w:t xml:space="preserve">https://doi.org/10.1007/s11274-005-7893-y</w:t>
        </w:r>
      </w:hyperlink>
    </w:p>
    <w:bookmarkEnd w:id="110"/>
    <w:bookmarkStart w:id="111" w:name="ref-jiang2007biosynthesis"/>
    <w:p>
      <w:pPr>
        <w:pStyle w:val="Bibliography"/>
      </w:pPr>
      <w:r>
        <w:t xml:space="preserve">Jiang, J., He, X., Cane, D.E., 2007. Biosynthesis of the earthy odorant geosmin by a bifunctional</w:t>
      </w:r>
      <w:r>
        <w:t xml:space="preserve"> </w:t>
      </w:r>
      <w:r>
        <w:rPr>
          <w:i/>
          <w:iCs/>
        </w:rPr>
        <w:t xml:space="preserve">streptomyces coelicolor</w:t>
      </w:r>
      <w:r>
        <w:t xml:space="preserve"> </w:t>
      </w:r>
      <w:r>
        <w:t xml:space="preserve">enzyme. Nature chemical biology 3, 711–715.</w:t>
      </w:r>
    </w:p>
    <w:bookmarkEnd w:id="111"/>
    <w:bookmarkStart w:id="113" w:name="ref-jiang2006geosmin"/>
    <w:p>
      <w:pPr>
        <w:pStyle w:val="Bibliography"/>
      </w:pPr>
      <w:r>
        <w:t xml:space="preserve">Jiang, J., He, X., Cane, D.E., 2006. Geosmin biosynthesis.</w:t>
      </w:r>
      <w:r>
        <w:t xml:space="preserve"> </w:t>
      </w:r>
      <w:r>
        <w:rPr>
          <w:i/>
          <w:iCs/>
        </w:rPr>
        <w:t xml:space="preserve">Streptomyces coelicolor</w:t>
      </w:r>
      <w:r>
        <w:t xml:space="preserve"> </w:t>
      </w:r>
      <w:r>
        <w:t xml:space="preserve">germacradienol/germacrene d synthase converts farnesyl diphosphate to geosmin. Journal of the American Chemical Society 128, 8128–8129.</w:t>
      </w:r>
      <w:r>
        <w:t xml:space="preserve"> </w:t>
      </w:r>
      <w:hyperlink r:id="rId112">
        <w:r>
          <w:rPr>
            <w:rStyle w:val="Hyperlink"/>
          </w:rPr>
          <w:t xml:space="preserve">https://doi.org/10.1021/ja062669x</w:t>
        </w:r>
      </w:hyperlink>
    </w:p>
    <w:bookmarkEnd w:id="113"/>
    <w:bookmarkStart w:id="115" w:name="ref-koskenniemi2007quantitative"/>
    <w:p>
      <w:pPr>
        <w:pStyle w:val="Bibliography"/>
      </w:pPr>
      <w:r>
        <w:t xml:space="preserve">Koskenniemi, K., Lyra, C., Rajaniemi-wacklin, P., Jokela, J., Sivonen, K., 2007. Quantitative</w:t>
      </w:r>
      <w:r>
        <w:t xml:space="preserve"> </w:t>
      </w:r>
      <w:r>
        <w:t xml:space="preserve">Real-time PCR</w:t>
      </w:r>
      <w:r>
        <w:t xml:space="preserve"> </w:t>
      </w:r>
      <w:r>
        <w:t xml:space="preserve">detection of toxic</w:t>
      </w:r>
      <w:r>
        <w:t xml:space="preserve"> </w:t>
      </w:r>
      <w:r>
        <w:rPr>
          <w:i/>
          <w:iCs/>
        </w:rPr>
        <w:t xml:space="preserve">Nodularia</w:t>
      </w:r>
      <w:r>
        <w:t xml:space="preserve"> </w:t>
      </w:r>
      <w:r>
        <w:t xml:space="preserve">cyanobacteria in the</w:t>
      </w:r>
      <w:r>
        <w:t xml:space="preserve"> </w:t>
      </w:r>
      <w:r>
        <w:t xml:space="preserve">Baltic Sea</w:t>
      </w:r>
      <w:r>
        <w:t xml:space="preserve">. Applied and Environmental Microbiology 73, 2173–2179.</w:t>
      </w:r>
      <w:r>
        <w:t xml:space="preserve"> </w:t>
      </w:r>
      <w:hyperlink r:id="rId114">
        <w:r>
          <w:rPr>
            <w:rStyle w:val="Hyperlink"/>
          </w:rPr>
          <w:t xml:space="preserve">https://doi.org/10.1128/aem.02746-06</w:t>
        </w:r>
      </w:hyperlink>
    </w:p>
    <w:bookmarkEnd w:id="115"/>
    <w:bookmarkStart w:id="116" w:name="ref-krienitz2002cyanotoxin"/>
    <w:p>
      <w:pPr>
        <w:pStyle w:val="Bibliography"/>
      </w:pPr>
      <w:r>
        <w:t xml:space="preserve">Krienitz, L., Ballot, A., Wiegand, C., Kotut, K., Codd, G., Pflugmacher, S., 2002.</w:t>
      </w:r>
      <w:r>
        <w:t xml:space="preserve"> </w:t>
      </w:r>
      <w:r>
        <w:t xml:space="preserve">Cyanotoxin-producing bloom of</w:t>
      </w:r>
      <w:r>
        <w:t xml:space="preserve"> </w:t>
      </w:r>
      <w:r>
        <w:rPr>
          <w:i/>
          <w:iCs/>
        </w:rPr>
        <w:t xml:space="preserve">Anabaena flos-aquae</w:t>
      </w:r>
      <w:r>
        <w:t xml:space="preserve">,</w:t>
      </w:r>
      <w:r>
        <w:t xml:space="preserve"> </w:t>
      </w:r>
      <w:r>
        <w:rPr>
          <w:i/>
          <w:iCs/>
        </w:rPr>
        <w:t xml:space="preserve">Anabaena discoidea</w:t>
      </w:r>
      <w:r>
        <w:t xml:space="preserve"> </w:t>
      </w:r>
      <w:r>
        <w:t xml:space="preserve">and</w:t>
      </w:r>
      <w:r>
        <w:t xml:space="preserve"> </w:t>
      </w:r>
      <w:r>
        <w:rPr>
          <w:i/>
          <w:iCs/>
        </w:rPr>
        <w:t xml:space="preserve">Microcystis aeruginosa</w:t>
      </w:r>
      <w:r>
        <w:t xml:space="preserve"> </w:t>
      </w:r>
      <w:r>
        <w:t xml:space="preserve">(Cyanobacteria) in Nyanza Gulf of Lake Victoria, Kenya</w:t>
      </w:r>
      <w:r>
        <w:t xml:space="preserve">.</w:t>
      </w:r>
      <w:r>
        <w:t xml:space="preserve"> </w:t>
      </w:r>
      <w:r>
        <w:t xml:space="preserve">Journal of Applied Botany-Angewandte Botanik</w:t>
      </w:r>
      <w:r>
        <w:t xml:space="preserve"> </w:t>
      </w:r>
      <w:r>
        <w:t xml:space="preserve">76</w:t>
      </w:r>
      <w:r>
        <w:t xml:space="preserve">, 179–183.</w:t>
      </w:r>
    </w:p>
    <w:bookmarkEnd w:id="116"/>
    <w:bookmarkStart w:id="117" w:name="ref-kuosa1991bloom"/>
    <w:p>
      <w:pPr>
        <w:pStyle w:val="Bibliography"/>
      </w:pPr>
      <w:r>
        <w:t xml:space="preserve">Kuosa, H., 1991. A bloom of the blue-green alga</w:t>
      </w:r>
      <w:r>
        <w:t xml:space="preserve"> </w:t>
      </w:r>
      <w:r>
        <w:rPr>
          <w:i/>
          <w:iCs/>
        </w:rPr>
        <w:t xml:space="preserve">anabaena lemmermannii-var-minor</w:t>
      </w:r>
      <w:r>
        <w:t xml:space="preserve"> </w:t>
      </w:r>
      <w:r>
        <w:t xml:space="preserve">nostocophyceae in the gennarbyviken fresh-water reservoir southern finland. Memoranda Societatis pro Fauna et Flora Fennica 67, 147–149.</w:t>
      </w:r>
    </w:p>
    <w:bookmarkEnd w:id="117"/>
    <w:bookmarkStart w:id="119" w:name="ref-li2010cyanobacterial"/>
    <w:p>
      <w:pPr>
        <w:pStyle w:val="Bibliography"/>
      </w:pP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118">
        <w:r>
          <w:rPr>
            <w:rStyle w:val="Hyperlink"/>
          </w:rPr>
          <w:t xml:space="preserve">https://doi.org/10.1016/j.hal.2010.03.003</w:t>
        </w:r>
      </w:hyperlink>
    </w:p>
    <w:bookmarkEnd w:id="119"/>
    <w:bookmarkStart w:id="120" w:name="ref-liang2005removal"/>
    <w:p>
      <w:pPr>
        <w:pStyle w:val="Bibliography"/>
      </w:pPr>
      <w:r>
        <w:t xml:space="preserve">Liang, C., Wang, D., Yang, M., Sun, W., Zhang, S., 2005. Removal of eathy-must odorants in drinking water by powdered activated carbon. Journal of Environmental Science and Health 40, 767–778.</w:t>
      </w:r>
    </w:p>
    <w:bookmarkEnd w:id="120"/>
    <w:bookmarkStart w:id="122" w:name="ref-llewellyn2001radioreceptor"/>
    <w:p>
      <w:pPr>
        <w:pStyle w:val="Bibliography"/>
      </w:pPr>
      <w:r>
        <w:t xml:space="preserve">Llewellyn, L.E., Negri, A.P., Doyle, J., Baker, P.D., Beltran, E.C., Neilan, B.A., 2001. Radioreceptor assays for sensitive detection and quantitation of saxitoxin and its analogues from strains of the freshwater cyanobacterium,</w:t>
      </w:r>
      <w:r>
        <w:t xml:space="preserve"> </w:t>
      </w:r>
      <w:r>
        <w:rPr>
          <w:i/>
          <w:iCs/>
        </w:rPr>
        <w:t xml:space="preserve">Anabaena circinalis</w:t>
      </w:r>
      <w:r>
        <w:t xml:space="preserve">. Environmental Science &amp; Technology 35, 1445–1451.</w:t>
      </w:r>
      <w:r>
        <w:t xml:space="preserve"> </w:t>
      </w:r>
      <w:hyperlink r:id="rId121">
        <w:r>
          <w:rPr>
            <w:rStyle w:val="Hyperlink"/>
          </w:rPr>
          <w:t xml:space="preserve">https://doi.org/10.1021/es001575z</w:t>
        </w:r>
      </w:hyperlink>
    </w:p>
    <w:bookmarkEnd w:id="122"/>
    <w:bookmarkStart w:id="124" w:name="ref-ludwig2007identification"/>
    <w:p>
      <w:pPr>
        <w:pStyle w:val="Bibliography"/>
      </w:pPr>
      <w:r>
        <w:t xml:space="preserve">Ludwig, F., Medger, A., Börnick, H., Opitz, M., Lang, K., Göttfert, M., Röske, I., 2007. Identification and expression analyses of putative sesquiterpene synthase genes in</w:t>
      </w:r>
      <w:r>
        <w:t xml:space="preserve"> </w:t>
      </w:r>
      <w:r>
        <w:rPr>
          <w:i/>
          <w:iCs/>
        </w:rPr>
        <w:t xml:space="preserve">Phormidium</w:t>
      </w:r>
      <w:r>
        <w:t xml:space="preserve"> </w:t>
      </w:r>
      <w:r>
        <w:t xml:space="preserve">sp. And prevalence of</w:t>
      </w:r>
      <w:r>
        <w:t xml:space="preserve"> </w:t>
      </w:r>
      <w:r>
        <w:rPr>
          <w:i/>
          <w:iCs/>
        </w:rPr>
        <w:t xml:space="preserve">Geoa</w:t>
      </w:r>
      <w:r>
        <w:t xml:space="preserve">-like genes in a drinking water reservoir. Applied and Environmental Microbiology 73, 6988–6993.</w:t>
      </w:r>
      <w:r>
        <w:t xml:space="preserve"> </w:t>
      </w:r>
      <w:hyperlink r:id="rId123">
        <w:r>
          <w:rPr>
            <w:rStyle w:val="Hyperlink"/>
          </w:rPr>
          <w:t xml:space="preserve">https://doi.org/10.1128/aem.01197-07</w:t>
        </w:r>
      </w:hyperlink>
    </w:p>
    <w:bookmarkEnd w:id="124"/>
    <w:bookmarkStart w:id="126" w:name="ref-lylloff2012detection"/>
    <w:p>
      <w:pPr>
        <w:pStyle w:val="Bibliography"/>
      </w:pPr>
      <w:r>
        <w:t xml:space="preserve">Lylloff, J.E., Mogensen, M.H., Burford, M.A., Schluter, L., Jorgensen, N.O.G., 2012.</w:t>
      </w:r>
      <w:r>
        <w:t xml:space="preserve"> </w:t>
      </w:r>
      <w:r>
        <w:t xml:space="preserve">Detection of aquatic streptomycetes by quantitative PCR for prediction of taste-and-odour episodes in water reservoirs</w:t>
      </w:r>
      <w:r>
        <w:t xml:space="preserve">.</w:t>
      </w:r>
      <w:r>
        <w:t xml:space="preserve"> </w:t>
      </w:r>
      <w:r>
        <w:t xml:space="preserve">Journal of Water Supply Research and Technology-Aqua</w:t>
      </w:r>
      <w:r>
        <w:t xml:space="preserve"> </w:t>
      </w:r>
      <w:r>
        <w:t xml:space="preserve">61</w:t>
      </w:r>
      <w:r>
        <w:t xml:space="preserve">, 272–282.</w:t>
      </w:r>
      <w:r>
        <w:t xml:space="preserve"> </w:t>
      </w:r>
      <w:hyperlink r:id="rId125">
        <w:r>
          <w:rPr>
            <w:rStyle w:val="Hyperlink"/>
          </w:rPr>
          <w:t xml:space="preserve">https://doi.org/{10.2166/aqua.2012.006}</w:t>
        </w:r>
      </w:hyperlink>
    </w:p>
    <w:bookmarkEnd w:id="126"/>
    <w:bookmarkStart w:id="127" w:name="ref-marbun2012rapid"/>
    <w:p>
      <w:pPr>
        <w:pStyle w:val="Bibliography"/>
      </w:pPr>
      <w:r>
        <w:t xml:space="preserve">Marbun, Y.R., Yen, H.-K., Lin, T.-F., Lin, H.-L., Michinaka, A., 2012. Rapid on-site monitoring of cylindrospermopsin-producers in reservoirs using quantitative PCR. Sustainable Environment Research 22, 143–151.</w:t>
      </w:r>
    </w:p>
    <w:bookmarkEnd w:id="127"/>
    <w:bookmarkStart w:id="129" w:name="ref-matsunaga200116s"/>
    <w:p>
      <w:pPr>
        <w:pStyle w:val="Bibliography"/>
      </w:pPr>
      <w:r>
        <w:t xml:space="preserve">Matsunaga, T., Takeyama, H., Nakayama, H., 2001. 16s rrna-targeted identification of cyanobacterial genera using oligonucleotide-probes immobilized on bacterial magnetic particles. Journal of Applied Phycology 13, 389–394.</w:t>
      </w:r>
      <w:r>
        <w:t xml:space="preserve"> </w:t>
      </w:r>
      <w:hyperlink r:id="rId128">
        <w:r>
          <w:rPr>
            <w:rStyle w:val="Hyperlink"/>
          </w:rPr>
          <w:t xml:space="preserve">https://doi.org/10.1023/a:1017990518648</w:t>
        </w:r>
      </w:hyperlink>
    </w:p>
    <w:bookmarkEnd w:id="129"/>
    <w:bookmarkStart w:id="131" w:name="ref-morales2005observations"/>
    <w:p>
      <w:pPr>
        <w:pStyle w:val="Bibliography"/>
      </w:pPr>
      <w:r>
        <w:t xml:space="preserve">Morales, E.A., 2005. Observations of the morphology of some known and new fragilarioid diatoms (bacillariophyceae) from rivers in the</w:t>
      </w:r>
      <w:r>
        <w:t xml:space="preserve"> </w:t>
      </w:r>
      <w:r>
        <w:t xml:space="preserve">USA</w:t>
      </w:r>
      <w:r>
        <w:t xml:space="preserve">. Phycological Research 53, 113–133.</w:t>
      </w:r>
      <w:r>
        <w:t xml:space="preserve"> </w:t>
      </w:r>
      <w:hyperlink r:id="rId130">
        <w:r>
          <w:rPr>
            <w:rStyle w:val="Hyperlink"/>
          </w:rPr>
          <w:t xml:space="preserve">https://doi.org/10.1111/j.1440-183.2005.00378.x</w:t>
        </w:r>
      </w:hyperlink>
    </w:p>
    <w:bookmarkEnd w:id="131"/>
    <w:bookmarkStart w:id="133" w:name="ref-moustafa2009genomic"/>
    <w:p>
      <w:pPr>
        <w:pStyle w:val="Bibliography"/>
      </w:pPr>
      <w:r>
        <w:t xml:space="preserve">Moustafa, A., Beszteri, B., Maier, U.G., Bowler, C., Valentin, K., Bhattacharya, D., 2009. Genomic footprints of a cryptic plastid</w:t>
      </w:r>
      <w:r>
        <w:t xml:space="preserve"> </w:t>
      </w:r>
      <w:r>
        <w:rPr>
          <w:i/>
          <w:iCs/>
        </w:rPr>
        <w:t xml:space="preserve">Endosymbiosis</w:t>
      </w:r>
      <w:r>
        <w:t xml:space="preserve"> </w:t>
      </w:r>
      <w:r>
        <w:t xml:space="preserve">in diatoms. Science 324, 1724–1726.</w:t>
      </w:r>
      <w:r>
        <w:t xml:space="preserve"> </w:t>
      </w:r>
      <w:hyperlink r:id="rId132">
        <w:r>
          <w:rPr>
            <w:rStyle w:val="Hyperlink"/>
          </w:rPr>
          <w:t xml:space="preserve">https://doi.org/10.1126/science.1172983</w:t>
        </w:r>
      </w:hyperlink>
    </w:p>
    <w:bookmarkEnd w:id="133"/>
    <w:bookmarkStart w:id="135" w:name="ref-orsini2001microwave"/>
    <w:p>
      <w:pPr>
        <w:pStyle w:val="Bibliography"/>
      </w:pPr>
      <w:r>
        <w:t xml:space="preserve">Orsini, M., Romano-spica, V., 2001. A microwave-based method for nucleic acid isolation from environmental samples. Letters in Applied Microbiology 33, 17–20.</w:t>
      </w:r>
      <w:r>
        <w:t xml:space="preserve"> </w:t>
      </w:r>
      <w:hyperlink r:id="rId134">
        <w:r>
          <w:rPr>
            <w:rStyle w:val="Hyperlink"/>
          </w:rPr>
          <w:t xml:space="preserve">https://doi.org/10.1046/j.1472-765x.2001.00938.x</w:t>
        </w:r>
      </w:hyperlink>
    </w:p>
    <w:bookmarkEnd w:id="135"/>
    <w:bookmarkStart w:id="137" w:name="ref-palenik1992multiple"/>
    <w:p>
      <w:pPr>
        <w:pStyle w:val="Bibliography"/>
      </w:pPr>
      <w:r>
        <w:t xml:space="preserve">Palenik, B., Haselkorn, R., 1992.</w:t>
      </w:r>
      <w:r>
        <w:t xml:space="preserve"> </w:t>
      </w:r>
      <w:r>
        <w:t xml:space="preserve">multiple Evolutionary Origins of Prochlorophytes, the Chlorophyll B-containing Prokaryotes</w:t>
      </w:r>
      <w:r>
        <w:t xml:space="preserve">.</w:t>
      </w:r>
      <w:r>
        <w:t xml:space="preserve"> </w:t>
      </w:r>
      <w:r>
        <w:t xml:space="preserve">nature</w:t>
      </w:r>
      <w:r>
        <w:t xml:space="preserve"> </w:t>
      </w:r>
      <w:r>
        <w:t xml:space="preserve">355</w:t>
      </w:r>
      <w:r>
        <w:t xml:space="preserve">, 265–267.</w:t>
      </w:r>
      <w:r>
        <w:t xml:space="preserve"> </w:t>
      </w:r>
      <w:hyperlink r:id="rId136">
        <w:r>
          <w:rPr>
            <w:rStyle w:val="Hyperlink"/>
          </w:rPr>
          <w:t xml:space="preserve">https://doi.org/{10.1038/355265a0}</w:t>
        </w:r>
      </w:hyperlink>
    </w:p>
    <w:bookmarkEnd w:id="137"/>
    <w:bookmarkStart w:id="139" w:name="ref-pan2009mouse"/>
    <w:p>
      <w:pPr>
        <w:pStyle w:val="Bibliography"/>
      </w:pPr>
      <w:r>
        <w:t xml:space="preserve">Pan, X., Chang, F., Liu, Y., Li, D., Xu, A., Shen, Y., Huang, Z., 2009. Mouse toxicity of</w:t>
      </w:r>
      <w:r>
        <w:t xml:space="preserve"> </w:t>
      </w:r>
      <w:r>
        <w:rPr>
          <w:i/>
          <w:iCs/>
        </w:rPr>
        <w:t xml:space="preserve">Anabaena flos-aquae</w:t>
      </w:r>
      <w:r>
        <w:t xml:space="preserve"> </w:t>
      </w:r>
      <w:r>
        <w:t xml:space="preserve">from</w:t>
      </w:r>
      <w:r>
        <w:t xml:space="preserve"> </w:t>
      </w:r>
      <w:r>
        <w:t xml:space="preserve">Lake Dianchi</w:t>
      </w:r>
      <w:r>
        <w:t xml:space="preserve">,</w:t>
      </w:r>
      <w:r>
        <w:t xml:space="preserve"> </w:t>
      </w:r>
      <w:r>
        <w:t xml:space="preserve">China</w:t>
      </w:r>
      <w:r>
        <w:t xml:space="preserve">. Environmental Toxicology 24, 10–18.</w:t>
      </w:r>
      <w:r>
        <w:t xml:space="preserve"> </w:t>
      </w:r>
      <w:hyperlink r:id="rId138">
        <w:r>
          <w:rPr>
            <w:rStyle w:val="Hyperlink"/>
          </w:rPr>
          <w:t xml:space="preserve">https://doi.org/10.1002/tox.20385</w:t>
        </w:r>
      </w:hyperlink>
    </w:p>
    <w:bookmarkEnd w:id="139"/>
    <w:bookmarkStart w:id="141" w:name="ref-provasoli1957development"/>
    <w:p>
      <w:pPr>
        <w:pStyle w:val="Bibliography"/>
      </w:pPr>
      <w:r>
        <w:t xml:space="preserve">Provasoli, L., Mclaughlin, J.j.a., Droop, M.r., 1957. The development of artificial media for marine algae. Archiv Für Mikrobiologie 25, 392–428.</w:t>
      </w:r>
      <w:r>
        <w:t xml:space="preserve"> </w:t>
      </w:r>
      <w:hyperlink r:id="rId140">
        <w:r>
          <w:rPr>
            <w:rStyle w:val="Hyperlink"/>
          </w:rPr>
          <w:t xml:space="preserve">https://doi.org/10.1007/bf00446694</w:t>
        </w:r>
      </w:hyperlink>
    </w:p>
    <w:bookmarkEnd w:id="141"/>
    <w:bookmarkStart w:id="143" w:name="ref-r2011r"/>
    <w:p>
      <w:pPr>
        <w:pStyle w:val="Bibliography"/>
      </w:pPr>
      <w:r>
        <w:t xml:space="preserve">R Development Core Team, 2011.</w:t>
      </w:r>
      <w:r>
        <w:t xml:space="preserve"> </w:t>
      </w:r>
      <w:hyperlink r:id="rId142">
        <w:r>
          <w:rPr>
            <w:rStyle w:val="Hyperlink"/>
          </w:rPr>
          <w:t xml:space="preserve">R: A language and environment for statistical computing</w:t>
        </w:r>
      </w:hyperlink>
      <w:r>
        <w:t xml:space="preserve">. R Foundation for Statistical Computing, Vienna, Austria.</w:t>
      </w:r>
    </w:p>
    <w:bookmarkEnd w:id="143"/>
    <w:bookmarkStart w:id="145" w:name="ref-rasmussen2008rapid"/>
    <w:p>
      <w:pPr>
        <w:pStyle w:val="Bibliography"/>
      </w:pPr>
      <w:r>
        <w:t xml:space="preserve">Rasmussen, J.p., Barbez, P.h., Burgoyne, L.a., Saint, C.p., 2008a. Rapid preparation of cyanobacterial dna for</w:t>
      </w:r>
      <w:r>
        <w:t xml:space="preserve"> </w:t>
      </w:r>
      <w:r>
        <w:t xml:space="preserve">Real-time PCR</w:t>
      </w:r>
      <w:r>
        <w:t xml:space="preserve"> </w:t>
      </w:r>
      <w:r>
        <w:t xml:space="preserve">analysis. Letters in Applied Microbiology 46, 14–19.</w:t>
      </w:r>
      <w:r>
        <w:t xml:space="preserve"> </w:t>
      </w:r>
      <w:hyperlink r:id="rId144">
        <w:r>
          <w:rPr>
            <w:rStyle w:val="Hyperlink"/>
          </w:rPr>
          <w:t xml:space="preserve">https://doi.org/10.1111/j.1472-765x.2007.02252.x</w:t>
        </w:r>
      </w:hyperlink>
    </w:p>
    <w:bookmarkEnd w:id="145"/>
    <w:bookmarkStart w:id="147" w:name="ref-rasmussen2008development"/>
    <w:p>
      <w:pPr>
        <w:pStyle w:val="Bibliography"/>
      </w:pPr>
      <w:r>
        <w:t xml:space="preserve">Rasmussen, J.p., Giglio, S., Monis, P.t., Campbell, R.j., Saint, C.p., 2008b. Development and field testing of a</w:t>
      </w:r>
      <w:r>
        <w:t xml:space="preserve"> </w:t>
      </w:r>
      <w:r>
        <w:t xml:space="preserve">Real-time PCR</w:t>
      </w:r>
      <w:r>
        <w:t xml:space="preserve"> </w:t>
      </w:r>
      <w:r>
        <w:t xml:space="preserve">assay for cylindrospermopsin-producing cyanobacteria. Journal of Applied Microbiology 104, 1503–1515.</w:t>
      </w:r>
      <w:r>
        <w:t xml:space="preserve"> </w:t>
      </w:r>
      <w:hyperlink r:id="rId146">
        <w:r>
          <w:rPr>
            <w:rStyle w:val="Hyperlink"/>
          </w:rPr>
          <w:t xml:space="preserve">https://doi.org/10.1111/j.1365-2672.2007.03676.x</w:t>
        </w:r>
      </w:hyperlink>
    </w:p>
    <w:bookmarkEnd w:id="147"/>
    <w:bookmarkStart w:id="149" w:name="ref-rasmussen2007use"/>
    <w:p>
      <w:pPr>
        <w:pStyle w:val="Bibliography"/>
      </w:pPr>
      <w:r>
        <w:t xml:space="preserve">Rasmussen, J., Saint, C., Monis, P., 2007. Use of dna melting simulation software for in silico diagnostic assay design: Targeting regions with complex melting curves and confirmation by</w:t>
      </w:r>
      <w:r>
        <w:t xml:space="preserve"> </w:t>
      </w:r>
      <w:r>
        <w:t xml:space="preserve">Real-time PCR</w:t>
      </w:r>
      <w:r>
        <w:t xml:space="preserve"> </w:t>
      </w:r>
      <w:r>
        <w:t xml:space="preserve">using intercalating dyes. Bmc Bioinformatics 8, 107.</w:t>
      </w:r>
      <w:r>
        <w:t xml:space="preserve"> </w:t>
      </w:r>
      <w:hyperlink r:id="rId148">
        <w:r>
          <w:rPr>
            <w:rStyle w:val="Hyperlink"/>
          </w:rPr>
          <w:t xml:space="preserve">https://doi.org/10.1186/1471-2105-8-107</w:t>
        </w:r>
      </w:hyperlink>
    </w:p>
    <w:bookmarkEnd w:id="149"/>
    <w:bookmarkStart w:id="151" w:name="ref-kanto2005quantification"/>
    <w:p>
      <w:pPr>
        <w:pStyle w:val="Bibliography"/>
      </w:pPr>
      <w:r>
        <w:t xml:space="preserve">Rinta-kanto, J.M., Ouellette, A.J.A., Boyer, G.L., Twiss, M.R., Bridgeman, T.B., Wilhelm, S.W., 2005. Quantification of toxic</w:t>
      </w:r>
      <w:r>
        <w:t xml:space="preserve"> </w:t>
      </w:r>
      <w:r>
        <w:rPr>
          <w:i/>
          <w:iCs/>
        </w:rPr>
        <w:t xml:space="preserve">Microcystis</w:t>
      </w:r>
      <w:r>
        <w:t xml:space="preserve"> </w:t>
      </w:r>
      <w:r>
        <w:t xml:space="preserve">spp. During the 2003 and 2004 blooms in</w:t>
      </w:r>
      <w:r>
        <w:t xml:space="preserve"> </w:t>
      </w:r>
      <w:r>
        <w:t xml:space="preserve">Western Lake Erie</w:t>
      </w:r>
      <w:r>
        <w:t xml:space="preserve"> </w:t>
      </w:r>
      <w:r>
        <w:t xml:space="preserve">using</w:t>
      </w:r>
      <w:r>
        <w:t xml:space="preserve"> </w:t>
      </w:r>
      <w:r>
        <w:t xml:space="preserve">Quantitative</w:t>
      </w:r>
      <w:r>
        <w:t xml:space="preserve"> </w:t>
      </w:r>
      <w:r>
        <w:t xml:space="preserve">Real-time PCR</w:t>
      </w:r>
      <w:r>
        <w:t xml:space="preserve">. Environmental Science &amp; Technology 39, 4198–4205.</w:t>
      </w:r>
      <w:r>
        <w:t xml:space="preserve"> </w:t>
      </w:r>
      <w:hyperlink r:id="rId150">
        <w:r>
          <w:rPr>
            <w:rStyle w:val="Hyperlink"/>
          </w:rPr>
          <w:t xml:space="preserve">https://doi.org/10.1021/es048249u</w:t>
        </w:r>
      </w:hyperlink>
    </w:p>
    <w:bookmarkEnd w:id="151"/>
    <w:bookmarkStart w:id="153" w:name="ref-rippka1979generic"/>
    <w:p>
      <w:pPr>
        <w:pStyle w:val="Bibliography"/>
      </w:pPr>
      <w:r>
        <w:t xml:space="preserve">Rippka, R., Deruelles, J., Waterbury, J.B., Herdman, M., Stanier, R.Y., 1979. Generic assignments, strain histories and properties of pure cultures of cyanobacteria. Journal of General Microbiology 111, 1–61.</w:t>
      </w:r>
      <w:r>
        <w:t xml:space="preserve"> </w:t>
      </w:r>
      <w:hyperlink r:id="rId152">
        <w:r>
          <w:rPr>
            <w:rStyle w:val="Hyperlink"/>
          </w:rPr>
          <w:t xml:space="preserve">https://doi.org/10.1099/00221287-111-1-1</w:t>
        </w:r>
      </w:hyperlink>
    </w:p>
    <w:bookmarkEnd w:id="153"/>
    <w:bookmarkStart w:id="155" w:name="ref-ririe1997product"/>
    <w:p>
      <w:pPr>
        <w:pStyle w:val="Bibliography"/>
      </w:pPr>
      <w:r>
        <w:t xml:space="preserve">Ririe, K.M., Rasmussen, R.P., Wittwer, C.T., 1997. Product differentiation by analysis of dna melting curves during the polymerase chain reaction. Analytical Biochemistry 245, 154–160.</w:t>
      </w:r>
      <w:r>
        <w:t xml:space="preserve"> </w:t>
      </w:r>
      <w:hyperlink r:id="rId154">
        <w:r>
          <w:rPr>
            <w:rStyle w:val="Hyperlink"/>
          </w:rPr>
          <w:t xml:space="preserve">https://doi.org/10.1006/abio.1996.9916</w:t>
        </w:r>
      </w:hyperlink>
    </w:p>
    <w:bookmarkEnd w:id="155"/>
    <w:bookmarkStart w:id="157" w:name="ref-rocap2002resolution"/>
    <w:p>
      <w:pPr>
        <w:pStyle w:val="Bibliography"/>
      </w:pPr>
      <w:r>
        <w:t xml:space="preserve">Rocap, G., Distel, D.L., Waterbury, J.B., Chisholm, S.W., 2002. Resolution of</w:t>
      </w:r>
      <w:r>
        <w:t xml:space="preserve"> </w:t>
      </w:r>
      <w:r>
        <w:rPr>
          <w:i/>
          <w:iCs/>
        </w:rPr>
        <w:t xml:space="preserve">Prochlorococcus</w:t>
      </w:r>
      <w:r>
        <w:t xml:space="preserve"> </w:t>
      </w:r>
      <w:r>
        <w:t xml:space="preserve">and</w:t>
      </w:r>
      <w:r>
        <w:t xml:space="preserve"> </w:t>
      </w:r>
      <w:r>
        <w:rPr>
          <w:i/>
          <w:iCs/>
        </w:rPr>
        <w:t xml:space="preserve">Synechococcus</w:t>
      </w:r>
      <w:r>
        <w:t xml:space="preserve"> </w:t>
      </w:r>
      <w:r>
        <w:t xml:space="preserve">ecotypes by using 16s-23s ribosomal dna internal transcribed spacer sequences. Applied and Environmental Microbiology 68, 1180–1191.</w:t>
      </w:r>
      <w:r>
        <w:t xml:space="preserve"> </w:t>
      </w:r>
      <w:hyperlink r:id="rId156">
        <w:r>
          <w:rPr>
            <w:rStyle w:val="Hyperlink"/>
          </w:rPr>
          <w:t xml:space="preserve">https://doi.org/10.1128/aem.68.3.1180-1191.2002</w:t>
        </w:r>
      </w:hyperlink>
    </w:p>
    <w:bookmarkEnd w:id="157"/>
    <w:bookmarkStart w:id="158" w:name="ref-rodenacker2001semi"/>
    <w:p>
      <w:pPr>
        <w:pStyle w:val="Bibliography"/>
      </w:pPr>
      <w:r>
        <w:t xml:space="preserve">Rodenacker, K., Gais, P., Jutting, U., Hense, B.A., 2001.</w:t>
      </w:r>
      <w:r>
        <w:t xml:space="preserve"> </w:t>
      </w:r>
      <w:r>
        <w:t xml:space="preserve">(Semi-) automatic recognition of microorganisms in water</w:t>
      </w:r>
      <w:r>
        <w:t xml:space="preserve">.</w:t>
      </w:r>
      <w:r>
        <w:t xml:space="preserve"> </w:t>
      </w:r>
      <w:r>
        <w:t xml:space="preserve">IEEE Signal Processing Soc; IEEE</w:t>
      </w:r>
      <w:r>
        <w:t xml:space="preserve">;</w:t>
      </w:r>
      <w:r>
        <w:t xml:space="preserve"> </w:t>
      </w:r>
      <w:r>
        <w:t xml:space="preserve">IEEE</w:t>
      </w:r>
      <w:r>
        <w:t xml:space="preserve">,</w:t>
      </w:r>
      <w:r>
        <w:t xml:space="preserve"> </w:t>
      </w:r>
      <w:r>
        <w:t xml:space="preserve">345 E 47TH ST, NEW YORK, NY 10017 USA</w:t>
      </w:r>
      <w:r>
        <w:t xml:space="preserve">.</w:t>
      </w:r>
    </w:p>
    <w:bookmarkEnd w:id="158"/>
    <w:bookmarkStart w:id="160" w:name="ref-saadoun2001identification"/>
    <w:p>
      <w:pPr>
        <w:pStyle w:val="Bibliography"/>
      </w:pPr>
      <w:r>
        <w:t xml:space="preserve">Saadoun, I., Schrader, K.K., Blevins, W.T., 2001. Identification of geosmin as a volatile metabolite of</w:t>
      </w:r>
      <w:r>
        <w:t xml:space="preserve"> </w:t>
      </w:r>
      <w:r>
        <w:rPr>
          <w:i/>
          <w:iCs/>
        </w:rPr>
        <w:t xml:space="preserve">Anabaena</w:t>
      </w:r>
      <w:r>
        <w:t xml:space="preserve"> sp. Memoranda Societatis Pro Fauna Et Flora Fennica 41, 51–55.</w:t>
      </w:r>
      <w:r>
        <w:t xml:space="preserve"> </w:t>
      </w:r>
      <w:hyperlink r:id="rId159">
        <w:r>
          <w:rPr>
            <w:rStyle w:val="Hyperlink"/>
          </w:rPr>
          <w:t xml:space="preserve">https://doi.org/10.1002/1521-4028(200103)41:1&lt;51::aid-jobm51&gt;3.0.co;2-r</w:t>
        </w:r>
      </w:hyperlink>
    </w:p>
    <w:bookmarkEnd w:id="160"/>
    <w:bookmarkStart w:id="161" w:name="ref-sabour2005dynamics"/>
    <w:p>
      <w:pPr>
        <w:pStyle w:val="Bibliography"/>
      </w:pPr>
      <w:r>
        <w:t xml:space="preserve">Sabour, B., Loudiki, M., Oudra, B., Vasconcelos, V., Oubraim, S., Fawzi, B., 2005. Dynamics and toxicity of</w:t>
      </w:r>
      <w:r>
        <w:t xml:space="preserve"> </w:t>
      </w:r>
      <w:r>
        <w:rPr>
          <w:i/>
          <w:iCs/>
        </w:rPr>
        <w:t xml:space="preserve">anabaena aphanizomenoides</w:t>
      </w:r>
      <w:r>
        <w:t xml:space="preserve"> </w:t>
      </w:r>
      <w:r>
        <w:t xml:space="preserve">(cyanobacteria) waterblooms in the shallow brackish oued mellah lake (morocco). Aquatic Ecosystem Health &amp; Management 8, 95–104.</w:t>
      </w:r>
    </w:p>
    <w:bookmarkEnd w:id="161"/>
    <w:bookmarkStart w:id="162" w:name="ref-shannon1949mathematical"/>
    <w:p>
      <w:pPr>
        <w:pStyle w:val="Bibliography"/>
      </w:pPr>
      <w:r>
        <w:t xml:space="preserve">Shannon, C.E., Weaver, W., Blahut, R.E., Hajek, B., 1949. The mathematical theory of communication. University of Illinois press Urbana.</w:t>
      </w:r>
    </w:p>
    <w:bookmarkEnd w:id="162"/>
    <w:bookmarkStart w:id="163" w:name="ref-sherr1993preservation"/>
    <w:p>
      <w:pPr>
        <w:pStyle w:val="Bibliography"/>
      </w:pPr>
      <w:r>
        <w:t xml:space="preserve">Sherr, E.B., Sherr, B.F., 1993. Preservation and storage of samples for enumeration of heterotrophic protists. Handbook of methods in aquatic microbial ecology. Lewis Publishers, Boca Raton 207–212.</w:t>
      </w:r>
    </w:p>
    <w:bookmarkEnd w:id="163"/>
    <w:bookmarkStart w:id="165" w:name="ref-soterosantos2008occurrence"/>
    <w:p>
      <w:pPr>
        <w:pStyle w:val="Bibliography"/>
      </w:pPr>
      <w:r>
        <w:t xml:space="preserve">Sotero-santos, R.B., Carvalho, E.G., Dellamano-oliveira, M.J., Rocha, O., 2008. Occurrence and toxicity of an</w:t>
      </w:r>
      <w:r>
        <w:t xml:space="preserve"> </w:t>
      </w:r>
      <w:r>
        <w:rPr>
          <w:i/>
          <w:iCs/>
        </w:rPr>
        <w:t xml:space="preserve">Anabaena</w:t>
      </w:r>
      <w:r>
        <w:t xml:space="preserve"> </w:t>
      </w:r>
      <w:r>
        <w:t xml:space="preserve">bloom in a tropical reservoir (southeast</w:t>
      </w:r>
      <w:r>
        <w:t xml:space="preserve"> </w:t>
      </w:r>
      <w:r>
        <w:t xml:space="preserve">Brazil</w:t>
      </w:r>
      <w:r>
        <w:t xml:space="preserve">). Harmful Algae 7, 590–598.</w:t>
      </w:r>
      <w:r>
        <w:t xml:space="preserve"> </w:t>
      </w:r>
      <w:hyperlink r:id="rId164">
        <w:r>
          <w:rPr>
            <w:rStyle w:val="Hyperlink"/>
          </w:rPr>
          <w:t xml:space="preserve">https://doi.org/10.1016/j.hal.2007.12.017</w:t>
        </w:r>
      </w:hyperlink>
    </w:p>
    <w:bookmarkEnd w:id="165"/>
    <w:bookmarkStart w:id="167" w:name="ref-steindler200516s"/>
    <w:p>
      <w:pPr>
        <w:pStyle w:val="Bibliography"/>
      </w:pPr>
      <w:r>
        <w:t xml:space="preserve">Steindler, L., Huchon, D., Avni, A., Ilan, M., 2005. 16s rrna phylogeny of sponge-associated cyanobacteria. Applied and Environmental Microbiology 71, 4127–4131.</w:t>
      </w:r>
      <w:r>
        <w:t xml:space="preserve"> </w:t>
      </w:r>
      <w:hyperlink r:id="rId166">
        <w:r>
          <w:rPr>
            <w:rStyle w:val="Hyperlink"/>
          </w:rPr>
          <w:t xml:space="preserve">https://doi.org/10.1128/aem.71.7.4127-4131.2005</w:t>
        </w:r>
      </w:hyperlink>
    </w:p>
    <w:bookmarkEnd w:id="167"/>
    <w:bookmarkStart w:id="169" w:name="ref-wu1988differential"/>
    <w:p>
      <w:pPr>
        <w:pStyle w:val="Bibliography"/>
      </w:pP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168">
        <w:r>
          <w:rPr>
            <w:rStyle w:val="Hyperlink"/>
          </w:rPr>
          <w:t xml:space="preserve">https://doi.org/10.1007/bf00408253</w:t>
        </w:r>
      </w:hyperlink>
    </w:p>
    <w:bookmarkEnd w:id="169"/>
    <w:bookmarkStart w:id="171" w:name="ref-xie1989cyanobacterial"/>
    <w:p>
      <w:pPr>
        <w:pStyle w:val="Bibliography"/>
      </w:pPr>
      <w:r>
        <w:t xml:space="preserve">Xie, W.Q., Jäger, K., Potts, M., 1989.</w:t>
      </w:r>
      <w:r>
        <w:t xml:space="preserve"> </w:t>
      </w:r>
      <w:hyperlink r:id="rId170">
        <w:r>
          <w:rPr>
            <w:rStyle w:val="Hyperlink"/>
          </w:rPr>
          <w:t xml:space="preserve">Cyanobacterial RNA polymerase genes</w:t>
        </w:r>
        <w:r>
          <w:rPr>
            <w:rStyle w:val="Hyperlink"/>
          </w:rPr>
          <w:t xml:space="preserve"> </w:t>
        </w:r>
        <m:oMath>
          <m:r>
            <m:t>r</m:t>
          </m:r>
          <m:r>
            <m:t>p</m:t>
          </m:r>
          <m:r>
            <m:t>o</m:t>
          </m:r>
          <m:sSub>
            <m:e>
              <m:r>
                <m:t>C</m:t>
              </m:r>
            </m:e>
            <m:sub>
              <m:r>
                <m:t>1</m:t>
              </m:r>
            </m:sub>
          </m:sSub>
        </m:oMath>
        <w:r>
          <w:rPr>
            <w:rStyle w:val="Hyperlink"/>
          </w:rPr>
          <w:t xml:space="preserve"> </w:t>
        </w:r>
        <w:r>
          <w:rPr>
            <w:rStyle w:val="Hyperlink"/>
          </w:rPr>
          <w:t xml:space="preserve">and</w:t>
        </w:r>
        <w:r>
          <w:rPr>
            <w:rStyle w:val="Hyperlink"/>
          </w:rPr>
          <w:t xml:space="preserve"> </w:t>
        </w:r>
        <m:oMath>
          <m:r>
            <m:t>r</m:t>
          </m:r>
          <m:r>
            <m:t>p</m:t>
          </m:r>
          <m:r>
            <m:t>o</m:t>
          </m:r>
          <m:sSub>
            <m:e>
              <m:r>
                <m:t>C</m:t>
              </m:r>
            </m:e>
            <m:sub>
              <m:r>
                <m:t>2</m:t>
              </m:r>
            </m:sub>
          </m:sSub>
        </m:oMath>
        <w:r>
          <w:rPr>
            <w:rStyle w:val="Hyperlink"/>
          </w:rPr>
          <w:t xml:space="preserve"> </w:t>
        </w:r>
        <w:r>
          <w:rPr>
            <w:rStyle w:val="Hyperlink"/>
          </w:rPr>
          <w:t xml:space="preserve">correspond to</w:t>
        </w:r>
        <w:r>
          <w:rPr>
            <w:rStyle w:val="Hyperlink"/>
          </w:rPr>
          <w:t xml:space="preserve"> </w:t>
        </w:r>
        <m:oMath>
          <m:r>
            <m:t>r</m:t>
          </m:r>
          <m:r>
            <m:t>p</m:t>
          </m:r>
          <m:r>
            <m:t>o</m:t>
          </m:r>
          <m:r>
            <m:t>C</m:t>
          </m:r>
        </m:oMath>
        <w:r>
          <w:rPr>
            <w:rStyle w:val="Hyperlink"/>
          </w:rPr>
          <w:t xml:space="preserve"> </w:t>
        </w:r>
        <w:r>
          <w:rPr>
            <w:rStyle w:val="Hyperlink"/>
          </w:rPr>
          <w:t xml:space="preserve">of</w:t>
        </w:r>
        <w:r>
          <w:rPr>
            <w:rStyle w:val="Hyperlink"/>
          </w:rPr>
          <w:t xml:space="preserve"> </w:t>
        </w:r>
        <w:r>
          <w:rPr>
            <w:rStyle w:val="Hyperlink"/>
            <w:i/>
            <w:iCs/>
          </w:rPr>
          <w:t xml:space="preserve">escherichia coli.</w:t>
        </w:r>
      </w:hyperlink>
      <w:r>
        <w:t xml:space="preserve"> Journal of Bacteriology 171, 1967–1973.</w:t>
      </w:r>
    </w:p>
    <w:bookmarkEnd w:id="171"/>
    <w:bookmarkStart w:id="173" w:name="ref-zhang2008effects"/>
    <w:p>
      <w:pPr>
        <w:pStyle w:val="Bibliography"/>
      </w:pP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172">
        <w:r>
          <w:rPr>
            <w:rStyle w:val="Hyperlink"/>
          </w:rPr>
          <w:t xml:space="preserve">https://doi.org/10.1007/s10811-008-9363-z</w:t>
        </w:r>
      </w:hyperlink>
    </w:p>
    <w:bookmarkEnd w:id="173"/>
    <w:bookmarkEnd w:id="174"/>
    <w:bookmarkEnd w:id="175"/>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8" Target="media/rId48.png" /><Relationship Type="http://schemas.openxmlformats.org/officeDocument/2006/relationships/image" Id="rId57" Target="media/rId57.png" /><Relationship Type="http://schemas.openxmlformats.org/officeDocument/2006/relationships/image" Id="rId43" Target="media/rId43.png" /><Relationship Type="http://schemas.openxmlformats.org/officeDocument/2006/relationships/image" Id="rId64" Target="media/rId64.png" /><Relationship Type="http://schemas.openxmlformats.org/officeDocument/2006/relationships/image" Id="rId38" Target="media/rId38.png" /><Relationship Type="http://schemas.openxmlformats.org/officeDocument/2006/relationships/hyperlink" Id="rId170" Target="http://jb.asm.org/content/171/4/1967.abstract" TargetMode="External" /><Relationship Type="http://schemas.openxmlformats.org/officeDocument/2006/relationships/hyperlink" Id="rId80" Target="http://jb.asm.org/content/173/11/3446.abstract" TargetMode="External" /><Relationship Type="http://schemas.openxmlformats.org/officeDocument/2006/relationships/hyperlink" Id="rId142" Target="http://www.R-project.org/" TargetMode="External" /><Relationship Type="http://schemas.openxmlformats.org/officeDocument/2006/relationships/hyperlink" Id="rId159" Target="https://doi.org/10.1002/1521-4028(200103)41:1&lt;51::aid-jobm51&gt;3.0.co;2-r" TargetMode="External" /><Relationship Type="http://schemas.openxmlformats.org/officeDocument/2006/relationships/hyperlink" Id="rId138" Target="https://doi.org/10.1002/tox.20385" TargetMode="External" /><Relationship Type="http://schemas.openxmlformats.org/officeDocument/2006/relationships/hyperlink" Id="rId154" Target="https://doi.org/10.1006/abio.1996.9916" TargetMode="External" /><Relationship Type="http://schemas.openxmlformats.org/officeDocument/2006/relationships/hyperlink" Id="rId168" Target="https://doi.org/10.1007/bf00408253" TargetMode="External" /><Relationship Type="http://schemas.openxmlformats.org/officeDocument/2006/relationships/hyperlink" Id="rId88" Target="https://doi.org/10.1007/bf00410835" TargetMode="External" /><Relationship Type="http://schemas.openxmlformats.org/officeDocument/2006/relationships/hyperlink" Id="rId140" Target="https://doi.org/10.1007/bf00446694" TargetMode="External" /><Relationship Type="http://schemas.openxmlformats.org/officeDocument/2006/relationships/hyperlink" Id="rId107" Target="https://doi.org/10.1007/s00216-010-3642-7" TargetMode="External" /><Relationship Type="http://schemas.openxmlformats.org/officeDocument/2006/relationships/hyperlink" Id="rId172" Target="https://doi.org/10.1007/s10811-008-9363-z" TargetMode="External" /><Relationship Type="http://schemas.openxmlformats.org/officeDocument/2006/relationships/hyperlink" Id="rId109" Target="https://doi.org/10.1007/s11274-005-7893-y" TargetMode="External" /><Relationship Type="http://schemas.openxmlformats.org/officeDocument/2006/relationships/hyperlink" Id="rId100" Target="https://doi.org/10.1016/0034-6667(95)00074-7" TargetMode="External" /><Relationship Type="http://schemas.openxmlformats.org/officeDocument/2006/relationships/hyperlink" Id="rId104" Target="https://doi.org/10.1016/j.chemosphere.2006.08.016" TargetMode="External" /><Relationship Type="http://schemas.openxmlformats.org/officeDocument/2006/relationships/hyperlink" Id="rId90" Target="https://doi.org/10.1016/j.chroma.2011.04.041" TargetMode="External" /><Relationship Type="http://schemas.openxmlformats.org/officeDocument/2006/relationships/hyperlink" Id="rId164" Target="https://doi.org/10.1016/j.hal.2007.12.017" TargetMode="External" /><Relationship Type="http://schemas.openxmlformats.org/officeDocument/2006/relationships/hyperlink" Id="rId118" Target="https://doi.org/10.1016/j.hal.2010.03.003" TargetMode="External" /><Relationship Type="http://schemas.openxmlformats.org/officeDocument/2006/relationships/hyperlink" Id="rId75" Target="https://doi.org/10.1016/j.marpolbul.2010.01.017" TargetMode="External" /><Relationship Type="http://schemas.openxmlformats.org/officeDocument/2006/relationships/hyperlink" Id="rId78" Target="https://doi.org/10.1016/j.watres.2006.10.003" TargetMode="External" /><Relationship Type="http://schemas.openxmlformats.org/officeDocument/2006/relationships/hyperlink" Id="rId73" Target="https://doi.org/10.1016/j.watres.2011.10.020" TargetMode="External" /><Relationship Type="http://schemas.openxmlformats.org/officeDocument/2006/relationships/hyperlink" Id="rId121" Target="https://doi.org/10.1021/es001575z" TargetMode="External" /><Relationship Type="http://schemas.openxmlformats.org/officeDocument/2006/relationships/hyperlink" Id="rId150" Target="https://doi.org/10.1021/es048249u" TargetMode="External" /><Relationship Type="http://schemas.openxmlformats.org/officeDocument/2006/relationships/hyperlink" Id="rId94" Target="https://doi.org/10.1021/es801465w" TargetMode="External" /><Relationship Type="http://schemas.openxmlformats.org/officeDocument/2006/relationships/hyperlink" Id="rId112" Target="https://doi.org/10.1021/ja062669x" TargetMode="External" /><Relationship Type="http://schemas.openxmlformats.org/officeDocument/2006/relationships/hyperlink" Id="rId128" Target="https://doi.org/10.1023/a:1017990518648" TargetMode="External" /><Relationship Type="http://schemas.openxmlformats.org/officeDocument/2006/relationships/hyperlink" Id="rId134" Target="https://doi.org/10.1046/j.1472-765x.2001.00938.x" TargetMode="External" /><Relationship Type="http://schemas.openxmlformats.org/officeDocument/2006/relationships/hyperlink" Id="rId98" Target="https://doi.org/10.1073/pnas.0337542100" TargetMode="External" /><Relationship Type="http://schemas.openxmlformats.org/officeDocument/2006/relationships/hyperlink" Id="rId83" Target="https://doi.org/10.1073/pnas.0337625100" TargetMode="External" /><Relationship Type="http://schemas.openxmlformats.org/officeDocument/2006/relationships/hyperlink" Id="rId152" Target="https://doi.org/10.1099/00221287-111-1-1" TargetMode="External" /><Relationship Type="http://schemas.openxmlformats.org/officeDocument/2006/relationships/hyperlink" Id="rId146" Target="https://doi.org/10.1111/j.1365-2672.2007.03676.x" TargetMode="External" /><Relationship Type="http://schemas.openxmlformats.org/officeDocument/2006/relationships/hyperlink" Id="rId130" Target="https://doi.org/10.1111/j.1440-183.2005.00378.x" TargetMode="External" /><Relationship Type="http://schemas.openxmlformats.org/officeDocument/2006/relationships/hyperlink" Id="rId144" Target="https://doi.org/10.1111/j.1472-765x.2007.02252.x" TargetMode="External" /><Relationship Type="http://schemas.openxmlformats.org/officeDocument/2006/relationships/hyperlink" Id="rId96" Target="https://doi.org/10.1111/j.1529-8817.2011.01061.x" TargetMode="External" /><Relationship Type="http://schemas.openxmlformats.org/officeDocument/2006/relationships/hyperlink" Id="rId132" Target="https://doi.org/10.1126/science.1172983" TargetMode="External" /><Relationship Type="http://schemas.openxmlformats.org/officeDocument/2006/relationships/hyperlink" Id="rId123" Target="https://doi.org/10.1128/aem.01197-07" TargetMode="External" /><Relationship Type="http://schemas.openxmlformats.org/officeDocument/2006/relationships/hyperlink" Id="rId114" Target="https://doi.org/10.1128/aem.02746-06" TargetMode="External" /><Relationship Type="http://schemas.openxmlformats.org/officeDocument/2006/relationships/hyperlink" Id="rId92" Target="https://doi.org/10.1128/aem.66.9.4145-4148.2000" TargetMode="External" /><Relationship Type="http://schemas.openxmlformats.org/officeDocument/2006/relationships/hyperlink" Id="rId156" Target="https://doi.org/10.1128/aem.68.3.1180-1191.2002" TargetMode="External" /><Relationship Type="http://schemas.openxmlformats.org/officeDocument/2006/relationships/hyperlink" Id="rId166" Target="https://doi.org/10.1128/aem.71.7.4127-4131.2005" TargetMode="External" /><Relationship Type="http://schemas.openxmlformats.org/officeDocument/2006/relationships/hyperlink" Id="rId148" Target="https://doi.org/10.1186/1471-2105-8-107" TargetMode="External" /><Relationship Type="http://schemas.openxmlformats.org/officeDocument/2006/relationships/hyperlink" Id="rId85" Target="https://doi.org/10.1897/08-068r.1" TargetMode="External" /><Relationship Type="http://schemas.openxmlformats.org/officeDocument/2006/relationships/hyperlink" Id="rId136" Target="https://doi.org/{10.1038/355265a0}" TargetMode="External" /><Relationship Type="http://schemas.openxmlformats.org/officeDocument/2006/relationships/hyperlink" Id="rId125" Target="https://doi.org/{10.2166/aqua.2012.006}" TargetMode="External" /><Relationship Type="http://schemas.openxmlformats.org/officeDocument/2006/relationships/hyperlink" Id="rId20" Target="https://orcid.org/0000000198211268"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70" Target="http://jb.asm.org/content/171/4/1967.abstract" TargetMode="External" /><Relationship Type="http://schemas.openxmlformats.org/officeDocument/2006/relationships/hyperlink" Id="rId80" Target="http://jb.asm.org/content/173/11/3446.abstract" TargetMode="External" /><Relationship Type="http://schemas.openxmlformats.org/officeDocument/2006/relationships/hyperlink" Id="rId142" Target="http://www.R-project.org/" TargetMode="External" /><Relationship Type="http://schemas.openxmlformats.org/officeDocument/2006/relationships/hyperlink" Id="rId159" Target="https://doi.org/10.1002/1521-4028(200103)41:1&lt;51::aid-jobm51&gt;3.0.co;2-r" TargetMode="External" /><Relationship Type="http://schemas.openxmlformats.org/officeDocument/2006/relationships/hyperlink" Id="rId138" Target="https://doi.org/10.1002/tox.20385" TargetMode="External" /><Relationship Type="http://schemas.openxmlformats.org/officeDocument/2006/relationships/hyperlink" Id="rId154" Target="https://doi.org/10.1006/abio.1996.9916" TargetMode="External" /><Relationship Type="http://schemas.openxmlformats.org/officeDocument/2006/relationships/hyperlink" Id="rId168" Target="https://doi.org/10.1007/bf00408253" TargetMode="External" /><Relationship Type="http://schemas.openxmlformats.org/officeDocument/2006/relationships/hyperlink" Id="rId88" Target="https://doi.org/10.1007/bf00410835" TargetMode="External" /><Relationship Type="http://schemas.openxmlformats.org/officeDocument/2006/relationships/hyperlink" Id="rId140" Target="https://doi.org/10.1007/bf00446694" TargetMode="External" /><Relationship Type="http://schemas.openxmlformats.org/officeDocument/2006/relationships/hyperlink" Id="rId107" Target="https://doi.org/10.1007/s00216-010-3642-7" TargetMode="External" /><Relationship Type="http://schemas.openxmlformats.org/officeDocument/2006/relationships/hyperlink" Id="rId172" Target="https://doi.org/10.1007/s10811-008-9363-z" TargetMode="External" /><Relationship Type="http://schemas.openxmlformats.org/officeDocument/2006/relationships/hyperlink" Id="rId109" Target="https://doi.org/10.1007/s11274-005-7893-y" TargetMode="External" /><Relationship Type="http://schemas.openxmlformats.org/officeDocument/2006/relationships/hyperlink" Id="rId100" Target="https://doi.org/10.1016/0034-6667(95)00074-7" TargetMode="External" /><Relationship Type="http://schemas.openxmlformats.org/officeDocument/2006/relationships/hyperlink" Id="rId104" Target="https://doi.org/10.1016/j.chemosphere.2006.08.016" TargetMode="External" /><Relationship Type="http://schemas.openxmlformats.org/officeDocument/2006/relationships/hyperlink" Id="rId90" Target="https://doi.org/10.1016/j.chroma.2011.04.041" TargetMode="External" /><Relationship Type="http://schemas.openxmlformats.org/officeDocument/2006/relationships/hyperlink" Id="rId164" Target="https://doi.org/10.1016/j.hal.2007.12.017" TargetMode="External" /><Relationship Type="http://schemas.openxmlformats.org/officeDocument/2006/relationships/hyperlink" Id="rId118" Target="https://doi.org/10.1016/j.hal.2010.03.003" TargetMode="External" /><Relationship Type="http://schemas.openxmlformats.org/officeDocument/2006/relationships/hyperlink" Id="rId75" Target="https://doi.org/10.1016/j.marpolbul.2010.01.017" TargetMode="External" /><Relationship Type="http://schemas.openxmlformats.org/officeDocument/2006/relationships/hyperlink" Id="rId78" Target="https://doi.org/10.1016/j.watres.2006.10.003" TargetMode="External" /><Relationship Type="http://schemas.openxmlformats.org/officeDocument/2006/relationships/hyperlink" Id="rId73" Target="https://doi.org/10.1016/j.watres.2011.10.020" TargetMode="External" /><Relationship Type="http://schemas.openxmlformats.org/officeDocument/2006/relationships/hyperlink" Id="rId121" Target="https://doi.org/10.1021/es001575z" TargetMode="External" /><Relationship Type="http://schemas.openxmlformats.org/officeDocument/2006/relationships/hyperlink" Id="rId150" Target="https://doi.org/10.1021/es048249u" TargetMode="External" /><Relationship Type="http://schemas.openxmlformats.org/officeDocument/2006/relationships/hyperlink" Id="rId94" Target="https://doi.org/10.1021/es801465w" TargetMode="External" /><Relationship Type="http://schemas.openxmlformats.org/officeDocument/2006/relationships/hyperlink" Id="rId112" Target="https://doi.org/10.1021/ja062669x" TargetMode="External" /><Relationship Type="http://schemas.openxmlformats.org/officeDocument/2006/relationships/hyperlink" Id="rId128" Target="https://doi.org/10.1023/a:1017990518648" TargetMode="External" /><Relationship Type="http://schemas.openxmlformats.org/officeDocument/2006/relationships/hyperlink" Id="rId134" Target="https://doi.org/10.1046/j.1472-765x.2001.00938.x" TargetMode="External" /><Relationship Type="http://schemas.openxmlformats.org/officeDocument/2006/relationships/hyperlink" Id="rId98" Target="https://doi.org/10.1073/pnas.0337542100" TargetMode="External" /><Relationship Type="http://schemas.openxmlformats.org/officeDocument/2006/relationships/hyperlink" Id="rId83" Target="https://doi.org/10.1073/pnas.0337625100" TargetMode="External" /><Relationship Type="http://schemas.openxmlformats.org/officeDocument/2006/relationships/hyperlink" Id="rId152" Target="https://doi.org/10.1099/00221287-111-1-1" TargetMode="External" /><Relationship Type="http://schemas.openxmlformats.org/officeDocument/2006/relationships/hyperlink" Id="rId146" Target="https://doi.org/10.1111/j.1365-2672.2007.03676.x" TargetMode="External" /><Relationship Type="http://schemas.openxmlformats.org/officeDocument/2006/relationships/hyperlink" Id="rId130" Target="https://doi.org/10.1111/j.1440-183.2005.00378.x" TargetMode="External" /><Relationship Type="http://schemas.openxmlformats.org/officeDocument/2006/relationships/hyperlink" Id="rId144" Target="https://doi.org/10.1111/j.1472-765x.2007.02252.x" TargetMode="External" /><Relationship Type="http://schemas.openxmlformats.org/officeDocument/2006/relationships/hyperlink" Id="rId96" Target="https://doi.org/10.1111/j.1529-8817.2011.01061.x" TargetMode="External" /><Relationship Type="http://schemas.openxmlformats.org/officeDocument/2006/relationships/hyperlink" Id="rId132" Target="https://doi.org/10.1126/science.1172983" TargetMode="External" /><Relationship Type="http://schemas.openxmlformats.org/officeDocument/2006/relationships/hyperlink" Id="rId123" Target="https://doi.org/10.1128/aem.01197-07" TargetMode="External" /><Relationship Type="http://schemas.openxmlformats.org/officeDocument/2006/relationships/hyperlink" Id="rId114" Target="https://doi.org/10.1128/aem.02746-06" TargetMode="External" /><Relationship Type="http://schemas.openxmlformats.org/officeDocument/2006/relationships/hyperlink" Id="rId92" Target="https://doi.org/10.1128/aem.66.9.4145-4148.2000" TargetMode="External" /><Relationship Type="http://schemas.openxmlformats.org/officeDocument/2006/relationships/hyperlink" Id="rId156" Target="https://doi.org/10.1128/aem.68.3.1180-1191.2002" TargetMode="External" /><Relationship Type="http://schemas.openxmlformats.org/officeDocument/2006/relationships/hyperlink" Id="rId166" Target="https://doi.org/10.1128/aem.71.7.4127-4131.2005" TargetMode="External" /><Relationship Type="http://schemas.openxmlformats.org/officeDocument/2006/relationships/hyperlink" Id="rId148" Target="https://doi.org/10.1186/1471-2105-8-107" TargetMode="External" /><Relationship Type="http://schemas.openxmlformats.org/officeDocument/2006/relationships/hyperlink" Id="rId85" Target="https://doi.org/10.1897/08-068r.1" TargetMode="External" /><Relationship Type="http://schemas.openxmlformats.org/officeDocument/2006/relationships/hyperlink" Id="rId136" Target="https://doi.org/{10.1038/355265a0}" TargetMode="External" /><Relationship Type="http://schemas.openxmlformats.org/officeDocument/2006/relationships/hyperlink" Id="rId125" Target="https://doi.org/{10.2166/aqua.2012.006}" TargetMode="External" /><Relationship Type="http://schemas.openxmlformats.org/officeDocument/2006/relationships/hyperlink" Id="rId20" Target="https://orcid.org/0000000198211268"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Establishment of quantitative PCR methods for the quantification of geosmin-producing potential and Anabaena sp. in freshwater systems</dc:title>
  <dc:creator>Ming Su ID,a,b,#, Virginie Gagetc,d, Steven Giglioc,e, Michael Burchc, Wei Ana, and Min Yanga,b,*</dc:creator>
  <dc:language>en</dc:language>
  <cp:keywords/>
  <dcterms:created xsi:type="dcterms:W3CDTF">2026-09-04T13:42:39Z</dcterms:created>
  <dcterms:modified xsi:type="dcterms:W3CDTF">2026-09-04T13:42:39Z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ffilstyle">
    <vt:lpwstr>alphabeta</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../_extensions/drwater/dwinst/elsevier-harvard.csl</vt:lpwstr>
  </property>
  <property fmtid="{D5CDD505-2E9C-101B-9397-08002B2CF9AE}" pid="13" name="doublespacing">
    <vt:lpwstr>True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msname">
    <vt:lpwstr>MS</vt:lpwstr>
  </property>
  <property fmtid="{D5CDD505-2E9C-101B-9397-08002B2CF9AE}" pid="22" name="revealjs-plugins">
    <vt:lpwstr/>
  </property>
  <property fmtid="{D5CDD505-2E9C-101B-9397-08002B2CF9AE}" pid="23" name="smname">
    <vt:lpwstr>SM</vt:lpwstr>
  </property>
  <property fmtid="{D5CDD505-2E9C-101B-9397-08002B2CF9AE}" pid="24" name="submitid">
    <vt:lpwstr/>
  </property>
  <property fmtid="{D5CDD505-2E9C-101B-9397-08002B2CF9AE}" pid="25" name="submitjournal">
    <vt:lpwstr>Water Research</vt:lpwstr>
  </property>
  <property fmtid="{D5CDD505-2E9C-101B-9397-08002B2CF9AE}" pid="26" name="toc-title">
    <vt:lpwstr>Table of contents</vt:lpwstr>
  </property>
  <property fmtid="{D5CDD505-2E9C-101B-9397-08002B2CF9AE}" pid="27" name="watermark">
    <vt:lpwstr/>
  </property>
</Properties>
</file>