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Biosynthesis of 2-methylisoborneol is regulated by chromatic acclimation of</w:t>
      </w:r>
      <w:r>
        <w:t xml:space="preserve"> </w:t>
      </w:r>
      <w:r>
        <w:rPr>
          <w:i/>
          <w:iCs/>
        </w:rPr>
        <w:t xml:space="preserve">Pseudanabaena</w:t>
      </w:r>
    </w:p>
    <w:p>
      <w:pPr>
        <w:pStyle w:val="Date"/>
      </w:pPr>
      <w:r>
        <w:t xml:space="preserve">2024-12-20</w:t>
      </w:r>
    </w:p>
    <w:p>
      <w:pPr>
        <w:pStyle w:val="FirstParagraph"/>
      </w:pPr>
      <w:r>
        <w:t xml:space="preserve">Ming Su</w:t>
      </w:r>
      <w:r>
        <w:rPr>
          <w:vertAlign w:val="superscript"/>
        </w:rPr>
        <w:t xml:space="preserve">1,2,7,*</w:t>
      </w:r>
      <w:r>
        <w:t xml:space="preserve">, </w:t>
      </w:r>
      <w:r>
        <w:t xml:space="preserve">Jiao Fang</w:t>
      </w:r>
      <w:r>
        <w:rPr>
          <w:vertAlign w:val="superscript"/>
        </w:rPr>
        <w:t xml:space="preserve">1,8</w:t>
      </w:r>
      <w:r>
        <w:t xml:space="preserve">, </w:t>
      </w:r>
      <w:r>
        <w:t xml:space="preserve">Zeyu Jia</w:t>
      </w:r>
      <w:r>
        <w:rPr>
          <w:vertAlign w:val="superscript"/>
        </w:rPr>
        <w:t xml:space="preserve">1,3</w:t>
      </w:r>
      <w:r>
        <w:t xml:space="preserve">, </w:t>
      </w:r>
      <w:r>
        <w:t xml:space="preserve">Yuliang Su</w:t>
      </w:r>
      <w:r>
        <w:rPr>
          <w:vertAlign w:val="superscript"/>
        </w:rPr>
        <w:t xml:space="preserve">4</w:t>
      </w:r>
      <w:r>
        <w:t xml:space="preserve">, </w:t>
      </w:r>
      <w:r>
        <w:t xml:space="preserve">Yiping Zhu</w:t>
      </w:r>
      <w:r>
        <w:rPr>
          <w:vertAlign w:val="superscript"/>
        </w:rPr>
        <w:t xml:space="preserve">5</w:t>
      </w:r>
      <w:r>
        <w:t xml:space="preserve">, </w:t>
      </w:r>
      <w:r>
        <w:t xml:space="preserve">Bin Wu</w:t>
      </w:r>
      <w:r>
        <w:rPr>
          <w:vertAlign w:val="superscript"/>
        </w:rPr>
        <w:t xml:space="preserve">4</w:t>
      </w:r>
      <w:r>
        <w:t xml:space="preserve">, </w:t>
      </w:r>
      <w:r>
        <w:t xml:space="preserve">John C. Little</w:t>
      </w:r>
      <w:r>
        <w:rPr>
          <w:vertAlign w:val="superscript"/>
        </w:rPr>
        <w:t xml:space="preserve">6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1,2,7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1,2,7</w:t>
      </w:r>
    </w:p>
    <w:p>
      <w:pPr>
        <w:pStyle w:val="BodyText"/>
      </w:pPr>
      <w:r>
        <w:t xml:space="preserve">1. Key Laboratory of Drinking Water Science and Technology, Research Center for Eco-Environmental Sciences, Chinese Academy of Sciences, P.O. Box 2871, Beijing, 100085.</w:t>
      </w:r>
    </w:p>
    <w:p>
      <w:pPr>
        <w:pStyle w:val="BodyText"/>
      </w:pPr>
      <w:r>
        <w:t xml:space="preserve">2. National Engineering Research Center of Industrial Wastewater Detoxication and Resource Recovery, Research Center for Eco-Environmental Sciences, Chinese Academy of Sciences, P.O. Box 2871, Beijing, 100085.</w:t>
      </w:r>
    </w:p>
    <w:p>
      <w:pPr>
        <w:pStyle w:val="BodyText"/>
      </w:pPr>
      <w:r>
        <w:t xml:space="preserve">3. Yangtze Eco-Environment Engineering Research Center, China Three Gorges Corporation, Beijing, 100038.</w:t>
      </w:r>
    </w:p>
    <w:p>
      <w:pPr>
        <w:pStyle w:val="BodyText"/>
      </w:pPr>
      <w:r>
        <w:t xml:space="preserve">4. Zhuhai Water Environment Holdings Group Ltd., Zhuhai, 519020.</w:t>
      </w:r>
    </w:p>
    <w:p>
      <w:pPr>
        <w:pStyle w:val="BodyText"/>
      </w:pPr>
      <w:r>
        <w:t xml:space="preserve">5. Shanghai Chengtou Raw Water Co. Ltd., Beiai Rd. 1540, Shanghai, 200125.</w:t>
      </w:r>
    </w:p>
    <w:p>
      <w:pPr>
        <w:pStyle w:val="BodyText"/>
      </w:pPr>
      <w:r>
        <w:t xml:space="preserve">6. Department of Civil and Environmental Engineering, Virginia Tech., Blacksburg, VA, 24061-0246.</w:t>
      </w:r>
    </w:p>
    <w:p>
      <w:pPr>
        <w:pStyle w:val="BodyText"/>
      </w:pPr>
      <w:r>
        <w:t xml:space="preserve">7. University of Chinese Academy of Sciences, Beijing, 100049.</w:t>
      </w:r>
    </w:p>
    <w:p>
      <w:pPr>
        <w:pStyle w:val="BodyText"/>
      </w:pPr>
      <w:r>
        <w:t xml:space="preserve">8. School of Civil Engineering, Chang’an University, Xi’an, 710054.</w:t>
      </w:r>
    </w:p>
    <w:p>
      <w:pPr>
        <w:pStyle w:val="BodyText"/>
      </w:pPr>
      <w:r>
        <w:t xml:space="preserve">* Corresponding Author: Ming Su (</w:t>
      </w:r>
      <w:hyperlink r:id="rId20">
        <w:r>
          <w:rPr>
            <w:rStyle w:val="Hyperlink"/>
          </w:rPr>
          <w:t xml:space="preserve">mingsu@rcees.ac.cn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pStyle w:val="Compact"/>
        <w:numPr>
          <w:ilvl w:val="0"/>
          <w:numId w:val="1001"/>
        </w:numPr>
      </w:pPr>
      <w:r>
        <w:t xml:space="preserve">Biosynthesisis of 2-methylisoborneol (MIB) is regulated by chromatic acclimation</w:t>
      </w:r>
    </w:p>
    <w:p>
      <w:pPr>
        <w:pStyle w:val="Compact"/>
        <w:numPr>
          <w:ilvl w:val="0"/>
          <w:numId w:val="1001"/>
        </w:numPr>
      </w:pPr>
      <w:r>
        <w:t xml:space="preserve">MIB is correlated with chlorophyll</w:t>
      </w:r>
      <w:r>
        <w:t xml:space="preserve"> </w:t>
      </w:r>
      <w:r>
        <w:rPr>
          <w:i/>
          <w:iCs/>
        </w:rPr>
        <w:t xml:space="preserve">a</w:t>
      </w:r>
      <w:r>
        <w:t xml:space="preserve"> </w:t>
      </w:r>
      <w:r>
        <w:t xml:space="preserve">abundance regardless with light color</w:t>
      </w:r>
    </w:p>
    <w:p>
      <w:pPr>
        <w:pStyle w:val="Compact"/>
        <w:numPr>
          <w:ilvl w:val="0"/>
          <w:numId w:val="1001"/>
        </w:numPr>
      </w:pPr>
      <w:r>
        <w:t xml:space="preserve">Green light promote MIB synthesis of phycoerythrin‐containing</w:t>
      </w:r>
      <w:r>
        <w:t xml:space="preserve"> </w:t>
      </w:r>
      <w:r>
        <w:rPr>
          <w:i/>
          <w:iCs/>
        </w:rPr>
        <w:t xml:space="preserve">Pseudanabaena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mingsu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mingsu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Biosynthesis of 2-methylisoborneol is regulated by chromatic acclimation of Pseudanabaena</dc:title>
  <dc:creator/>
  <dc:language>en</dc:language>
  <cp:keywords/>
  <dcterms:created xsi:type="dcterms:W3CDTF">2024-12-20T12:21:47Z</dcterms:created>
  <dcterms:modified xsi:type="dcterms:W3CDTF">2024-12-20T12:21:47Z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comments">
    <vt:lpwstr/>
  </property>
  <property fmtid="{D5CDD505-2E9C-101B-9397-08002B2CF9AE}" pid="6" name="crossref">
    <vt:lpwstr/>
  </property>
  <property fmtid="{D5CDD505-2E9C-101B-9397-08002B2CF9AE}" pid="7" name="date">
    <vt:lpwstr>2024-12-20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submitid">
    <vt:lpwstr>ER228912R1</vt:lpwstr>
  </property>
  <property fmtid="{D5CDD505-2E9C-101B-9397-08002B2CF9AE}" pid="13" name="submitjournal">
    <vt:lpwstr>Environmental Research</vt:lpwstr>
  </property>
  <property fmtid="{D5CDD505-2E9C-101B-9397-08002B2CF9AE}" pid="14" name="toc-title">
    <vt:lpwstr>Table of contents</vt:lpwstr>
  </property>
</Properties>
</file>